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6E63" w14:textId="4045AF87" w:rsidR="00646334" w:rsidRDefault="00396B78" w:rsidP="00456EEA">
      <w:r>
        <w:rPr>
          <w:noProof/>
        </w:rPr>
        <w:drawing>
          <wp:anchor distT="0" distB="0" distL="114300" distR="114300" simplePos="0" relativeHeight="251656192" behindDoc="0" locked="0" layoutInCell="1" allowOverlap="1" wp14:anchorId="211ADA41" wp14:editId="4656C8C8">
            <wp:simplePos x="0" y="0"/>
            <wp:positionH relativeFrom="margin">
              <wp:posOffset>2857500</wp:posOffset>
            </wp:positionH>
            <wp:positionV relativeFrom="paragraph">
              <wp:posOffset>-175260</wp:posOffset>
            </wp:positionV>
            <wp:extent cx="1756654" cy="9133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54" cy="913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154">
        <w:rPr>
          <w:noProof/>
        </w:rPr>
        <w:drawing>
          <wp:anchor distT="0" distB="0" distL="114300" distR="114300" simplePos="0" relativeHeight="251657216" behindDoc="0" locked="0" layoutInCell="1" allowOverlap="1" wp14:anchorId="57F3EF73" wp14:editId="11FD01F7">
            <wp:simplePos x="0" y="0"/>
            <wp:positionH relativeFrom="column">
              <wp:posOffset>4898133</wp:posOffset>
            </wp:positionH>
            <wp:positionV relativeFrom="paragraph">
              <wp:posOffset>-41035</wp:posOffset>
            </wp:positionV>
            <wp:extent cx="1633254" cy="609051"/>
            <wp:effectExtent l="0" t="0" r="508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74839" cy="624558"/>
                    </a:xfrm>
                    <a:prstGeom prst="rect">
                      <a:avLst/>
                    </a:prstGeom>
                  </pic:spPr>
                </pic:pic>
              </a:graphicData>
            </a:graphic>
            <wp14:sizeRelH relativeFrom="page">
              <wp14:pctWidth>0</wp14:pctWidth>
            </wp14:sizeRelH>
            <wp14:sizeRelV relativeFrom="page">
              <wp14:pctHeight>0</wp14:pctHeight>
            </wp14:sizeRelV>
          </wp:anchor>
        </w:drawing>
      </w:r>
      <w:bookmarkStart w:id="0" w:name="_Hlk96933929"/>
      <w:bookmarkEnd w:id="0"/>
    </w:p>
    <w:p w14:paraId="3BD00E0B" w14:textId="2C547E65" w:rsidR="00646334" w:rsidRDefault="00646334" w:rsidP="004F2AC2">
      <w:pPr>
        <w:pStyle w:val="Title"/>
      </w:pPr>
    </w:p>
    <w:p w14:paraId="73B2617A" w14:textId="77777777" w:rsidR="005408FA" w:rsidRDefault="00B15FB0" w:rsidP="004F2AC2">
      <w:pPr>
        <w:pStyle w:val="Title"/>
      </w:pPr>
      <w:r>
        <w:t>Regional</w:t>
      </w:r>
      <w:r w:rsidR="005408FA">
        <w:t xml:space="preserve"> </w:t>
      </w:r>
      <w:r>
        <w:t xml:space="preserve">Angels Programme </w:t>
      </w:r>
    </w:p>
    <w:p w14:paraId="2427D71F" w14:textId="1FD61A0E" w:rsidR="004F2AC2" w:rsidRPr="00D13154" w:rsidRDefault="00B16D1C" w:rsidP="004F2AC2">
      <w:pPr>
        <w:pStyle w:val="Title"/>
      </w:pPr>
      <w:r>
        <w:t xml:space="preserve">Early Assessment </w:t>
      </w:r>
      <w:r w:rsidR="004F2AC2" w:rsidRPr="00D13154">
        <w:br/>
      </w:r>
      <w:r w:rsidR="004F2AC2" w:rsidRPr="00D13154">
        <w:br/>
      </w:r>
    </w:p>
    <w:p w14:paraId="453D88AE" w14:textId="4B4ADAB7" w:rsidR="004F2AC2" w:rsidRPr="00D13154" w:rsidRDefault="004F2AC2" w:rsidP="004F2AC2"/>
    <w:p w14:paraId="11B5880F" w14:textId="7C31584D" w:rsidR="00016B1D" w:rsidRPr="00D13154" w:rsidRDefault="00016B1D" w:rsidP="004F2AC2"/>
    <w:p w14:paraId="01281683" w14:textId="3DD07E67" w:rsidR="00A84354" w:rsidRDefault="00A84354" w:rsidP="004F2AC2"/>
    <w:p w14:paraId="658C0E39" w14:textId="77777777" w:rsidR="00A84354" w:rsidRPr="00D13154" w:rsidRDefault="00A84354" w:rsidP="004F2AC2"/>
    <w:p w14:paraId="007BC49E" w14:textId="273284FE" w:rsidR="00F56FD5" w:rsidRPr="00D13154" w:rsidRDefault="00F56FD5" w:rsidP="004F2AC2"/>
    <w:p w14:paraId="5824C277" w14:textId="15452B6F" w:rsidR="00F56FD5" w:rsidRPr="00D13154" w:rsidRDefault="00F56FD5" w:rsidP="004F2AC2"/>
    <w:p w14:paraId="199FF52D" w14:textId="54C9259E" w:rsidR="00F56FD5" w:rsidRDefault="00F56FD5" w:rsidP="004F2AC2"/>
    <w:p w14:paraId="43B50965" w14:textId="27B91890" w:rsidR="00370D3A" w:rsidRDefault="00370D3A" w:rsidP="004F2AC2"/>
    <w:p w14:paraId="25B036BB" w14:textId="1EE2AFFA" w:rsidR="00370D3A" w:rsidRDefault="00370D3A" w:rsidP="004F2AC2"/>
    <w:p w14:paraId="7F71B992" w14:textId="77777777" w:rsidR="00370D3A" w:rsidRPr="00D13154" w:rsidRDefault="00370D3A" w:rsidP="004F2AC2"/>
    <w:p w14:paraId="597A2C48" w14:textId="70C80DD4" w:rsidR="00F56FD5" w:rsidRDefault="00F56FD5" w:rsidP="004F2AC2"/>
    <w:p w14:paraId="458A00BC" w14:textId="77777777" w:rsidR="00FE6E19" w:rsidRPr="00D13154" w:rsidRDefault="00FE6E19" w:rsidP="004F2AC2"/>
    <w:p w14:paraId="5A4D3CCD" w14:textId="7DEBE6D9" w:rsidR="00B15FB0" w:rsidRDefault="00B15FB0" w:rsidP="00F56FD5">
      <w:pPr>
        <w:pStyle w:val="Closing"/>
      </w:pPr>
    </w:p>
    <w:p w14:paraId="24C4CF7E" w14:textId="77777777" w:rsidR="00B15FB0" w:rsidRDefault="00B15FB0" w:rsidP="00F56FD5">
      <w:pPr>
        <w:pStyle w:val="Closing"/>
      </w:pPr>
    </w:p>
    <w:p w14:paraId="4251CD8F" w14:textId="773581A8" w:rsidR="00B15FB0" w:rsidRDefault="00B15FB0" w:rsidP="00F56FD5">
      <w:pPr>
        <w:pStyle w:val="Closing"/>
      </w:pPr>
    </w:p>
    <w:p w14:paraId="77DB4A1E" w14:textId="489C9F37" w:rsidR="00B15FB0" w:rsidRDefault="00B15FB0" w:rsidP="00F56FD5">
      <w:pPr>
        <w:pStyle w:val="Closing"/>
      </w:pPr>
    </w:p>
    <w:p w14:paraId="417F23E6" w14:textId="605A4262" w:rsidR="00B15FB0" w:rsidRDefault="00B15FB0" w:rsidP="00F56FD5">
      <w:pPr>
        <w:pStyle w:val="Closing"/>
      </w:pPr>
    </w:p>
    <w:p w14:paraId="65E2548C" w14:textId="5619F44D" w:rsidR="00B15FB0" w:rsidRDefault="007A621B" w:rsidP="00F56FD5">
      <w:pPr>
        <w:pStyle w:val="Closing"/>
      </w:pPr>
      <w:r>
        <w:rPr>
          <w:noProof/>
        </w:rPr>
        <w:pict w14:anchorId="3462C279">
          <v:shapetype id="_x0000_t202" coordsize="21600,21600" o:spt="202" path="m,l,21600r21600,l21600,xe">
            <v:stroke joinstyle="miter"/>
            <v:path gradientshapeok="t" o:connecttype="rect"/>
          </v:shapetype>
          <v:shape id="Text Box 8" o:spid="_x0000_s2050" type="#_x0000_t202" alt="&quot;&quot;" style="position:absolute;margin-left:756pt;margin-top:.7pt;width:135.2pt;height:102.35pt;z-index:251660288;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" filled="f" stroked="f" strokeweight=".5pt">
            <v:textbox>
              <w:txbxContent>
                <w:p w14:paraId="3DB33A73" w14:textId="77777777" w:rsidR="005408FA" w:rsidRDefault="005408FA">
                  <w:pPr>
                    <w:rPr>
                      <w:rStyle w:val="SubtitleChar"/>
                      <w:sz w:val="32"/>
                      <w:szCs w:val="144"/>
                    </w:rPr>
                  </w:pPr>
                </w:p>
                <w:p w14:paraId="7C40E0FD" w14:textId="63F15E15" w:rsidR="00456EEA" w:rsidRDefault="00D46BD4">
                  <w:r>
                    <w:rPr>
                      <w:rStyle w:val="SubtitleChar"/>
                      <w:sz w:val="32"/>
                      <w:szCs w:val="144"/>
                    </w:rPr>
                    <w:t>May</w:t>
                  </w:r>
                  <w:r w:rsidR="008F2169" w:rsidRPr="00370D3A">
                    <w:rPr>
                      <w:rStyle w:val="SubtitleChar"/>
                      <w:sz w:val="32"/>
                      <w:szCs w:val="144"/>
                    </w:rPr>
                    <w:t xml:space="preserve"> </w:t>
                  </w:r>
                  <w:r w:rsidR="00456EEA" w:rsidRPr="00370D3A">
                    <w:rPr>
                      <w:rStyle w:val="SubtitleChar"/>
                      <w:sz w:val="32"/>
                      <w:szCs w:val="144"/>
                    </w:rPr>
                    <w:t>202</w:t>
                  </w:r>
                  <w:r w:rsidR="001511B2">
                    <w:rPr>
                      <w:rStyle w:val="SubtitleChar"/>
                      <w:sz w:val="32"/>
                      <w:szCs w:val="144"/>
                    </w:rPr>
                    <w:t>4</w:t>
                  </w:r>
                </w:p>
              </w:txbxContent>
            </v:textbox>
          </v:shape>
        </w:pict>
      </w:r>
    </w:p>
    <w:p w14:paraId="3F11B7A8" w14:textId="578EF67B" w:rsidR="00B15FB0" w:rsidRDefault="00B15FB0" w:rsidP="00F56FD5">
      <w:pPr>
        <w:pStyle w:val="Closing"/>
      </w:pPr>
    </w:p>
    <w:p w14:paraId="3DBE0701" w14:textId="17037CA2" w:rsidR="00B15FB0" w:rsidRDefault="00B15FB0" w:rsidP="00F56FD5">
      <w:pPr>
        <w:pStyle w:val="Closing"/>
      </w:pPr>
    </w:p>
    <w:p w14:paraId="5B79B812" w14:textId="44C60803" w:rsidR="00B15FB0" w:rsidRDefault="00B15FB0" w:rsidP="00F56FD5">
      <w:pPr>
        <w:pStyle w:val="Closing"/>
      </w:pPr>
    </w:p>
    <w:p w14:paraId="36740917" w14:textId="43F3888D" w:rsidR="00B15FB0" w:rsidRDefault="00B15FB0" w:rsidP="00F56FD5">
      <w:pPr>
        <w:pStyle w:val="Closing"/>
      </w:pPr>
    </w:p>
    <w:p w14:paraId="7EEB129E" w14:textId="0C3B046F" w:rsidR="00B15FB0" w:rsidRDefault="00B15FB0" w:rsidP="00F56FD5">
      <w:pPr>
        <w:pStyle w:val="Closing"/>
      </w:pPr>
    </w:p>
    <w:p w14:paraId="0722E199" w14:textId="77777777" w:rsidR="00B15FB0" w:rsidRDefault="00B15FB0" w:rsidP="00F56FD5">
      <w:pPr>
        <w:pStyle w:val="Closing"/>
      </w:pPr>
    </w:p>
    <w:p w14:paraId="7C96BDE6" w14:textId="77777777" w:rsidR="00B15FB0" w:rsidRDefault="00B15FB0" w:rsidP="00F56FD5">
      <w:pPr>
        <w:pStyle w:val="Closing"/>
      </w:pPr>
    </w:p>
    <w:p w14:paraId="2631E16F" w14:textId="4CC43E25" w:rsidR="00B15FB0" w:rsidRDefault="00B15FB0" w:rsidP="00F56FD5">
      <w:pPr>
        <w:pStyle w:val="Closing"/>
      </w:pPr>
    </w:p>
    <w:p w14:paraId="02EE03A7" w14:textId="0F823035" w:rsidR="00B15FB0" w:rsidRDefault="00B15FB0" w:rsidP="00F56FD5">
      <w:pPr>
        <w:pStyle w:val="Closing"/>
      </w:pPr>
    </w:p>
    <w:p w14:paraId="51C83DA5" w14:textId="77777777" w:rsidR="00B15FB0" w:rsidRDefault="00B15FB0" w:rsidP="00F56FD5">
      <w:pPr>
        <w:pStyle w:val="Closing"/>
      </w:pPr>
    </w:p>
    <w:p w14:paraId="18CA2BB5" w14:textId="39A9F398" w:rsidR="00B15FB0" w:rsidRDefault="00B15FB0" w:rsidP="00F56FD5">
      <w:pPr>
        <w:pStyle w:val="Closing"/>
      </w:pPr>
    </w:p>
    <w:p w14:paraId="32063454" w14:textId="77777777" w:rsidR="00B15FB0" w:rsidRDefault="00B15FB0" w:rsidP="00F56FD5">
      <w:pPr>
        <w:pStyle w:val="Closing"/>
      </w:pPr>
    </w:p>
    <w:p w14:paraId="5DE81F02" w14:textId="77777777" w:rsidR="00B15FB0" w:rsidRDefault="00B15FB0" w:rsidP="00F56FD5">
      <w:pPr>
        <w:pStyle w:val="Closing"/>
      </w:pPr>
    </w:p>
    <w:p w14:paraId="22343D5C" w14:textId="77777777" w:rsidR="00B15FB0" w:rsidRDefault="00B15FB0" w:rsidP="00F56FD5">
      <w:pPr>
        <w:pStyle w:val="Closing"/>
      </w:pPr>
    </w:p>
    <w:p w14:paraId="55E384F1" w14:textId="77777777" w:rsidR="00B15FB0" w:rsidRDefault="00B15FB0" w:rsidP="00F56FD5">
      <w:pPr>
        <w:pStyle w:val="Closing"/>
      </w:pPr>
    </w:p>
    <w:p w14:paraId="28D93CA2" w14:textId="380C24C8" w:rsidR="00B15FB0" w:rsidRDefault="00B15FB0" w:rsidP="00F56FD5">
      <w:pPr>
        <w:pStyle w:val="Closing"/>
      </w:pPr>
    </w:p>
    <w:p w14:paraId="312C2064" w14:textId="77777777" w:rsidR="00B15FB0" w:rsidRDefault="00B15FB0" w:rsidP="00F56FD5">
      <w:pPr>
        <w:pStyle w:val="Closing"/>
      </w:pPr>
    </w:p>
    <w:p w14:paraId="21340F98" w14:textId="77777777" w:rsidR="00B15FB0" w:rsidRDefault="00B15FB0" w:rsidP="00F56FD5">
      <w:pPr>
        <w:pStyle w:val="Closing"/>
      </w:pPr>
    </w:p>
    <w:p w14:paraId="6FA8F9D9" w14:textId="77777777" w:rsidR="00B15FB0" w:rsidRDefault="00B15FB0" w:rsidP="00F56FD5">
      <w:pPr>
        <w:pStyle w:val="Closing"/>
      </w:pPr>
    </w:p>
    <w:p w14:paraId="6BF05E61" w14:textId="77777777" w:rsidR="00B15FB0" w:rsidRDefault="00B15FB0" w:rsidP="00F56FD5">
      <w:pPr>
        <w:pStyle w:val="Closing"/>
      </w:pPr>
    </w:p>
    <w:p w14:paraId="60EABB5A" w14:textId="7D0EC5EB" w:rsidR="00B15FB0" w:rsidRDefault="00B15FB0" w:rsidP="00F56FD5">
      <w:pPr>
        <w:pStyle w:val="Closing"/>
      </w:pPr>
    </w:p>
    <w:p w14:paraId="47B554B7" w14:textId="77777777" w:rsidR="00B15FB0" w:rsidRDefault="00B15FB0" w:rsidP="00F56FD5">
      <w:pPr>
        <w:pStyle w:val="Closing"/>
      </w:pPr>
    </w:p>
    <w:p w14:paraId="4B2B4157" w14:textId="77777777" w:rsidR="00B15FB0" w:rsidRDefault="00B15FB0" w:rsidP="00F56FD5">
      <w:pPr>
        <w:pStyle w:val="Closing"/>
      </w:pPr>
    </w:p>
    <w:p w14:paraId="3F60D91E" w14:textId="2986EFE5" w:rsidR="00B15FB0" w:rsidRDefault="00B15FB0" w:rsidP="00F56FD5">
      <w:pPr>
        <w:pStyle w:val="Closing"/>
      </w:pPr>
    </w:p>
    <w:p w14:paraId="2FFEA3BA" w14:textId="03A69246" w:rsidR="00B15FB0" w:rsidRDefault="00B15FB0" w:rsidP="00F56FD5">
      <w:pPr>
        <w:pStyle w:val="Closing"/>
      </w:pPr>
    </w:p>
    <w:p w14:paraId="4D04DBF1" w14:textId="4DBE3681" w:rsidR="00B15FB0" w:rsidRDefault="00B15FB0" w:rsidP="00F56FD5">
      <w:pPr>
        <w:pStyle w:val="Closing"/>
      </w:pPr>
    </w:p>
    <w:p w14:paraId="5DC97D7C" w14:textId="6DBD5F15" w:rsidR="004A1970" w:rsidRPr="004A1970" w:rsidRDefault="007A621B" w:rsidP="003D3A9E">
      <w:pPr>
        <w:pStyle w:val="Closing"/>
        <w:sectPr w:rsidR="004A1970" w:rsidRPr="004A1970" w:rsidSect="00ED2122">
          <w:footerReference w:type="default" r:id="rId14"/>
          <w:headerReference w:type="first" r:id="rId15"/>
          <w:pgSz w:w="11906" w:h="16838"/>
          <w:pgMar w:top="1440" w:right="1080" w:bottom="765" w:left="1080" w:header="624" w:footer="0" w:gutter="0"/>
          <w:cols w:num="2" w:space="336" w:equalWidth="0">
            <w:col w:w="5840" w:space="336"/>
            <w:col w:w="3570"/>
          </w:cols>
          <w:docGrid w:linePitch="360"/>
        </w:sectPr>
      </w:pPr>
      <w:hyperlink r:id="rId16" w:history="1">
        <w:r w:rsidR="00370D3A" w:rsidRPr="00D13154">
          <w:rPr>
            <w:rStyle w:val="Hyperlink"/>
          </w:rPr>
          <w:t>british-business-bank.co.uk</w:t>
        </w:r>
      </w:hyperlink>
      <w:r w:rsidR="00370D3A">
        <w:rPr>
          <w:rStyle w:val="Hyperlink"/>
        </w:rPr>
        <w:br/>
      </w:r>
      <w:r w:rsidR="00370D3A" w:rsidRPr="00D13154">
        <w:t>@</w:t>
      </w:r>
      <w:bookmarkStart w:id="1" w:name="_Int_Ep5bC1de"/>
      <w:r w:rsidR="00370D3A" w:rsidRPr="00D13154">
        <w:t>britishbban</w:t>
      </w:r>
      <w:bookmarkEnd w:id="1"/>
      <w:r w:rsidR="007B437E">
        <w:t>k</w:t>
      </w:r>
    </w:p>
    <w:p w14:paraId="0C3104ED" w14:textId="25649A73" w:rsidR="00D5030F" w:rsidRPr="002E3E61" w:rsidRDefault="00D5030F" w:rsidP="00D5030F">
      <w:pPr>
        <w:pStyle w:val="TOCHeading"/>
        <w:sectPr w:rsidR="00D5030F" w:rsidRPr="002E3E61" w:rsidSect="00ED2122">
          <w:headerReference w:type="even" r:id="rId17"/>
          <w:headerReference w:type="default" r:id="rId18"/>
          <w:footerReference w:type="default" r:id="rId19"/>
          <w:headerReference w:type="first" r:id="rId20"/>
          <w:type w:val="continuous"/>
          <w:pgSz w:w="11906" w:h="16838" w:code="9"/>
          <w:pgMar w:top="1077" w:right="3686" w:bottom="1531" w:left="907" w:header="624" w:footer="0" w:gutter="0"/>
          <w:cols w:space="708"/>
          <w:docGrid w:linePitch="360"/>
        </w:sectPr>
      </w:pPr>
      <w:bookmarkStart w:id="2" w:name="_Toc165482197"/>
    </w:p>
    <w:p w14:paraId="42203B47" w14:textId="781B577C" w:rsidR="00603812" w:rsidRPr="003D3A9E" w:rsidRDefault="00603812" w:rsidP="00603812">
      <w:pPr>
        <w:pStyle w:val="Heading1"/>
        <w:spacing w:after="0"/>
        <w:jc w:val="both"/>
        <w:sectPr w:rsidR="00603812" w:rsidRPr="003D3A9E" w:rsidSect="00ED2122">
          <w:type w:val="continuous"/>
          <w:pgSz w:w="11906" w:h="16838"/>
          <w:pgMar w:top="1077" w:right="4360" w:bottom="1531" w:left="907" w:header="624" w:footer="0" w:gutter="0"/>
          <w:cols w:space="708"/>
          <w:docGrid w:linePitch="360"/>
        </w:sectPr>
      </w:pPr>
    </w:p>
    <w:sdt>
      <w:sdtPr>
        <w:rPr>
          <w:rFonts w:asciiTheme="minorHAnsi" w:eastAsiaTheme="minorHAnsi" w:hAnsiTheme="minorHAnsi" w:cstheme="minorBidi"/>
          <w:b w:val="0"/>
          <w:color w:val="auto"/>
          <w:sz w:val="24"/>
          <w:szCs w:val="22"/>
          <w:lang w:val="en-GB"/>
        </w:rPr>
        <w:id w:val="-1216818308"/>
        <w:docPartObj>
          <w:docPartGallery w:val="Table of Contents"/>
          <w:docPartUnique/>
        </w:docPartObj>
      </w:sdtPr>
      <w:sdtEndPr>
        <w:rPr>
          <w:bCs/>
          <w:noProof/>
        </w:rPr>
      </w:sdtEndPr>
      <w:sdtContent>
        <w:p w14:paraId="59D14497" w14:textId="77777777" w:rsidR="007B437E" w:rsidRPr="00954128" w:rsidRDefault="007B437E" w:rsidP="007B437E">
          <w:pPr>
            <w:pStyle w:val="TOCHeading"/>
            <w:rPr>
              <w:rFonts w:asciiTheme="minorHAnsi" w:eastAsiaTheme="minorHAnsi" w:hAnsiTheme="minorHAnsi" w:cstheme="minorBidi"/>
              <w:b w:val="0"/>
              <w:color w:val="auto"/>
              <w:sz w:val="24"/>
              <w:szCs w:val="22"/>
              <w:lang w:val="en-GB"/>
            </w:rPr>
          </w:pPr>
          <w:r>
            <w:t>Contents</w:t>
          </w:r>
        </w:p>
        <w:p w14:paraId="0CA08076" w14:textId="0656FC83" w:rsidR="007B437E" w:rsidRDefault="007B437E">
          <w:pPr>
            <w:pStyle w:val="TOC1"/>
            <w:rPr>
              <w:rFonts w:eastAsiaTheme="minorEastAsia"/>
              <w:b w:val="0"/>
              <w:bCs w:val="0"/>
              <w:color w:val="auto"/>
              <w:kern w:val="2"/>
              <w:szCs w:val="24"/>
              <w:lang w:eastAsia="en-GB"/>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165497160" w:history="1">
            <w:r w:rsidRPr="003853E8">
              <w:rPr>
                <w:rStyle w:val="Hyperlink"/>
              </w:rPr>
              <w:t>1. Executive summary</w:t>
            </w:r>
            <w:r>
              <w:rPr>
                <w:webHidden/>
              </w:rPr>
              <w:tab/>
            </w:r>
            <w:r>
              <w:rPr>
                <w:webHidden/>
              </w:rPr>
              <w:fldChar w:fldCharType="begin"/>
            </w:r>
            <w:r>
              <w:rPr>
                <w:webHidden/>
              </w:rPr>
              <w:instrText xml:space="preserve"> PAGEREF _Toc165497160 \h </w:instrText>
            </w:r>
            <w:r>
              <w:rPr>
                <w:webHidden/>
              </w:rPr>
            </w:r>
            <w:r>
              <w:rPr>
                <w:webHidden/>
              </w:rPr>
              <w:fldChar w:fldCharType="separate"/>
            </w:r>
            <w:r>
              <w:rPr>
                <w:webHidden/>
              </w:rPr>
              <w:t>5</w:t>
            </w:r>
            <w:r>
              <w:rPr>
                <w:webHidden/>
              </w:rPr>
              <w:fldChar w:fldCharType="end"/>
            </w:r>
          </w:hyperlink>
        </w:p>
        <w:p w14:paraId="046CDADB" w14:textId="5E7F3301"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1" w:history="1">
            <w:r w:rsidR="007B437E" w:rsidRPr="003853E8">
              <w:rPr>
                <w:rStyle w:val="Hyperlink"/>
              </w:rPr>
              <w:t>1.1 This study</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_Toc165497161 \h </w:instrText>
            </w:r>
            <w:r w:rsidR="007B437E">
              <w:rPr>
                <w:webHidden/>
              </w:rPr>
            </w:r>
            <w:r w:rsidR="007B437E">
              <w:rPr>
                <w:webHidden/>
              </w:rPr>
              <w:fldChar w:fldCharType="separate"/>
            </w:r>
            <w:r w:rsidR="007B437E">
              <w:rPr>
                <w:webHidden/>
              </w:rPr>
              <w:t>5</w:t>
            </w:r>
            <w:r w:rsidR="007B437E">
              <w:rPr>
                <w:webHidden/>
              </w:rPr>
              <w:fldChar w:fldCharType="end"/>
            </w:r>
          </w:hyperlink>
        </w:p>
        <w:p w14:paraId="5F14A892" w14:textId="39789963"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2" w:history="1">
            <w:r w:rsidR="007B437E" w:rsidRPr="003853E8">
              <w:rPr>
                <w:rStyle w:val="Hyperlink"/>
              </w:rPr>
              <w:t>1.2 The need for intervention and RAP funded firm characteristics</w:t>
            </w:r>
            <w:r w:rsidR="007B437E">
              <w:rPr>
                <w:webHidden/>
              </w:rPr>
              <w:tab/>
            </w:r>
            <w:r w:rsidR="004119F6">
              <w:rPr>
                <w:webHidden/>
              </w:rPr>
              <w:tab/>
            </w:r>
            <w:r w:rsidR="004119F6">
              <w:rPr>
                <w:webHidden/>
              </w:rPr>
              <w:tab/>
              <w:t xml:space="preserve">           </w:t>
            </w:r>
            <w:r w:rsidR="007B437E">
              <w:rPr>
                <w:webHidden/>
              </w:rPr>
              <w:fldChar w:fldCharType="begin"/>
            </w:r>
            <w:r w:rsidR="007B437E">
              <w:rPr>
                <w:webHidden/>
              </w:rPr>
              <w:instrText xml:space="preserve"> PAGEREF _Toc165497162 \h </w:instrText>
            </w:r>
            <w:r w:rsidR="007B437E">
              <w:rPr>
                <w:webHidden/>
              </w:rPr>
            </w:r>
            <w:r w:rsidR="007B437E">
              <w:rPr>
                <w:webHidden/>
              </w:rPr>
              <w:fldChar w:fldCharType="separate"/>
            </w:r>
            <w:r w:rsidR="007B437E">
              <w:rPr>
                <w:webHidden/>
              </w:rPr>
              <w:t>6</w:t>
            </w:r>
            <w:r w:rsidR="007B437E">
              <w:rPr>
                <w:webHidden/>
              </w:rPr>
              <w:fldChar w:fldCharType="end"/>
            </w:r>
          </w:hyperlink>
        </w:p>
        <w:p w14:paraId="3693DEE7" w14:textId="6CD31722"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3" w:history="1">
            <w:r w:rsidR="007B437E" w:rsidRPr="003853E8">
              <w:rPr>
                <w:rStyle w:val="Hyperlink"/>
              </w:rPr>
              <w:t>1.3 Rigorous application process was time consuming but appropriate for the initial cohort applicants and improved Partner professionalism</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_Toc165497163 \h </w:instrText>
            </w:r>
            <w:r w:rsidR="007B437E">
              <w:rPr>
                <w:webHidden/>
              </w:rPr>
            </w:r>
            <w:r w:rsidR="007B437E">
              <w:rPr>
                <w:webHidden/>
              </w:rPr>
              <w:fldChar w:fldCharType="separate"/>
            </w:r>
            <w:r w:rsidR="007B437E">
              <w:rPr>
                <w:webHidden/>
              </w:rPr>
              <w:t>7</w:t>
            </w:r>
            <w:r w:rsidR="007B437E">
              <w:rPr>
                <w:webHidden/>
              </w:rPr>
              <w:fldChar w:fldCharType="end"/>
            </w:r>
          </w:hyperlink>
        </w:p>
        <w:p w14:paraId="61DB130A" w14:textId="5F2840D6"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4" w:history="1">
            <w:r w:rsidR="007B437E" w:rsidRPr="003853E8">
              <w:rPr>
                <w:rStyle w:val="Hyperlink"/>
              </w:rPr>
              <w:t>1.4 FCA regulated status partially restricted participation to angels</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_Toc165497164 \h </w:instrText>
            </w:r>
            <w:r w:rsidR="007B437E">
              <w:rPr>
                <w:webHidden/>
              </w:rPr>
            </w:r>
            <w:r w:rsidR="007B437E">
              <w:rPr>
                <w:webHidden/>
              </w:rPr>
              <w:fldChar w:fldCharType="separate"/>
            </w:r>
            <w:r w:rsidR="007B437E">
              <w:rPr>
                <w:webHidden/>
              </w:rPr>
              <w:t>8</w:t>
            </w:r>
            <w:r w:rsidR="007B437E">
              <w:rPr>
                <w:webHidden/>
              </w:rPr>
              <w:fldChar w:fldCharType="end"/>
            </w:r>
          </w:hyperlink>
        </w:p>
        <w:p w14:paraId="2C765FA5" w14:textId="6D2A4252"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5" w:history="1">
            <w:r w:rsidR="007B437E" w:rsidRPr="003853E8">
              <w:rPr>
                <w:rStyle w:val="Hyperlink"/>
              </w:rPr>
              <w:t>1.5 Partners leveraged RAP investment</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_Toc165497165 \h </w:instrText>
            </w:r>
            <w:r w:rsidR="007B437E">
              <w:rPr>
                <w:webHidden/>
              </w:rPr>
            </w:r>
            <w:r w:rsidR="007B437E">
              <w:rPr>
                <w:webHidden/>
              </w:rPr>
              <w:fldChar w:fldCharType="separate"/>
            </w:r>
            <w:r w:rsidR="007B437E">
              <w:rPr>
                <w:webHidden/>
              </w:rPr>
              <w:t>8</w:t>
            </w:r>
            <w:r w:rsidR="007B437E">
              <w:rPr>
                <w:webHidden/>
              </w:rPr>
              <w:fldChar w:fldCharType="end"/>
            </w:r>
          </w:hyperlink>
        </w:p>
        <w:p w14:paraId="543FFDD4" w14:textId="6CDC1662"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6" w:history="1">
            <w:r w:rsidR="007B437E" w:rsidRPr="003853E8">
              <w:rPr>
                <w:rStyle w:val="Hyperlink"/>
              </w:rPr>
              <w:t>1.6 Finance is flowing relatively to underrepresented regions and compared to similar schemes.</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_Toc165497166 \h </w:instrText>
            </w:r>
            <w:r w:rsidR="007B437E">
              <w:rPr>
                <w:webHidden/>
              </w:rPr>
            </w:r>
            <w:r w:rsidR="007B437E">
              <w:rPr>
                <w:webHidden/>
              </w:rPr>
              <w:fldChar w:fldCharType="separate"/>
            </w:r>
            <w:r w:rsidR="007B437E">
              <w:rPr>
                <w:webHidden/>
              </w:rPr>
              <w:t>9</w:t>
            </w:r>
            <w:r w:rsidR="007B437E">
              <w:rPr>
                <w:webHidden/>
              </w:rPr>
              <w:fldChar w:fldCharType="end"/>
            </w:r>
          </w:hyperlink>
        </w:p>
        <w:p w14:paraId="35F99365" w14:textId="40A5728B"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7" w:history="1">
            <w:r w:rsidR="007B437E" w:rsidRPr="003853E8">
              <w:rPr>
                <w:rStyle w:val="Hyperlink"/>
              </w:rPr>
              <w:t>1.7 Fuller value for money assessment to be completed with more data</w:t>
            </w:r>
            <w:r w:rsidR="007B437E">
              <w:rPr>
                <w:webHidden/>
              </w:rPr>
              <w:tab/>
            </w:r>
            <w:r w:rsidR="004119F6">
              <w:rPr>
                <w:webHidden/>
              </w:rPr>
              <w:tab/>
            </w:r>
            <w:r w:rsidR="004119F6">
              <w:rPr>
                <w:webHidden/>
              </w:rPr>
              <w:tab/>
            </w:r>
            <w:r w:rsidR="004119F6">
              <w:rPr>
                <w:webHidden/>
              </w:rPr>
              <w:tab/>
            </w:r>
            <w:r w:rsidR="007B437E">
              <w:rPr>
                <w:webHidden/>
              </w:rPr>
              <w:fldChar w:fldCharType="begin"/>
            </w:r>
            <w:r w:rsidR="007B437E">
              <w:rPr>
                <w:webHidden/>
              </w:rPr>
              <w:instrText xml:space="preserve"> PAGEREF _Toc165497167 \h </w:instrText>
            </w:r>
            <w:r w:rsidR="007B437E">
              <w:rPr>
                <w:webHidden/>
              </w:rPr>
            </w:r>
            <w:r w:rsidR="007B437E">
              <w:rPr>
                <w:webHidden/>
              </w:rPr>
              <w:fldChar w:fldCharType="separate"/>
            </w:r>
            <w:r w:rsidR="007B437E">
              <w:rPr>
                <w:webHidden/>
              </w:rPr>
              <w:t>9</w:t>
            </w:r>
            <w:r w:rsidR="007B437E">
              <w:rPr>
                <w:webHidden/>
              </w:rPr>
              <w:fldChar w:fldCharType="end"/>
            </w:r>
          </w:hyperlink>
        </w:p>
        <w:p w14:paraId="42985A50" w14:textId="04100CE0"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68" w:history="1">
            <w:r w:rsidR="007B437E" w:rsidRPr="003853E8">
              <w:rPr>
                <w:rStyle w:val="Hyperlink"/>
              </w:rPr>
              <w:t>1.8 Lessons learnt and recommendations</w:t>
            </w:r>
            <w:r w:rsidR="007B437E">
              <w:rPr>
                <w:webHidden/>
              </w:rPr>
              <w:tab/>
            </w:r>
            <w:r w:rsidR="004119F6">
              <w:rPr>
                <w:webHidden/>
              </w:rPr>
              <w:tab/>
            </w:r>
            <w:r w:rsidR="004119F6">
              <w:rPr>
                <w:webHidden/>
              </w:rPr>
              <w:tab/>
              <w:t xml:space="preserve">          </w:t>
            </w:r>
            <w:r w:rsidR="007B437E">
              <w:rPr>
                <w:webHidden/>
              </w:rPr>
              <w:fldChar w:fldCharType="begin"/>
            </w:r>
            <w:r w:rsidR="007B437E">
              <w:rPr>
                <w:webHidden/>
              </w:rPr>
              <w:instrText xml:space="preserve"> PAGEREF _Toc165497168 \h </w:instrText>
            </w:r>
            <w:r w:rsidR="007B437E">
              <w:rPr>
                <w:webHidden/>
              </w:rPr>
            </w:r>
            <w:r w:rsidR="007B437E">
              <w:rPr>
                <w:webHidden/>
              </w:rPr>
              <w:fldChar w:fldCharType="separate"/>
            </w:r>
            <w:r w:rsidR="007B437E">
              <w:rPr>
                <w:webHidden/>
              </w:rPr>
              <w:t>11</w:t>
            </w:r>
            <w:r w:rsidR="007B437E">
              <w:rPr>
                <w:webHidden/>
              </w:rPr>
              <w:fldChar w:fldCharType="end"/>
            </w:r>
          </w:hyperlink>
        </w:p>
        <w:p w14:paraId="69CD99FC" w14:textId="4CABB797" w:rsidR="007B437E" w:rsidRDefault="007A621B">
          <w:pPr>
            <w:pStyle w:val="TOC1"/>
            <w:rPr>
              <w:rFonts w:eastAsiaTheme="minorEastAsia"/>
              <w:b w:val="0"/>
              <w:bCs w:val="0"/>
              <w:color w:val="auto"/>
              <w:kern w:val="2"/>
              <w:szCs w:val="24"/>
              <w:lang w:eastAsia="en-GB"/>
              <w14:ligatures w14:val="standardContextual"/>
            </w:rPr>
          </w:pPr>
          <w:hyperlink w:anchor="_Toc165497169" w:history="1">
            <w:r w:rsidR="007B437E" w:rsidRPr="003853E8">
              <w:rPr>
                <w:rStyle w:val="Hyperlink"/>
              </w:rPr>
              <w:t>2. Progress against objectives</w:t>
            </w:r>
            <w:r w:rsidR="007B437E">
              <w:rPr>
                <w:webHidden/>
              </w:rPr>
              <w:tab/>
            </w:r>
            <w:r w:rsidR="007B437E">
              <w:rPr>
                <w:webHidden/>
              </w:rPr>
              <w:fldChar w:fldCharType="begin"/>
            </w:r>
            <w:r w:rsidR="007B437E">
              <w:rPr>
                <w:webHidden/>
              </w:rPr>
              <w:instrText xml:space="preserve"> PAGEREF _Toc165497169 \h </w:instrText>
            </w:r>
            <w:r w:rsidR="007B437E">
              <w:rPr>
                <w:webHidden/>
              </w:rPr>
            </w:r>
            <w:r w:rsidR="007B437E">
              <w:rPr>
                <w:webHidden/>
              </w:rPr>
              <w:fldChar w:fldCharType="separate"/>
            </w:r>
            <w:r w:rsidR="007B437E">
              <w:rPr>
                <w:webHidden/>
              </w:rPr>
              <w:t>13</w:t>
            </w:r>
            <w:r w:rsidR="007B437E">
              <w:rPr>
                <w:webHidden/>
              </w:rPr>
              <w:fldChar w:fldCharType="end"/>
            </w:r>
          </w:hyperlink>
        </w:p>
        <w:p w14:paraId="0F993A1B" w14:textId="0BE6C7C0"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0" w:history="1">
            <w:r w:rsidR="007B437E" w:rsidRPr="003853E8">
              <w:rPr>
                <w:rStyle w:val="Hyperlink"/>
                <w:lang w:eastAsia="en-GB"/>
              </w:rPr>
              <w:t>2.1 Progress against objectives tables</w:t>
            </w:r>
            <w:r w:rsidR="007B437E">
              <w:rPr>
                <w:webHidden/>
              </w:rPr>
              <w:tab/>
            </w:r>
            <w:r w:rsidR="004119F6">
              <w:rPr>
                <w:webHidden/>
              </w:rPr>
              <w:tab/>
            </w:r>
            <w:r w:rsidR="004119F6">
              <w:rPr>
                <w:webHidden/>
              </w:rPr>
              <w:tab/>
              <w:t xml:space="preserve">          </w:t>
            </w:r>
            <w:r w:rsidR="007B437E">
              <w:rPr>
                <w:webHidden/>
              </w:rPr>
              <w:fldChar w:fldCharType="begin"/>
            </w:r>
            <w:r w:rsidR="007B437E">
              <w:rPr>
                <w:webHidden/>
              </w:rPr>
              <w:instrText xml:space="preserve"> PAGEREF _Toc165497170 \h </w:instrText>
            </w:r>
            <w:r w:rsidR="007B437E">
              <w:rPr>
                <w:webHidden/>
              </w:rPr>
            </w:r>
            <w:r w:rsidR="007B437E">
              <w:rPr>
                <w:webHidden/>
              </w:rPr>
              <w:fldChar w:fldCharType="separate"/>
            </w:r>
            <w:r w:rsidR="007B437E">
              <w:rPr>
                <w:webHidden/>
              </w:rPr>
              <w:t>13</w:t>
            </w:r>
            <w:r w:rsidR="007B437E">
              <w:rPr>
                <w:webHidden/>
              </w:rPr>
              <w:fldChar w:fldCharType="end"/>
            </w:r>
          </w:hyperlink>
        </w:p>
        <w:p w14:paraId="0456E452" w14:textId="788288E9" w:rsidR="007B437E" w:rsidRDefault="007A621B">
          <w:pPr>
            <w:pStyle w:val="TOC1"/>
            <w:rPr>
              <w:rFonts w:eastAsiaTheme="minorEastAsia"/>
              <w:b w:val="0"/>
              <w:bCs w:val="0"/>
              <w:color w:val="auto"/>
              <w:kern w:val="2"/>
              <w:szCs w:val="24"/>
              <w:lang w:eastAsia="en-GB"/>
              <w14:ligatures w14:val="standardContextual"/>
            </w:rPr>
          </w:pPr>
          <w:hyperlink w:anchor="_Toc165497171" w:history="1">
            <w:r w:rsidR="007B437E" w:rsidRPr="003853E8">
              <w:rPr>
                <w:rStyle w:val="Hyperlink"/>
              </w:rPr>
              <w:t>3. Introduction</w:t>
            </w:r>
            <w:r w:rsidR="007B437E">
              <w:rPr>
                <w:webHidden/>
              </w:rPr>
              <w:tab/>
            </w:r>
            <w:r w:rsidR="007B437E">
              <w:rPr>
                <w:webHidden/>
              </w:rPr>
              <w:fldChar w:fldCharType="begin"/>
            </w:r>
            <w:r w:rsidR="007B437E">
              <w:rPr>
                <w:webHidden/>
              </w:rPr>
              <w:instrText xml:space="preserve"> PAGEREF _Toc165497171 \h </w:instrText>
            </w:r>
            <w:r w:rsidR="007B437E">
              <w:rPr>
                <w:webHidden/>
              </w:rPr>
            </w:r>
            <w:r w:rsidR="007B437E">
              <w:rPr>
                <w:webHidden/>
              </w:rPr>
              <w:fldChar w:fldCharType="separate"/>
            </w:r>
            <w:r w:rsidR="007B437E">
              <w:rPr>
                <w:webHidden/>
              </w:rPr>
              <w:t>18</w:t>
            </w:r>
            <w:r w:rsidR="007B437E">
              <w:rPr>
                <w:webHidden/>
              </w:rPr>
              <w:fldChar w:fldCharType="end"/>
            </w:r>
          </w:hyperlink>
        </w:p>
        <w:p w14:paraId="1481CE58" w14:textId="233EA07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2" w:history="1">
            <w:r w:rsidR="007B437E" w:rsidRPr="003853E8">
              <w:rPr>
                <w:rStyle w:val="Hyperlink"/>
              </w:rPr>
              <w:t>3.1 This study</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_Toc165497172 \h </w:instrText>
            </w:r>
            <w:r w:rsidR="007B437E">
              <w:rPr>
                <w:webHidden/>
              </w:rPr>
            </w:r>
            <w:r w:rsidR="007B437E">
              <w:rPr>
                <w:webHidden/>
              </w:rPr>
              <w:fldChar w:fldCharType="separate"/>
            </w:r>
            <w:r w:rsidR="007B437E">
              <w:rPr>
                <w:webHidden/>
              </w:rPr>
              <w:t>18</w:t>
            </w:r>
            <w:r w:rsidR="007B437E">
              <w:rPr>
                <w:webHidden/>
              </w:rPr>
              <w:fldChar w:fldCharType="end"/>
            </w:r>
          </w:hyperlink>
        </w:p>
        <w:p w14:paraId="52D5D46B" w14:textId="7037A0ED"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3" w:history="1">
            <w:r w:rsidR="007B437E" w:rsidRPr="003853E8">
              <w:rPr>
                <w:rStyle w:val="Hyperlink"/>
              </w:rPr>
              <w:t>3.2 The Regional Angels Programme objectives</w:t>
            </w:r>
            <w:r w:rsidR="007B437E">
              <w:rPr>
                <w:webHidden/>
              </w:rPr>
              <w:tab/>
            </w:r>
            <w:r w:rsidR="001E21D6">
              <w:rPr>
                <w:webHidden/>
              </w:rPr>
              <w:tab/>
              <w:t xml:space="preserve">          </w:t>
            </w:r>
            <w:r w:rsidR="007B437E">
              <w:rPr>
                <w:webHidden/>
              </w:rPr>
              <w:fldChar w:fldCharType="begin"/>
            </w:r>
            <w:r w:rsidR="007B437E">
              <w:rPr>
                <w:webHidden/>
              </w:rPr>
              <w:instrText xml:space="preserve"> PAGEREF _Toc165497173 \h </w:instrText>
            </w:r>
            <w:r w:rsidR="007B437E">
              <w:rPr>
                <w:webHidden/>
              </w:rPr>
            </w:r>
            <w:r w:rsidR="007B437E">
              <w:rPr>
                <w:webHidden/>
              </w:rPr>
              <w:fldChar w:fldCharType="separate"/>
            </w:r>
            <w:r w:rsidR="007B437E">
              <w:rPr>
                <w:webHidden/>
              </w:rPr>
              <w:t>19</w:t>
            </w:r>
            <w:r w:rsidR="007B437E">
              <w:rPr>
                <w:webHidden/>
              </w:rPr>
              <w:fldChar w:fldCharType="end"/>
            </w:r>
          </w:hyperlink>
        </w:p>
        <w:p w14:paraId="7042ED87" w14:textId="05BDE214"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4" w:history="1">
            <w:r w:rsidR="007B437E" w:rsidRPr="003853E8">
              <w:rPr>
                <w:rStyle w:val="Hyperlink"/>
              </w:rPr>
              <w:t>3.3 Market conditions under which RAP was launched</w:t>
            </w:r>
            <w:r w:rsidR="007B437E">
              <w:rPr>
                <w:webHidden/>
              </w:rPr>
              <w:tab/>
            </w:r>
            <w:r w:rsidR="001E21D6">
              <w:rPr>
                <w:webHidden/>
              </w:rPr>
              <w:t xml:space="preserve">          </w:t>
            </w:r>
            <w:r w:rsidR="007B437E">
              <w:rPr>
                <w:webHidden/>
              </w:rPr>
              <w:fldChar w:fldCharType="begin"/>
            </w:r>
            <w:r w:rsidR="007B437E">
              <w:rPr>
                <w:webHidden/>
              </w:rPr>
              <w:instrText xml:space="preserve"> PAGEREF _Toc165497174 \h </w:instrText>
            </w:r>
            <w:r w:rsidR="007B437E">
              <w:rPr>
                <w:webHidden/>
              </w:rPr>
            </w:r>
            <w:r w:rsidR="007B437E">
              <w:rPr>
                <w:webHidden/>
              </w:rPr>
              <w:fldChar w:fldCharType="separate"/>
            </w:r>
            <w:r w:rsidR="007B437E">
              <w:rPr>
                <w:webHidden/>
              </w:rPr>
              <w:t>22</w:t>
            </w:r>
            <w:r w:rsidR="007B437E">
              <w:rPr>
                <w:webHidden/>
              </w:rPr>
              <w:fldChar w:fldCharType="end"/>
            </w:r>
          </w:hyperlink>
        </w:p>
        <w:p w14:paraId="529F3A05" w14:textId="4D4701C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5" w:history="1">
            <w:r w:rsidR="007B437E" w:rsidRPr="003853E8">
              <w:rPr>
                <w:rStyle w:val="Hyperlink"/>
              </w:rPr>
              <w:t>3.4 Methodology</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_Toc165497175 \h </w:instrText>
            </w:r>
            <w:r w:rsidR="007B437E">
              <w:rPr>
                <w:webHidden/>
              </w:rPr>
            </w:r>
            <w:r w:rsidR="007B437E">
              <w:rPr>
                <w:webHidden/>
              </w:rPr>
              <w:fldChar w:fldCharType="separate"/>
            </w:r>
            <w:r w:rsidR="007B437E">
              <w:rPr>
                <w:webHidden/>
              </w:rPr>
              <w:t>23</w:t>
            </w:r>
            <w:r w:rsidR="007B437E">
              <w:rPr>
                <w:webHidden/>
              </w:rPr>
              <w:fldChar w:fldCharType="end"/>
            </w:r>
          </w:hyperlink>
        </w:p>
        <w:p w14:paraId="4181B3E6" w14:textId="0DCFCFC5" w:rsidR="007B437E" w:rsidRDefault="007A621B">
          <w:pPr>
            <w:pStyle w:val="TOC1"/>
            <w:rPr>
              <w:rFonts w:eastAsiaTheme="minorEastAsia"/>
              <w:b w:val="0"/>
              <w:bCs w:val="0"/>
              <w:color w:val="auto"/>
              <w:kern w:val="2"/>
              <w:szCs w:val="24"/>
              <w:lang w:eastAsia="en-GB"/>
              <w14:ligatures w14:val="standardContextual"/>
            </w:rPr>
          </w:pPr>
          <w:hyperlink w:anchor="_Toc165497176" w:history="1">
            <w:r w:rsidR="007B437E" w:rsidRPr="003853E8">
              <w:rPr>
                <w:rStyle w:val="Hyperlink"/>
              </w:rPr>
              <w:t>4. The need for intervention</w:t>
            </w:r>
            <w:r w:rsidR="007B437E">
              <w:rPr>
                <w:webHidden/>
              </w:rPr>
              <w:tab/>
            </w:r>
            <w:r w:rsidR="007B437E">
              <w:rPr>
                <w:webHidden/>
              </w:rPr>
              <w:fldChar w:fldCharType="begin"/>
            </w:r>
            <w:r w:rsidR="007B437E">
              <w:rPr>
                <w:webHidden/>
              </w:rPr>
              <w:instrText xml:space="preserve"> PAGEREF _Toc165497176 \h </w:instrText>
            </w:r>
            <w:r w:rsidR="007B437E">
              <w:rPr>
                <w:webHidden/>
              </w:rPr>
            </w:r>
            <w:r w:rsidR="007B437E">
              <w:rPr>
                <w:webHidden/>
              </w:rPr>
              <w:fldChar w:fldCharType="separate"/>
            </w:r>
            <w:r w:rsidR="007B437E">
              <w:rPr>
                <w:webHidden/>
              </w:rPr>
              <w:t>25</w:t>
            </w:r>
            <w:r w:rsidR="007B437E">
              <w:rPr>
                <w:webHidden/>
              </w:rPr>
              <w:fldChar w:fldCharType="end"/>
            </w:r>
          </w:hyperlink>
        </w:p>
        <w:p w14:paraId="27DF4F7B" w14:textId="13E59954"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7" w:history="1">
            <w:r w:rsidR="007B437E" w:rsidRPr="003853E8">
              <w:rPr>
                <w:rStyle w:val="Hyperlink"/>
              </w:rPr>
              <w:t>4.1 Key Findings</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_Toc165497177 \h </w:instrText>
            </w:r>
            <w:r w:rsidR="007B437E">
              <w:rPr>
                <w:webHidden/>
              </w:rPr>
            </w:r>
            <w:r w:rsidR="007B437E">
              <w:rPr>
                <w:webHidden/>
              </w:rPr>
              <w:fldChar w:fldCharType="separate"/>
            </w:r>
            <w:r w:rsidR="007B437E">
              <w:rPr>
                <w:webHidden/>
              </w:rPr>
              <w:t>25</w:t>
            </w:r>
            <w:r w:rsidR="007B437E">
              <w:rPr>
                <w:webHidden/>
              </w:rPr>
              <w:fldChar w:fldCharType="end"/>
            </w:r>
          </w:hyperlink>
        </w:p>
        <w:p w14:paraId="3CF8DBC1" w14:textId="0E952B75"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8" w:history="1">
            <w:r w:rsidR="007B437E" w:rsidRPr="003853E8">
              <w:rPr>
                <w:rStyle w:val="Hyperlink"/>
              </w:rPr>
              <w:t>4.2 Regional inequalities in the angel investment ecosystem</w:t>
            </w:r>
            <w:r w:rsidR="001E21D6">
              <w:rPr>
                <w:webHidden/>
              </w:rPr>
              <w:t xml:space="preserve">     </w:t>
            </w:r>
            <w:r w:rsidR="007B437E">
              <w:rPr>
                <w:webHidden/>
              </w:rPr>
              <w:fldChar w:fldCharType="begin"/>
            </w:r>
            <w:r w:rsidR="007B437E">
              <w:rPr>
                <w:webHidden/>
              </w:rPr>
              <w:instrText xml:space="preserve"> PAGEREF _Toc165497178 \h </w:instrText>
            </w:r>
            <w:r w:rsidR="007B437E">
              <w:rPr>
                <w:webHidden/>
              </w:rPr>
            </w:r>
            <w:r w:rsidR="007B437E">
              <w:rPr>
                <w:webHidden/>
              </w:rPr>
              <w:fldChar w:fldCharType="separate"/>
            </w:r>
            <w:r w:rsidR="007B437E">
              <w:rPr>
                <w:webHidden/>
              </w:rPr>
              <w:t>25</w:t>
            </w:r>
            <w:r w:rsidR="007B437E">
              <w:rPr>
                <w:webHidden/>
              </w:rPr>
              <w:fldChar w:fldCharType="end"/>
            </w:r>
          </w:hyperlink>
        </w:p>
        <w:p w14:paraId="32134C30" w14:textId="02C94450"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79" w:history="1">
            <w:r w:rsidR="007B437E" w:rsidRPr="003853E8">
              <w:rPr>
                <w:rStyle w:val="Hyperlink"/>
              </w:rPr>
              <w:t>4.3 A lack of government intervention in the angel investment ecosystem</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_Toc165497179 \h </w:instrText>
            </w:r>
            <w:r w:rsidR="007B437E">
              <w:rPr>
                <w:webHidden/>
              </w:rPr>
            </w:r>
            <w:r w:rsidR="007B437E">
              <w:rPr>
                <w:webHidden/>
              </w:rPr>
              <w:fldChar w:fldCharType="separate"/>
            </w:r>
            <w:r w:rsidR="007B437E">
              <w:rPr>
                <w:webHidden/>
              </w:rPr>
              <w:t>27</w:t>
            </w:r>
            <w:r w:rsidR="007B437E">
              <w:rPr>
                <w:webHidden/>
              </w:rPr>
              <w:fldChar w:fldCharType="end"/>
            </w:r>
          </w:hyperlink>
        </w:p>
        <w:p w14:paraId="295E9572" w14:textId="6E40A052"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0" w:history="1">
            <w:r w:rsidR="007B437E" w:rsidRPr="003853E8">
              <w:rPr>
                <w:rStyle w:val="Hyperlink"/>
              </w:rPr>
              <w:t>4.4 Assessment of the merits and disadvantages of the RAP model</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_Toc165497180 \h </w:instrText>
            </w:r>
            <w:r w:rsidR="007B437E">
              <w:rPr>
                <w:webHidden/>
              </w:rPr>
            </w:r>
            <w:r w:rsidR="007B437E">
              <w:rPr>
                <w:webHidden/>
              </w:rPr>
              <w:fldChar w:fldCharType="separate"/>
            </w:r>
            <w:r w:rsidR="007B437E">
              <w:rPr>
                <w:webHidden/>
              </w:rPr>
              <w:t>28</w:t>
            </w:r>
            <w:r w:rsidR="007B437E">
              <w:rPr>
                <w:webHidden/>
              </w:rPr>
              <w:fldChar w:fldCharType="end"/>
            </w:r>
          </w:hyperlink>
        </w:p>
        <w:p w14:paraId="2C97FF3F" w14:textId="3399D7F3" w:rsidR="007B437E" w:rsidRDefault="007A621B">
          <w:pPr>
            <w:pStyle w:val="TOC1"/>
            <w:rPr>
              <w:rFonts w:eastAsiaTheme="minorEastAsia"/>
              <w:b w:val="0"/>
              <w:bCs w:val="0"/>
              <w:color w:val="auto"/>
              <w:kern w:val="2"/>
              <w:szCs w:val="24"/>
              <w:lang w:eastAsia="en-GB"/>
              <w14:ligatures w14:val="standardContextual"/>
            </w:rPr>
          </w:pPr>
          <w:hyperlink w:anchor="_Toc165497181" w:history="1">
            <w:r w:rsidR="007B437E" w:rsidRPr="003853E8">
              <w:rPr>
                <w:rStyle w:val="Hyperlink"/>
              </w:rPr>
              <w:t>5. Rigorous application process improved professionalism</w:t>
            </w:r>
            <w:r w:rsidR="007B437E">
              <w:rPr>
                <w:webHidden/>
              </w:rPr>
              <w:tab/>
            </w:r>
            <w:r w:rsidR="007B437E">
              <w:rPr>
                <w:webHidden/>
              </w:rPr>
              <w:fldChar w:fldCharType="begin"/>
            </w:r>
            <w:r w:rsidR="007B437E">
              <w:rPr>
                <w:webHidden/>
              </w:rPr>
              <w:instrText xml:space="preserve"> PAGEREF _Toc165497181 \h </w:instrText>
            </w:r>
            <w:r w:rsidR="007B437E">
              <w:rPr>
                <w:webHidden/>
              </w:rPr>
            </w:r>
            <w:r w:rsidR="007B437E">
              <w:rPr>
                <w:webHidden/>
              </w:rPr>
              <w:fldChar w:fldCharType="separate"/>
            </w:r>
            <w:r w:rsidR="007B437E">
              <w:rPr>
                <w:webHidden/>
              </w:rPr>
              <w:t>32</w:t>
            </w:r>
            <w:r w:rsidR="007B437E">
              <w:rPr>
                <w:webHidden/>
              </w:rPr>
              <w:fldChar w:fldCharType="end"/>
            </w:r>
          </w:hyperlink>
        </w:p>
        <w:p w14:paraId="5E27DCA4" w14:textId="67B0DF61"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2" w:history="1">
            <w:r w:rsidR="007B437E" w:rsidRPr="003853E8">
              <w:rPr>
                <w:rStyle w:val="Hyperlink"/>
              </w:rPr>
              <w:t>5.1 Key Findings</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_Toc165497182 \h </w:instrText>
            </w:r>
            <w:r w:rsidR="007B437E">
              <w:rPr>
                <w:webHidden/>
              </w:rPr>
            </w:r>
            <w:r w:rsidR="007B437E">
              <w:rPr>
                <w:webHidden/>
              </w:rPr>
              <w:fldChar w:fldCharType="separate"/>
            </w:r>
            <w:r w:rsidR="007B437E">
              <w:rPr>
                <w:webHidden/>
              </w:rPr>
              <w:t>32</w:t>
            </w:r>
            <w:r w:rsidR="007B437E">
              <w:rPr>
                <w:webHidden/>
              </w:rPr>
              <w:fldChar w:fldCharType="end"/>
            </w:r>
          </w:hyperlink>
        </w:p>
        <w:p w14:paraId="3A4867BB" w14:textId="0BC4D80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3" w:history="1">
            <w:r w:rsidR="007B437E" w:rsidRPr="003853E8">
              <w:rPr>
                <w:rStyle w:val="Hyperlink"/>
              </w:rPr>
              <w:t>5.2 Programme design and implementation</w:t>
            </w:r>
            <w:r w:rsidR="001E21D6">
              <w:rPr>
                <w:rStyle w:val="Hyperlink"/>
              </w:rPr>
              <w:tab/>
            </w:r>
            <w:r w:rsidR="001E21D6">
              <w:rPr>
                <w:rStyle w:val="Hyperlink"/>
              </w:rPr>
              <w:tab/>
              <w:t xml:space="preserve">                 </w:t>
            </w:r>
            <w:r w:rsidR="001E21D6">
              <w:rPr>
                <w:webHidden/>
              </w:rPr>
              <w:t xml:space="preserve">     </w:t>
            </w:r>
            <w:r w:rsidR="007B437E">
              <w:rPr>
                <w:webHidden/>
              </w:rPr>
              <w:fldChar w:fldCharType="begin"/>
            </w:r>
            <w:r w:rsidR="007B437E">
              <w:rPr>
                <w:webHidden/>
              </w:rPr>
              <w:instrText xml:space="preserve"> PAGEREF _Toc165497183 \h </w:instrText>
            </w:r>
            <w:r w:rsidR="007B437E">
              <w:rPr>
                <w:webHidden/>
              </w:rPr>
            </w:r>
            <w:r w:rsidR="007B437E">
              <w:rPr>
                <w:webHidden/>
              </w:rPr>
              <w:fldChar w:fldCharType="separate"/>
            </w:r>
            <w:r w:rsidR="007B437E">
              <w:rPr>
                <w:webHidden/>
              </w:rPr>
              <w:t>32</w:t>
            </w:r>
            <w:r w:rsidR="007B437E">
              <w:rPr>
                <w:webHidden/>
              </w:rPr>
              <w:fldChar w:fldCharType="end"/>
            </w:r>
          </w:hyperlink>
        </w:p>
        <w:p w14:paraId="06C036D8" w14:textId="6824BA5E"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4" w:history="1">
            <w:r w:rsidR="007B437E" w:rsidRPr="003853E8">
              <w:rPr>
                <w:rStyle w:val="Hyperlink"/>
              </w:rPr>
              <w:t>5.3 Overview of the Partners and geographic spread</w:t>
            </w:r>
            <w:r w:rsidR="007B437E">
              <w:rPr>
                <w:webHidden/>
              </w:rPr>
              <w:tab/>
            </w:r>
            <w:r w:rsidR="001E21D6">
              <w:rPr>
                <w:webHidden/>
              </w:rPr>
              <w:t xml:space="preserve">          </w:t>
            </w:r>
            <w:r w:rsidR="007B437E">
              <w:rPr>
                <w:webHidden/>
              </w:rPr>
              <w:fldChar w:fldCharType="begin"/>
            </w:r>
            <w:r w:rsidR="007B437E">
              <w:rPr>
                <w:webHidden/>
              </w:rPr>
              <w:instrText xml:space="preserve"> PAGEREF _Toc165497184 \h </w:instrText>
            </w:r>
            <w:r w:rsidR="007B437E">
              <w:rPr>
                <w:webHidden/>
              </w:rPr>
            </w:r>
            <w:r w:rsidR="007B437E">
              <w:rPr>
                <w:webHidden/>
              </w:rPr>
              <w:fldChar w:fldCharType="separate"/>
            </w:r>
            <w:r w:rsidR="007B437E">
              <w:rPr>
                <w:webHidden/>
              </w:rPr>
              <w:t>36</w:t>
            </w:r>
            <w:r w:rsidR="007B437E">
              <w:rPr>
                <w:webHidden/>
              </w:rPr>
              <w:fldChar w:fldCharType="end"/>
            </w:r>
          </w:hyperlink>
        </w:p>
        <w:p w14:paraId="1704C201" w14:textId="07D4F4E5"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5" w:history="1">
            <w:r w:rsidR="007B437E" w:rsidRPr="003853E8">
              <w:rPr>
                <w:rStyle w:val="Hyperlink"/>
              </w:rPr>
              <w:t>5.4 The application process is rigorous and time consuming</w:t>
            </w:r>
            <w:r w:rsidR="001E21D6">
              <w:rPr>
                <w:webHidden/>
              </w:rPr>
              <w:t xml:space="preserve">      </w:t>
            </w:r>
            <w:r w:rsidR="007B437E">
              <w:rPr>
                <w:webHidden/>
              </w:rPr>
              <w:fldChar w:fldCharType="begin"/>
            </w:r>
            <w:r w:rsidR="007B437E">
              <w:rPr>
                <w:webHidden/>
              </w:rPr>
              <w:instrText xml:space="preserve"> PAGEREF _Toc165497185 \h </w:instrText>
            </w:r>
            <w:r w:rsidR="007B437E">
              <w:rPr>
                <w:webHidden/>
              </w:rPr>
            </w:r>
            <w:r w:rsidR="007B437E">
              <w:rPr>
                <w:webHidden/>
              </w:rPr>
              <w:fldChar w:fldCharType="separate"/>
            </w:r>
            <w:r w:rsidR="007B437E">
              <w:rPr>
                <w:webHidden/>
              </w:rPr>
              <w:t>38</w:t>
            </w:r>
            <w:r w:rsidR="007B437E">
              <w:rPr>
                <w:webHidden/>
              </w:rPr>
              <w:fldChar w:fldCharType="end"/>
            </w:r>
          </w:hyperlink>
        </w:p>
        <w:p w14:paraId="2C93696B" w14:textId="6A59F06B"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6" w:history="1">
            <w:r w:rsidR="007B437E" w:rsidRPr="003853E8">
              <w:rPr>
                <w:rStyle w:val="Hyperlink"/>
              </w:rPr>
              <w:t>5.5 The process allowed Partners to develop their professionalism and reputations</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_Toc165497186 \h </w:instrText>
            </w:r>
            <w:r w:rsidR="007B437E">
              <w:rPr>
                <w:webHidden/>
              </w:rPr>
            </w:r>
            <w:r w:rsidR="007B437E">
              <w:rPr>
                <w:webHidden/>
              </w:rPr>
              <w:fldChar w:fldCharType="separate"/>
            </w:r>
            <w:r w:rsidR="007B437E">
              <w:rPr>
                <w:webHidden/>
              </w:rPr>
              <w:t>39</w:t>
            </w:r>
            <w:r w:rsidR="007B437E">
              <w:rPr>
                <w:webHidden/>
              </w:rPr>
              <w:fldChar w:fldCharType="end"/>
            </w:r>
          </w:hyperlink>
        </w:p>
        <w:p w14:paraId="2E400B88" w14:textId="06E9223E" w:rsidR="007B437E" w:rsidRDefault="007A621B">
          <w:pPr>
            <w:pStyle w:val="TOC1"/>
            <w:rPr>
              <w:rFonts w:eastAsiaTheme="minorEastAsia"/>
              <w:b w:val="0"/>
              <w:bCs w:val="0"/>
              <w:color w:val="auto"/>
              <w:kern w:val="2"/>
              <w:szCs w:val="24"/>
              <w:lang w:eastAsia="en-GB"/>
              <w14:ligatures w14:val="standardContextual"/>
            </w:rPr>
          </w:pPr>
          <w:hyperlink w:anchor="_Toc165497187" w:history="1">
            <w:r w:rsidR="007B437E" w:rsidRPr="003853E8">
              <w:rPr>
                <w:rStyle w:val="Hyperlink"/>
                <w:rFonts w:asciiTheme="majorHAnsi" w:eastAsiaTheme="majorEastAsia" w:hAnsiTheme="majorHAnsi" w:cstheme="majorBidi"/>
              </w:rPr>
              <w:t>6. Partner journey and experience</w:t>
            </w:r>
            <w:r w:rsidR="007B437E">
              <w:rPr>
                <w:webHidden/>
              </w:rPr>
              <w:tab/>
            </w:r>
            <w:r w:rsidR="007B437E">
              <w:rPr>
                <w:webHidden/>
              </w:rPr>
              <w:fldChar w:fldCharType="begin"/>
            </w:r>
            <w:r w:rsidR="007B437E">
              <w:rPr>
                <w:webHidden/>
              </w:rPr>
              <w:instrText xml:space="preserve"> PAGEREF _Toc165497187 \h </w:instrText>
            </w:r>
            <w:r w:rsidR="007B437E">
              <w:rPr>
                <w:webHidden/>
              </w:rPr>
            </w:r>
            <w:r w:rsidR="007B437E">
              <w:rPr>
                <w:webHidden/>
              </w:rPr>
              <w:fldChar w:fldCharType="separate"/>
            </w:r>
            <w:r w:rsidR="007B437E">
              <w:rPr>
                <w:webHidden/>
              </w:rPr>
              <w:t>41</w:t>
            </w:r>
            <w:r w:rsidR="007B437E">
              <w:rPr>
                <w:webHidden/>
              </w:rPr>
              <w:fldChar w:fldCharType="end"/>
            </w:r>
          </w:hyperlink>
        </w:p>
        <w:p w14:paraId="6A073C31" w14:textId="744CF20B"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8" w:history="1">
            <w:r w:rsidR="007B437E" w:rsidRPr="003853E8">
              <w:rPr>
                <w:rStyle w:val="Hyperlink"/>
              </w:rPr>
              <w:t>6.1 Key Findings</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_Toc165497188 \h </w:instrText>
            </w:r>
            <w:r w:rsidR="007B437E">
              <w:rPr>
                <w:webHidden/>
              </w:rPr>
            </w:r>
            <w:r w:rsidR="007B437E">
              <w:rPr>
                <w:webHidden/>
              </w:rPr>
              <w:fldChar w:fldCharType="separate"/>
            </w:r>
            <w:r w:rsidR="007B437E">
              <w:rPr>
                <w:webHidden/>
              </w:rPr>
              <w:t>41</w:t>
            </w:r>
            <w:r w:rsidR="007B437E">
              <w:rPr>
                <w:webHidden/>
              </w:rPr>
              <w:fldChar w:fldCharType="end"/>
            </w:r>
          </w:hyperlink>
        </w:p>
        <w:p w14:paraId="329D1132" w14:textId="43213631"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89" w:history="1">
            <w:r w:rsidR="007B437E" w:rsidRPr="003853E8">
              <w:rPr>
                <w:rStyle w:val="Hyperlink"/>
              </w:rPr>
              <w:t>6.2 Partners noted an increased ability to deploy more capital</w:t>
            </w:r>
            <w:r w:rsidR="001E21D6">
              <w:rPr>
                <w:webHidden/>
              </w:rPr>
              <w:t xml:space="preserve">   </w:t>
            </w:r>
            <w:r w:rsidR="007B437E">
              <w:rPr>
                <w:webHidden/>
              </w:rPr>
              <w:fldChar w:fldCharType="begin"/>
            </w:r>
            <w:r w:rsidR="007B437E">
              <w:rPr>
                <w:webHidden/>
              </w:rPr>
              <w:instrText xml:space="preserve"> PAGEREF _Toc165497189 \h </w:instrText>
            </w:r>
            <w:r w:rsidR="007B437E">
              <w:rPr>
                <w:webHidden/>
              </w:rPr>
            </w:r>
            <w:r w:rsidR="007B437E">
              <w:rPr>
                <w:webHidden/>
              </w:rPr>
              <w:fldChar w:fldCharType="separate"/>
            </w:r>
            <w:r w:rsidR="007B437E">
              <w:rPr>
                <w:webHidden/>
              </w:rPr>
              <w:t>41</w:t>
            </w:r>
            <w:r w:rsidR="007B437E">
              <w:rPr>
                <w:webHidden/>
              </w:rPr>
              <w:fldChar w:fldCharType="end"/>
            </w:r>
          </w:hyperlink>
        </w:p>
        <w:p w14:paraId="4EA98C7F" w14:textId="076F2FB5"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0" w:history="1">
            <w:r w:rsidR="007B437E" w:rsidRPr="003853E8">
              <w:rPr>
                <w:rStyle w:val="Hyperlink"/>
              </w:rPr>
              <w:t>6.3 Partners spoke positively about governance and reporting processes</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_Toc165497190 \h </w:instrText>
            </w:r>
            <w:r w:rsidR="007B437E">
              <w:rPr>
                <w:webHidden/>
              </w:rPr>
            </w:r>
            <w:r w:rsidR="007B437E">
              <w:rPr>
                <w:webHidden/>
              </w:rPr>
              <w:fldChar w:fldCharType="separate"/>
            </w:r>
            <w:r w:rsidR="007B437E">
              <w:rPr>
                <w:webHidden/>
              </w:rPr>
              <w:t>42</w:t>
            </w:r>
            <w:r w:rsidR="007B437E">
              <w:rPr>
                <w:webHidden/>
              </w:rPr>
              <w:fldChar w:fldCharType="end"/>
            </w:r>
          </w:hyperlink>
        </w:p>
        <w:p w14:paraId="597FBC1A" w14:textId="7E94BCFB"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1" w:history="1">
            <w:r w:rsidR="007B437E" w:rsidRPr="003853E8">
              <w:rPr>
                <w:rStyle w:val="Hyperlink"/>
              </w:rPr>
              <w:t xml:space="preserve">6.4 Partners were satisfied with the speed, clarity and flexibility </w:t>
            </w:r>
            <w:r w:rsidR="005408FA">
              <w:rPr>
                <w:rStyle w:val="Hyperlink"/>
              </w:rPr>
              <w:t xml:space="preserve">  </w:t>
            </w:r>
            <w:r w:rsidR="007B437E" w:rsidRPr="003853E8">
              <w:rPr>
                <w:rStyle w:val="Hyperlink"/>
              </w:rPr>
              <w:t>of the RAP team</w:t>
            </w:r>
            <w:r w:rsidR="007B437E">
              <w:rPr>
                <w:webHidden/>
              </w:rPr>
              <w:tab/>
            </w:r>
            <w:r w:rsidR="001E21D6">
              <w:rPr>
                <w:webHidden/>
              </w:rPr>
              <w:tab/>
            </w:r>
            <w:r w:rsidR="001E21D6">
              <w:rPr>
                <w:webHidden/>
              </w:rPr>
              <w:tab/>
              <w:t xml:space="preserve">          </w:t>
            </w:r>
            <w:r w:rsidR="007B437E">
              <w:rPr>
                <w:webHidden/>
              </w:rPr>
              <w:fldChar w:fldCharType="begin"/>
            </w:r>
            <w:r w:rsidR="007B437E">
              <w:rPr>
                <w:webHidden/>
              </w:rPr>
              <w:instrText xml:space="preserve"> PAGEREF _Toc165497191 \h </w:instrText>
            </w:r>
            <w:r w:rsidR="007B437E">
              <w:rPr>
                <w:webHidden/>
              </w:rPr>
            </w:r>
            <w:r w:rsidR="007B437E">
              <w:rPr>
                <w:webHidden/>
              </w:rPr>
              <w:fldChar w:fldCharType="separate"/>
            </w:r>
            <w:r w:rsidR="007B437E">
              <w:rPr>
                <w:webHidden/>
              </w:rPr>
              <w:t>42</w:t>
            </w:r>
            <w:r w:rsidR="007B437E">
              <w:rPr>
                <w:webHidden/>
              </w:rPr>
              <w:fldChar w:fldCharType="end"/>
            </w:r>
          </w:hyperlink>
        </w:p>
        <w:p w14:paraId="146014BA" w14:textId="242F6821" w:rsidR="007B437E" w:rsidRDefault="007A621B">
          <w:pPr>
            <w:pStyle w:val="TOC1"/>
            <w:rPr>
              <w:rFonts w:eastAsiaTheme="minorEastAsia"/>
              <w:b w:val="0"/>
              <w:bCs w:val="0"/>
              <w:color w:val="auto"/>
              <w:kern w:val="2"/>
              <w:szCs w:val="24"/>
              <w:lang w:eastAsia="en-GB"/>
              <w14:ligatures w14:val="standardContextual"/>
            </w:rPr>
          </w:pPr>
          <w:hyperlink w:anchor="_Toc165497192" w:history="1">
            <w:r w:rsidR="007B437E" w:rsidRPr="003853E8">
              <w:rPr>
                <w:rStyle w:val="Hyperlink"/>
              </w:rPr>
              <w:t>7. RAP funded firms showed considerable geographic and sector reach</w:t>
            </w:r>
            <w:r w:rsidR="007B437E">
              <w:rPr>
                <w:webHidden/>
              </w:rPr>
              <w:tab/>
            </w:r>
            <w:r w:rsidR="007B437E">
              <w:rPr>
                <w:webHidden/>
              </w:rPr>
              <w:fldChar w:fldCharType="begin"/>
            </w:r>
            <w:r w:rsidR="007B437E">
              <w:rPr>
                <w:webHidden/>
              </w:rPr>
              <w:instrText xml:space="preserve"> PAGEREF _Toc165497192 \h </w:instrText>
            </w:r>
            <w:r w:rsidR="007B437E">
              <w:rPr>
                <w:webHidden/>
              </w:rPr>
            </w:r>
            <w:r w:rsidR="007B437E">
              <w:rPr>
                <w:webHidden/>
              </w:rPr>
              <w:fldChar w:fldCharType="separate"/>
            </w:r>
            <w:r w:rsidR="007B437E">
              <w:rPr>
                <w:webHidden/>
              </w:rPr>
              <w:t>44</w:t>
            </w:r>
            <w:r w:rsidR="007B437E">
              <w:rPr>
                <w:webHidden/>
              </w:rPr>
              <w:fldChar w:fldCharType="end"/>
            </w:r>
          </w:hyperlink>
        </w:p>
        <w:p w14:paraId="4507F0E5" w14:textId="04F7BC71"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3" w:history="1">
            <w:r w:rsidR="007B437E" w:rsidRPr="003853E8">
              <w:rPr>
                <w:rStyle w:val="Hyperlink"/>
              </w:rPr>
              <w:t>7.1 Key Findings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_Toc165497193 \h </w:instrText>
            </w:r>
            <w:r w:rsidR="007B437E">
              <w:rPr>
                <w:webHidden/>
              </w:rPr>
            </w:r>
            <w:r w:rsidR="007B437E">
              <w:rPr>
                <w:webHidden/>
              </w:rPr>
              <w:fldChar w:fldCharType="separate"/>
            </w:r>
            <w:r w:rsidR="007B437E">
              <w:rPr>
                <w:webHidden/>
              </w:rPr>
              <w:t>44</w:t>
            </w:r>
            <w:r w:rsidR="007B437E">
              <w:rPr>
                <w:webHidden/>
              </w:rPr>
              <w:fldChar w:fldCharType="end"/>
            </w:r>
          </w:hyperlink>
        </w:p>
        <w:p w14:paraId="5CB16C6A" w14:textId="05D19D87"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4" w:history="1">
            <w:r w:rsidR="007B437E" w:rsidRPr="003853E8">
              <w:rPr>
                <w:rStyle w:val="Hyperlink"/>
              </w:rPr>
              <w:t>7.2 RAP has mobilised more private sector funding</w:t>
            </w:r>
            <w:r w:rsidR="007B437E">
              <w:rPr>
                <w:webHidden/>
              </w:rPr>
              <w:tab/>
            </w:r>
            <w:r w:rsidR="005408FA">
              <w:rPr>
                <w:webHidden/>
              </w:rPr>
              <w:t xml:space="preserve">          </w:t>
            </w:r>
            <w:r w:rsidR="007B437E">
              <w:rPr>
                <w:webHidden/>
              </w:rPr>
              <w:fldChar w:fldCharType="begin"/>
            </w:r>
            <w:r w:rsidR="007B437E">
              <w:rPr>
                <w:webHidden/>
              </w:rPr>
              <w:instrText xml:space="preserve"> PAGEREF _Toc165497194 \h </w:instrText>
            </w:r>
            <w:r w:rsidR="007B437E">
              <w:rPr>
                <w:webHidden/>
              </w:rPr>
            </w:r>
            <w:r w:rsidR="007B437E">
              <w:rPr>
                <w:webHidden/>
              </w:rPr>
              <w:fldChar w:fldCharType="separate"/>
            </w:r>
            <w:r w:rsidR="007B437E">
              <w:rPr>
                <w:webHidden/>
              </w:rPr>
              <w:t>44</w:t>
            </w:r>
            <w:r w:rsidR="007B437E">
              <w:rPr>
                <w:webHidden/>
              </w:rPr>
              <w:fldChar w:fldCharType="end"/>
            </w:r>
          </w:hyperlink>
        </w:p>
        <w:p w14:paraId="1D98F594" w14:textId="4DBC3F02"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5" w:history="1">
            <w:r w:rsidR="007B437E" w:rsidRPr="003853E8">
              <w:rPr>
                <w:rStyle w:val="Hyperlink"/>
              </w:rPr>
              <w:t>7.3 RAP funded firms from all regions across the UK – comparatively more funding went to regions outside London</w:t>
            </w:r>
            <w:r w:rsidR="005408FA">
              <w:rPr>
                <w:webHidden/>
              </w:rPr>
              <w:t xml:space="preserve">     </w:t>
            </w:r>
            <w:r w:rsidR="007B437E">
              <w:rPr>
                <w:webHidden/>
              </w:rPr>
              <w:fldChar w:fldCharType="begin"/>
            </w:r>
            <w:r w:rsidR="007B437E">
              <w:rPr>
                <w:webHidden/>
              </w:rPr>
              <w:instrText xml:space="preserve"> PAGEREF _Toc165497195 \h </w:instrText>
            </w:r>
            <w:r w:rsidR="007B437E">
              <w:rPr>
                <w:webHidden/>
              </w:rPr>
            </w:r>
            <w:r w:rsidR="007B437E">
              <w:rPr>
                <w:webHidden/>
              </w:rPr>
              <w:fldChar w:fldCharType="separate"/>
            </w:r>
            <w:r w:rsidR="007B437E">
              <w:rPr>
                <w:webHidden/>
              </w:rPr>
              <w:t>45</w:t>
            </w:r>
            <w:r w:rsidR="007B437E">
              <w:rPr>
                <w:webHidden/>
              </w:rPr>
              <w:fldChar w:fldCharType="end"/>
            </w:r>
          </w:hyperlink>
        </w:p>
        <w:p w14:paraId="1011E4CB" w14:textId="0731841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6" w:history="1">
            <w:r w:rsidR="007B437E" w:rsidRPr="003853E8">
              <w:rPr>
                <w:rStyle w:val="Hyperlink"/>
              </w:rPr>
              <w:t xml:space="preserve">7.4 RAP funded firms are concentrated in high growth </w:t>
            </w:r>
            <w:r w:rsidR="005408FA">
              <w:rPr>
                <w:rStyle w:val="Hyperlink"/>
              </w:rPr>
              <w:t xml:space="preserve">   </w:t>
            </w:r>
            <w:r w:rsidR="007B437E" w:rsidRPr="003853E8">
              <w:rPr>
                <w:rStyle w:val="Hyperlink"/>
              </w:rPr>
              <w:t>industries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_Toc165497196 \h </w:instrText>
            </w:r>
            <w:r w:rsidR="007B437E">
              <w:rPr>
                <w:webHidden/>
              </w:rPr>
            </w:r>
            <w:r w:rsidR="007B437E">
              <w:rPr>
                <w:webHidden/>
              </w:rPr>
              <w:fldChar w:fldCharType="separate"/>
            </w:r>
            <w:r w:rsidR="007B437E">
              <w:rPr>
                <w:webHidden/>
              </w:rPr>
              <w:t>50</w:t>
            </w:r>
            <w:r w:rsidR="007B437E">
              <w:rPr>
                <w:webHidden/>
              </w:rPr>
              <w:fldChar w:fldCharType="end"/>
            </w:r>
          </w:hyperlink>
        </w:p>
        <w:p w14:paraId="1982F1CD" w14:textId="2AC9424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7" w:history="1">
            <w:r w:rsidR="007B437E" w:rsidRPr="003853E8">
              <w:rPr>
                <w:rStyle w:val="Hyperlink"/>
              </w:rPr>
              <w:t>7.5 Recipient firms’ growth stage</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_Toc165497197 \h </w:instrText>
            </w:r>
            <w:r w:rsidR="007B437E">
              <w:rPr>
                <w:webHidden/>
              </w:rPr>
            </w:r>
            <w:r w:rsidR="007B437E">
              <w:rPr>
                <w:webHidden/>
              </w:rPr>
              <w:fldChar w:fldCharType="separate"/>
            </w:r>
            <w:r w:rsidR="007B437E">
              <w:rPr>
                <w:webHidden/>
              </w:rPr>
              <w:t>51</w:t>
            </w:r>
            <w:r w:rsidR="007B437E">
              <w:rPr>
                <w:webHidden/>
              </w:rPr>
              <w:fldChar w:fldCharType="end"/>
            </w:r>
          </w:hyperlink>
        </w:p>
        <w:p w14:paraId="4F8305D6" w14:textId="0CDBDD52" w:rsidR="007B437E" w:rsidRDefault="007A621B">
          <w:pPr>
            <w:pStyle w:val="TOC1"/>
            <w:rPr>
              <w:rFonts w:eastAsiaTheme="minorEastAsia"/>
              <w:b w:val="0"/>
              <w:bCs w:val="0"/>
              <w:color w:val="auto"/>
              <w:kern w:val="2"/>
              <w:szCs w:val="24"/>
              <w:lang w:eastAsia="en-GB"/>
              <w14:ligatures w14:val="standardContextual"/>
            </w:rPr>
          </w:pPr>
          <w:hyperlink w:anchor="_Toc165497198" w:history="1">
            <w:r w:rsidR="007B437E" w:rsidRPr="003853E8">
              <w:rPr>
                <w:rStyle w:val="Hyperlink"/>
              </w:rPr>
              <w:t>8. RAP early performance assessment</w:t>
            </w:r>
            <w:r w:rsidR="007B437E">
              <w:rPr>
                <w:webHidden/>
              </w:rPr>
              <w:tab/>
            </w:r>
            <w:r w:rsidR="007B437E">
              <w:rPr>
                <w:webHidden/>
              </w:rPr>
              <w:fldChar w:fldCharType="begin"/>
            </w:r>
            <w:r w:rsidR="007B437E">
              <w:rPr>
                <w:webHidden/>
              </w:rPr>
              <w:instrText xml:space="preserve"> PAGEREF _Toc165497198 \h </w:instrText>
            </w:r>
            <w:r w:rsidR="007B437E">
              <w:rPr>
                <w:webHidden/>
              </w:rPr>
            </w:r>
            <w:r w:rsidR="007B437E">
              <w:rPr>
                <w:webHidden/>
              </w:rPr>
              <w:fldChar w:fldCharType="separate"/>
            </w:r>
            <w:r w:rsidR="007B437E">
              <w:rPr>
                <w:webHidden/>
              </w:rPr>
              <w:t>53</w:t>
            </w:r>
            <w:r w:rsidR="007B437E">
              <w:rPr>
                <w:webHidden/>
              </w:rPr>
              <w:fldChar w:fldCharType="end"/>
            </w:r>
          </w:hyperlink>
        </w:p>
        <w:p w14:paraId="7083BDB4" w14:textId="6EF5093B"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199" w:history="1">
            <w:r w:rsidR="007B437E" w:rsidRPr="003853E8">
              <w:rPr>
                <w:rStyle w:val="Hyperlink"/>
              </w:rPr>
              <w:t>8.1 Key Findings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_Toc165497199 \h </w:instrText>
            </w:r>
            <w:r w:rsidR="007B437E">
              <w:rPr>
                <w:webHidden/>
              </w:rPr>
            </w:r>
            <w:r w:rsidR="007B437E">
              <w:rPr>
                <w:webHidden/>
              </w:rPr>
              <w:fldChar w:fldCharType="separate"/>
            </w:r>
            <w:r w:rsidR="007B437E">
              <w:rPr>
                <w:webHidden/>
              </w:rPr>
              <w:t>53</w:t>
            </w:r>
            <w:r w:rsidR="007B437E">
              <w:rPr>
                <w:webHidden/>
              </w:rPr>
              <w:fldChar w:fldCharType="end"/>
            </w:r>
          </w:hyperlink>
        </w:p>
        <w:p w14:paraId="09118FDD" w14:textId="5A2DACD8"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0" w:history="1">
            <w:r w:rsidR="007B437E" w:rsidRPr="003853E8">
              <w:rPr>
                <w:rStyle w:val="Hyperlink"/>
              </w:rPr>
              <w:t>8.2 Early indicative evidence of funding additionality</w:t>
            </w:r>
            <w:r w:rsidR="007B437E">
              <w:rPr>
                <w:webHidden/>
              </w:rPr>
              <w:tab/>
            </w:r>
            <w:r w:rsidR="005408FA">
              <w:rPr>
                <w:webHidden/>
              </w:rPr>
              <w:t xml:space="preserve">          </w:t>
            </w:r>
            <w:r w:rsidR="007B437E">
              <w:rPr>
                <w:webHidden/>
              </w:rPr>
              <w:fldChar w:fldCharType="begin"/>
            </w:r>
            <w:r w:rsidR="007B437E">
              <w:rPr>
                <w:webHidden/>
              </w:rPr>
              <w:instrText xml:space="preserve"> PAGEREF _Toc165497200 \h </w:instrText>
            </w:r>
            <w:r w:rsidR="007B437E">
              <w:rPr>
                <w:webHidden/>
              </w:rPr>
            </w:r>
            <w:r w:rsidR="007B437E">
              <w:rPr>
                <w:webHidden/>
              </w:rPr>
              <w:fldChar w:fldCharType="separate"/>
            </w:r>
            <w:r w:rsidR="007B437E">
              <w:rPr>
                <w:webHidden/>
              </w:rPr>
              <w:t>54</w:t>
            </w:r>
            <w:r w:rsidR="007B437E">
              <w:rPr>
                <w:webHidden/>
              </w:rPr>
              <w:fldChar w:fldCharType="end"/>
            </w:r>
          </w:hyperlink>
        </w:p>
        <w:p w14:paraId="01C8D34D" w14:textId="7E1E3905"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1" w:history="1">
            <w:r w:rsidR="007B437E" w:rsidRPr="003853E8">
              <w:rPr>
                <w:rStyle w:val="Hyperlink"/>
              </w:rPr>
              <w:t>8.3 Post-money valuations suggest weaker expected growth trajectory of RAP funded firms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_Toc165497201 \h </w:instrText>
            </w:r>
            <w:r w:rsidR="007B437E">
              <w:rPr>
                <w:webHidden/>
              </w:rPr>
            </w:r>
            <w:r w:rsidR="007B437E">
              <w:rPr>
                <w:webHidden/>
              </w:rPr>
              <w:fldChar w:fldCharType="separate"/>
            </w:r>
            <w:r w:rsidR="007B437E">
              <w:rPr>
                <w:webHidden/>
              </w:rPr>
              <w:t>57</w:t>
            </w:r>
            <w:r w:rsidR="007B437E">
              <w:rPr>
                <w:webHidden/>
              </w:rPr>
              <w:fldChar w:fldCharType="end"/>
            </w:r>
          </w:hyperlink>
        </w:p>
        <w:p w14:paraId="105EE56D" w14:textId="25B9D59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2" w:history="1">
            <w:r w:rsidR="007B437E" w:rsidRPr="003853E8">
              <w:rPr>
                <w:rStyle w:val="Hyperlink"/>
              </w:rPr>
              <w:t>8.4 Valuation to sales ratio shows similar story to post-money valuations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_Toc165497202 \h </w:instrText>
            </w:r>
            <w:r w:rsidR="007B437E">
              <w:rPr>
                <w:webHidden/>
              </w:rPr>
            </w:r>
            <w:r w:rsidR="007B437E">
              <w:rPr>
                <w:webHidden/>
              </w:rPr>
              <w:fldChar w:fldCharType="separate"/>
            </w:r>
            <w:r w:rsidR="007B437E">
              <w:rPr>
                <w:webHidden/>
              </w:rPr>
              <w:t>59</w:t>
            </w:r>
            <w:r w:rsidR="007B437E">
              <w:rPr>
                <w:webHidden/>
              </w:rPr>
              <w:fldChar w:fldCharType="end"/>
            </w:r>
          </w:hyperlink>
        </w:p>
        <w:p w14:paraId="23943FC6" w14:textId="6B3A4DFA"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3" w:history="1">
            <w:r w:rsidR="007B437E" w:rsidRPr="003853E8">
              <w:rPr>
                <w:rStyle w:val="Hyperlink"/>
              </w:rPr>
              <w:t>8.5 Impact on turnover is likely limited at this early stage</w:t>
            </w:r>
            <w:r w:rsidR="005408FA">
              <w:rPr>
                <w:rStyle w:val="Hyperlink"/>
              </w:rPr>
              <w:t xml:space="preserve"> </w:t>
            </w:r>
            <w:r w:rsidR="007B437E">
              <w:rPr>
                <w:webHidden/>
              </w:rPr>
              <w:tab/>
            </w:r>
            <w:r w:rsidR="005408FA">
              <w:rPr>
                <w:webHidden/>
              </w:rPr>
              <w:t xml:space="preserve">          </w:t>
            </w:r>
            <w:r w:rsidR="007B437E">
              <w:rPr>
                <w:webHidden/>
              </w:rPr>
              <w:fldChar w:fldCharType="begin"/>
            </w:r>
            <w:r w:rsidR="007B437E">
              <w:rPr>
                <w:webHidden/>
              </w:rPr>
              <w:instrText xml:space="preserve"> PAGEREF _Toc165497203 \h </w:instrText>
            </w:r>
            <w:r w:rsidR="007B437E">
              <w:rPr>
                <w:webHidden/>
              </w:rPr>
            </w:r>
            <w:r w:rsidR="007B437E">
              <w:rPr>
                <w:webHidden/>
              </w:rPr>
              <w:fldChar w:fldCharType="separate"/>
            </w:r>
            <w:r w:rsidR="007B437E">
              <w:rPr>
                <w:webHidden/>
              </w:rPr>
              <w:t>60</w:t>
            </w:r>
            <w:r w:rsidR="007B437E">
              <w:rPr>
                <w:webHidden/>
              </w:rPr>
              <w:fldChar w:fldCharType="end"/>
            </w:r>
          </w:hyperlink>
        </w:p>
        <w:p w14:paraId="095F49C1" w14:textId="324C1DA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4" w:history="1">
            <w:r w:rsidR="007B437E" w:rsidRPr="003853E8">
              <w:rPr>
                <w:rStyle w:val="Hyperlink"/>
              </w:rPr>
              <w:t>8.6 Employment trend proxy for business investment – salary payments/ IP production</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_Toc165497204 \h </w:instrText>
            </w:r>
            <w:r w:rsidR="007B437E">
              <w:rPr>
                <w:webHidden/>
              </w:rPr>
            </w:r>
            <w:r w:rsidR="007B437E">
              <w:rPr>
                <w:webHidden/>
              </w:rPr>
              <w:fldChar w:fldCharType="separate"/>
            </w:r>
            <w:r w:rsidR="007B437E">
              <w:rPr>
                <w:webHidden/>
              </w:rPr>
              <w:t>62</w:t>
            </w:r>
            <w:r w:rsidR="007B437E">
              <w:rPr>
                <w:webHidden/>
              </w:rPr>
              <w:fldChar w:fldCharType="end"/>
            </w:r>
          </w:hyperlink>
        </w:p>
        <w:p w14:paraId="279D14C8" w14:textId="02AB92AC"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5" w:history="1">
            <w:r w:rsidR="007B437E" w:rsidRPr="003853E8">
              <w:rPr>
                <w:rStyle w:val="Hyperlink"/>
              </w:rPr>
              <w:t>8.7 Value for Money assessment</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_Toc165497205 \h </w:instrText>
            </w:r>
            <w:r w:rsidR="007B437E">
              <w:rPr>
                <w:webHidden/>
              </w:rPr>
            </w:r>
            <w:r w:rsidR="007B437E">
              <w:rPr>
                <w:webHidden/>
              </w:rPr>
              <w:fldChar w:fldCharType="separate"/>
            </w:r>
            <w:r w:rsidR="007B437E">
              <w:rPr>
                <w:webHidden/>
              </w:rPr>
              <w:t>64</w:t>
            </w:r>
            <w:r w:rsidR="007B437E">
              <w:rPr>
                <w:webHidden/>
              </w:rPr>
              <w:fldChar w:fldCharType="end"/>
            </w:r>
          </w:hyperlink>
        </w:p>
        <w:p w14:paraId="503301D0" w14:textId="64D601CE" w:rsidR="007B437E" w:rsidRDefault="007A621B">
          <w:pPr>
            <w:pStyle w:val="TOC1"/>
            <w:rPr>
              <w:rFonts w:eastAsiaTheme="minorEastAsia"/>
              <w:b w:val="0"/>
              <w:bCs w:val="0"/>
              <w:color w:val="auto"/>
              <w:kern w:val="2"/>
              <w:szCs w:val="24"/>
              <w:lang w:eastAsia="en-GB"/>
              <w14:ligatures w14:val="standardContextual"/>
            </w:rPr>
          </w:pPr>
          <w:hyperlink w:anchor="_Toc165497206" w:history="1">
            <w:r w:rsidR="007B437E" w:rsidRPr="003853E8">
              <w:rPr>
                <w:rStyle w:val="Hyperlink"/>
              </w:rPr>
              <w:t>9. Lessons learnt and recommendations</w:t>
            </w:r>
            <w:r w:rsidR="007B437E">
              <w:rPr>
                <w:webHidden/>
              </w:rPr>
              <w:tab/>
            </w:r>
            <w:r w:rsidR="007B437E">
              <w:rPr>
                <w:webHidden/>
              </w:rPr>
              <w:fldChar w:fldCharType="begin"/>
            </w:r>
            <w:r w:rsidR="007B437E">
              <w:rPr>
                <w:webHidden/>
              </w:rPr>
              <w:instrText xml:space="preserve"> PAGEREF _Toc165497206 \h </w:instrText>
            </w:r>
            <w:r w:rsidR="007B437E">
              <w:rPr>
                <w:webHidden/>
              </w:rPr>
            </w:r>
            <w:r w:rsidR="007B437E">
              <w:rPr>
                <w:webHidden/>
              </w:rPr>
              <w:fldChar w:fldCharType="separate"/>
            </w:r>
            <w:r w:rsidR="007B437E">
              <w:rPr>
                <w:webHidden/>
              </w:rPr>
              <w:t>71</w:t>
            </w:r>
            <w:r w:rsidR="007B437E">
              <w:rPr>
                <w:webHidden/>
              </w:rPr>
              <w:fldChar w:fldCharType="end"/>
            </w:r>
          </w:hyperlink>
        </w:p>
        <w:p w14:paraId="4FD97B80" w14:textId="2DD61851"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7" w:history="1">
            <w:r w:rsidR="007B437E" w:rsidRPr="003853E8">
              <w:rPr>
                <w:rStyle w:val="Hyperlink"/>
              </w:rPr>
              <w:t>9.1 Lessons learnt and recommendations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_Toc165497207 \h </w:instrText>
            </w:r>
            <w:r w:rsidR="007B437E">
              <w:rPr>
                <w:webHidden/>
              </w:rPr>
            </w:r>
            <w:r w:rsidR="007B437E">
              <w:rPr>
                <w:webHidden/>
              </w:rPr>
              <w:fldChar w:fldCharType="separate"/>
            </w:r>
            <w:r w:rsidR="007B437E">
              <w:rPr>
                <w:webHidden/>
              </w:rPr>
              <w:t>71</w:t>
            </w:r>
            <w:r w:rsidR="007B437E">
              <w:rPr>
                <w:webHidden/>
              </w:rPr>
              <w:fldChar w:fldCharType="end"/>
            </w:r>
          </w:hyperlink>
        </w:p>
        <w:p w14:paraId="6563CFC4" w14:textId="68C75689" w:rsidR="007B437E" w:rsidRDefault="007A621B">
          <w:pPr>
            <w:pStyle w:val="TOC1"/>
            <w:rPr>
              <w:rFonts w:eastAsiaTheme="minorEastAsia"/>
              <w:b w:val="0"/>
              <w:bCs w:val="0"/>
              <w:color w:val="auto"/>
              <w:kern w:val="2"/>
              <w:szCs w:val="24"/>
              <w:lang w:eastAsia="en-GB"/>
              <w14:ligatures w14:val="standardContextual"/>
            </w:rPr>
          </w:pPr>
          <w:hyperlink w:anchor="_Toc165497208" w:history="1">
            <w:r w:rsidR="007B437E" w:rsidRPr="003853E8">
              <w:rPr>
                <w:rStyle w:val="Hyperlink"/>
                <w:rFonts w:eastAsia="SimHei" w:cs="Arial"/>
              </w:rPr>
              <w:t>Annexes</w:t>
            </w:r>
            <w:r w:rsidR="007B437E">
              <w:rPr>
                <w:webHidden/>
              </w:rPr>
              <w:tab/>
            </w:r>
            <w:r w:rsidR="007B437E">
              <w:rPr>
                <w:webHidden/>
              </w:rPr>
              <w:fldChar w:fldCharType="begin"/>
            </w:r>
            <w:r w:rsidR="007B437E">
              <w:rPr>
                <w:webHidden/>
              </w:rPr>
              <w:instrText xml:space="preserve"> PAGEREF _Toc165497208 \h </w:instrText>
            </w:r>
            <w:r w:rsidR="007B437E">
              <w:rPr>
                <w:webHidden/>
              </w:rPr>
            </w:r>
            <w:r w:rsidR="007B437E">
              <w:rPr>
                <w:webHidden/>
              </w:rPr>
              <w:fldChar w:fldCharType="separate"/>
            </w:r>
            <w:r w:rsidR="007B437E">
              <w:rPr>
                <w:webHidden/>
              </w:rPr>
              <w:t>73</w:t>
            </w:r>
            <w:r w:rsidR="007B437E">
              <w:rPr>
                <w:webHidden/>
              </w:rPr>
              <w:fldChar w:fldCharType="end"/>
            </w:r>
          </w:hyperlink>
        </w:p>
        <w:p w14:paraId="41266C1E" w14:textId="0F168A25"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09" w:history="1">
            <w:r w:rsidR="007B437E" w:rsidRPr="003853E8">
              <w:rPr>
                <w:rStyle w:val="Hyperlink"/>
              </w:rPr>
              <w:t>Annex A: Research Tools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_Toc165497209 \h </w:instrText>
            </w:r>
            <w:r w:rsidR="007B437E">
              <w:rPr>
                <w:webHidden/>
              </w:rPr>
            </w:r>
            <w:r w:rsidR="007B437E">
              <w:rPr>
                <w:webHidden/>
              </w:rPr>
              <w:fldChar w:fldCharType="separate"/>
            </w:r>
            <w:r w:rsidR="007B437E">
              <w:rPr>
                <w:webHidden/>
              </w:rPr>
              <w:t>73</w:t>
            </w:r>
            <w:r w:rsidR="007B437E">
              <w:rPr>
                <w:webHidden/>
              </w:rPr>
              <w:fldChar w:fldCharType="end"/>
            </w:r>
          </w:hyperlink>
        </w:p>
        <w:p w14:paraId="7A0E9389" w14:textId="63A8ECE9"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0" w:history="1">
            <w:r w:rsidR="007B437E" w:rsidRPr="003853E8">
              <w:rPr>
                <w:rStyle w:val="Hyperlink"/>
              </w:rPr>
              <w:t>Annex B: Regional Angels Programme eligibility criteria</w:t>
            </w:r>
            <w:r w:rsidR="007B437E">
              <w:rPr>
                <w:webHidden/>
              </w:rPr>
              <w:tab/>
            </w:r>
            <w:r w:rsidR="005408FA">
              <w:rPr>
                <w:webHidden/>
              </w:rPr>
              <w:t xml:space="preserve">        </w:t>
            </w:r>
            <w:r w:rsidR="007B437E">
              <w:rPr>
                <w:webHidden/>
              </w:rPr>
              <w:fldChar w:fldCharType="begin"/>
            </w:r>
            <w:r w:rsidR="007B437E">
              <w:rPr>
                <w:webHidden/>
              </w:rPr>
              <w:instrText xml:space="preserve"> PAGEREF _Toc165497210 \h </w:instrText>
            </w:r>
            <w:r w:rsidR="007B437E">
              <w:rPr>
                <w:webHidden/>
              </w:rPr>
            </w:r>
            <w:r w:rsidR="007B437E">
              <w:rPr>
                <w:webHidden/>
              </w:rPr>
              <w:fldChar w:fldCharType="separate"/>
            </w:r>
            <w:r w:rsidR="007B437E">
              <w:rPr>
                <w:webHidden/>
              </w:rPr>
              <w:t>103</w:t>
            </w:r>
            <w:r w:rsidR="007B437E">
              <w:rPr>
                <w:webHidden/>
              </w:rPr>
              <w:fldChar w:fldCharType="end"/>
            </w:r>
          </w:hyperlink>
        </w:p>
        <w:p w14:paraId="1C3EEA67" w14:textId="0E590BE6"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1" w:history="1">
            <w:r w:rsidR="007B437E" w:rsidRPr="003853E8">
              <w:rPr>
                <w:rStyle w:val="Hyperlink"/>
              </w:rPr>
              <w:t>Annex C: Theory of Change</w:t>
            </w:r>
            <w:r w:rsidR="007B437E">
              <w:rPr>
                <w:webHidden/>
              </w:rPr>
              <w:tab/>
            </w:r>
            <w:r w:rsidR="005408FA">
              <w:rPr>
                <w:webHidden/>
              </w:rPr>
              <w:t xml:space="preserve">    </w:t>
            </w:r>
            <w:r w:rsidR="005408FA">
              <w:rPr>
                <w:webHidden/>
              </w:rPr>
              <w:tab/>
            </w:r>
            <w:r w:rsidR="005408FA">
              <w:rPr>
                <w:webHidden/>
              </w:rPr>
              <w:tab/>
              <w:t xml:space="preserve">        </w:t>
            </w:r>
            <w:r w:rsidR="007B437E">
              <w:rPr>
                <w:webHidden/>
              </w:rPr>
              <w:fldChar w:fldCharType="begin"/>
            </w:r>
            <w:r w:rsidR="007B437E">
              <w:rPr>
                <w:webHidden/>
              </w:rPr>
              <w:instrText xml:space="preserve"> PAGEREF _Toc165497211 \h </w:instrText>
            </w:r>
            <w:r w:rsidR="007B437E">
              <w:rPr>
                <w:webHidden/>
              </w:rPr>
            </w:r>
            <w:r w:rsidR="007B437E">
              <w:rPr>
                <w:webHidden/>
              </w:rPr>
              <w:fldChar w:fldCharType="separate"/>
            </w:r>
            <w:r w:rsidR="007B437E">
              <w:rPr>
                <w:webHidden/>
              </w:rPr>
              <w:t>106</w:t>
            </w:r>
            <w:r w:rsidR="007B437E">
              <w:rPr>
                <w:webHidden/>
              </w:rPr>
              <w:fldChar w:fldCharType="end"/>
            </w:r>
          </w:hyperlink>
        </w:p>
        <w:p w14:paraId="34B3402B" w14:textId="2B22F2E7"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2" w:history="1">
            <w:r w:rsidR="007B437E" w:rsidRPr="003853E8">
              <w:rPr>
                <w:rStyle w:val="Hyperlink"/>
              </w:rPr>
              <w:t>Annex D: Regional Angels Programm</w:t>
            </w:r>
            <w:r w:rsidR="007B437E" w:rsidRPr="003853E8">
              <w:rPr>
                <w:rStyle w:val="Hyperlink"/>
              </w:rPr>
              <w:t>e</w:t>
            </w:r>
            <w:r w:rsidR="007B437E" w:rsidRPr="003853E8">
              <w:rPr>
                <w:rStyle w:val="Hyperlink"/>
              </w:rPr>
              <w:t xml:space="preserve"> funded firms </w:t>
            </w:r>
            <w:r w:rsidR="005408FA">
              <w:rPr>
                <w:rStyle w:val="Hyperlink"/>
              </w:rPr>
              <w:t xml:space="preserve"> </w:t>
            </w:r>
            <w:r w:rsidR="007B437E" w:rsidRPr="003853E8">
              <w:rPr>
                <w:rStyle w:val="Hyperlink"/>
              </w:rPr>
              <w:t>Management Information (MI) data analysis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_Toc165497212 \h </w:instrText>
            </w:r>
            <w:r w:rsidR="007B437E">
              <w:rPr>
                <w:webHidden/>
              </w:rPr>
            </w:r>
            <w:r w:rsidR="007B437E">
              <w:rPr>
                <w:webHidden/>
              </w:rPr>
              <w:fldChar w:fldCharType="separate"/>
            </w:r>
            <w:r w:rsidR="007B437E">
              <w:rPr>
                <w:webHidden/>
              </w:rPr>
              <w:t>117</w:t>
            </w:r>
            <w:r w:rsidR="007B437E">
              <w:rPr>
                <w:webHidden/>
              </w:rPr>
              <w:fldChar w:fldCharType="end"/>
            </w:r>
          </w:hyperlink>
        </w:p>
        <w:p w14:paraId="5BB187CA" w14:textId="4E72ED7F"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3" w:history="1">
            <w:r w:rsidR="007B437E" w:rsidRPr="003853E8">
              <w:rPr>
                <w:rStyle w:val="Hyperlink"/>
              </w:rPr>
              <w:t>Annex E: KPI trend analysis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_Toc165497213 \h </w:instrText>
            </w:r>
            <w:r w:rsidR="007B437E">
              <w:rPr>
                <w:webHidden/>
              </w:rPr>
            </w:r>
            <w:r w:rsidR="007B437E">
              <w:rPr>
                <w:webHidden/>
              </w:rPr>
              <w:fldChar w:fldCharType="separate"/>
            </w:r>
            <w:r w:rsidR="007B437E">
              <w:rPr>
                <w:webHidden/>
              </w:rPr>
              <w:t>126</w:t>
            </w:r>
            <w:r w:rsidR="007B437E">
              <w:rPr>
                <w:webHidden/>
              </w:rPr>
              <w:fldChar w:fldCharType="end"/>
            </w:r>
          </w:hyperlink>
        </w:p>
        <w:p w14:paraId="44B325E0" w14:textId="2F25972A"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4" w:history="1">
            <w:r w:rsidR="007B437E" w:rsidRPr="003853E8">
              <w:rPr>
                <w:rStyle w:val="Hyperlink"/>
              </w:rPr>
              <w:t>Annex F: Mapping of other schemes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_Toc165497214 \h </w:instrText>
            </w:r>
            <w:r w:rsidR="007B437E">
              <w:rPr>
                <w:webHidden/>
              </w:rPr>
            </w:r>
            <w:r w:rsidR="007B437E">
              <w:rPr>
                <w:webHidden/>
              </w:rPr>
              <w:fldChar w:fldCharType="separate"/>
            </w:r>
            <w:r w:rsidR="007B437E">
              <w:rPr>
                <w:webHidden/>
              </w:rPr>
              <w:t>131</w:t>
            </w:r>
            <w:r w:rsidR="007B437E">
              <w:rPr>
                <w:webHidden/>
              </w:rPr>
              <w:fldChar w:fldCharType="end"/>
            </w:r>
          </w:hyperlink>
        </w:p>
        <w:p w14:paraId="27C0E5E2" w14:textId="48477CA3"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5" w:history="1">
            <w:r w:rsidR="007B437E" w:rsidRPr="003853E8">
              <w:rPr>
                <w:rStyle w:val="Hyperlink"/>
              </w:rPr>
              <w:t>Annex G: Technical Methodology</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_Toc165497215 \h </w:instrText>
            </w:r>
            <w:r w:rsidR="007B437E">
              <w:rPr>
                <w:webHidden/>
              </w:rPr>
            </w:r>
            <w:r w:rsidR="007B437E">
              <w:rPr>
                <w:webHidden/>
              </w:rPr>
              <w:fldChar w:fldCharType="separate"/>
            </w:r>
            <w:r w:rsidR="007B437E">
              <w:rPr>
                <w:webHidden/>
              </w:rPr>
              <w:t>140</w:t>
            </w:r>
            <w:r w:rsidR="007B437E">
              <w:rPr>
                <w:webHidden/>
              </w:rPr>
              <w:fldChar w:fldCharType="end"/>
            </w:r>
          </w:hyperlink>
        </w:p>
        <w:p w14:paraId="2E3FCAF8" w14:textId="6B88D04C"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6" w:history="1">
            <w:r w:rsidR="007B437E" w:rsidRPr="003853E8">
              <w:rPr>
                <w:rStyle w:val="Hyperlink"/>
              </w:rPr>
              <w:t>Annex H: Econometric DiD Modelling</w:t>
            </w:r>
            <w:r w:rsidR="007B437E">
              <w:rPr>
                <w:webHidden/>
              </w:rPr>
              <w:tab/>
            </w:r>
            <w:r w:rsidR="005408FA">
              <w:rPr>
                <w:webHidden/>
              </w:rPr>
              <w:t xml:space="preserve">   </w:t>
            </w:r>
            <w:r w:rsidR="005408FA">
              <w:rPr>
                <w:webHidden/>
              </w:rPr>
              <w:tab/>
            </w:r>
            <w:r w:rsidR="005408FA">
              <w:rPr>
                <w:webHidden/>
              </w:rPr>
              <w:tab/>
              <w:t xml:space="preserve">        </w:t>
            </w:r>
            <w:r w:rsidR="007B437E">
              <w:rPr>
                <w:webHidden/>
              </w:rPr>
              <w:fldChar w:fldCharType="begin"/>
            </w:r>
            <w:r w:rsidR="007B437E">
              <w:rPr>
                <w:webHidden/>
              </w:rPr>
              <w:instrText xml:space="preserve"> PAGEREF _Toc165497216 \h </w:instrText>
            </w:r>
            <w:r w:rsidR="007B437E">
              <w:rPr>
                <w:webHidden/>
              </w:rPr>
            </w:r>
            <w:r w:rsidR="007B437E">
              <w:rPr>
                <w:webHidden/>
              </w:rPr>
              <w:fldChar w:fldCharType="separate"/>
            </w:r>
            <w:r w:rsidR="007B437E">
              <w:rPr>
                <w:webHidden/>
              </w:rPr>
              <w:t>159</w:t>
            </w:r>
            <w:r w:rsidR="007B437E">
              <w:rPr>
                <w:webHidden/>
              </w:rPr>
              <w:fldChar w:fldCharType="end"/>
            </w:r>
          </w:hyperlink>
        </w:p>
        <w:p w14:paraId="605A6AF4" w14:textId="2B843EFD" w:rsidR="007B437E" w:rsidRDefault="007A621B">
          <w:pPr>
            <w:pStyle w:val="TOC2"/>
            <w:rPr>
              <w:rFonts w:asciiTheme="minorHAnsi" w:eastAsiaTheme="minorEastAsia" w:hAnsiTheme="minorHAnsi" w:cstheme="minorBidi"/>
              <w:color w:val="auto"/>
              <w:kern w:val="2"/>
              <w:sz w:val="24"/>
              <w:szCs w:val="24"/>
              <w:lang w:eastAsia="en-GB"/>
              <w14:ligatures w14:val="standardContextual"/>
            </w:rPr>
          </w:pPr>
          <w:hyperlink w:anchor="_Toc165497217" w:history="1">
            <w:r w:rsidR="007B437E" w:rsidRPr="003853E8">
              <w:rPr>
                <w:rStyle w:val="Hyperlink"/>
              </w:rPr>
              <w:t>Annex I: Abbreviations</w:t>
            </w:r>
            <w:r w:rsidR="007B437E">
              <w:rPr>
                <w:webHidden/>
              </w:rPr>
              <w:tab/>
            </w:r>
            <w:r w:rsidR="005408FA">
              <w:rPr>
                <w:webHidden/>
              </w:rPr>
              <w:tab/>
            </w:r>
            <w:r w:rsidR="005408FA">
              <w:rPr>
                <w:webHidden/>
              </w:rPr>
              <w:tab/>
              <w:t xml:space="preserve">        </w:t>
            </w:r>
            <w:r w:rsidR="007B437E">
              <w:rPr>
                <w:webHidden/>
              </w:rPr>
              <w:fldChar w:fldCharType="begin"/>
            </w:r>
            <w:r w:rsidR="007B437E">
              <w:rPr>
                <w:webHidden/>
              </w:rPr>
              <w:instrText xml:space="preserve"> PAGEREF _Toc165497217 \h </w:instrText>
            </w:r>
            <w:r w:rsidR="007B437E">
              <w:rPr>
                <w:webHidden/>
              </w:rPr>
            </w:r>
            <w:r w:rsidR="007B437E">
              <w:rPr>
                <w:webHidden/>
              </w:rPr>
              <w:fldChar w:fldCharType="separate"/>
            </w:r>
            <w:r w:rsidR="007B437E">
              <w:rPr>
                <w:webHidden/>
              </w:rPr>
              <w:t>160</w:t>
            </w:r>
            <w:r w:rsidR="007B437E">
              <w:rPr>
                <w:webHidden/>
              </w:rPr>
              <w:fldChar w:fldCharType="end"/>
            </w:r>
          </w:hyperlink>
        </w:p>
        <w:p w14:paraId="2153BCCB" w14:textId="05CA8AFF" w:rsidR="007B437E" w:rsidRPr="005408FA" w:rsidRDefault="007A621B" w:rsidP="005408FA">
          <w:pPr>
            <w:pStyle w:val="TOC1"/>
            <w:rPr>
              <w:rFonts w:eastAsiaTheme="minorEastAsia"/>
              <w:b w:val="0"/>
              <w:bCs w:val="0"/>
              <w:color w:val="auto"/>
              <w:kern w:val="2"/>
              <w:szCs w:val="24"/>
              <w:lang w:eastAsia="en-GB"/>
              <w14:ligatures w14:val="standardContextual"/>
            </w:rPr>
            <w:sectPr w:rsidR="007B437E" w:rsidRPr="005408FA" w:rsidSect="00ED2122">
              <w:headerReference w:type="even" r:id="rId21"/>
              <w:headerReference w:type="default" r:id="rId22"/>
              <w:footerReference w:type="default" r:id="rId23"/>
              <w:headerReference w:type="first" r:id="rId24"/>
              <w:pgSz w:w="11906" w:h="16838"/>
              <w:pgMar w:top="1077" w:right="4366" w:bottom="1531" w:left="907" w:header="624" w:footer="0" w:gutter="0"/>
              <w:cols w:space="708"/>
              <w:docGrid w:linePitch="360"/>
            </w:sectPr>
          </w:pPr>
          <w:hyperlink w:anchor="_Toc165497218" w:history="1">
            <w:r w:rsidR="007B437E" w:rsidRPr="003853E8">
              <w:rPr>
                <w:rStyle w:val="Hyperlink"/>
                <w:rFonts w:eastAsia="SimHei" w:cs="Arial"/>
              </w:rPr>
              <w:t>Legal notices and disclaimers</w:t>
            </w:r>
            <w:r w:rsidR="007B437E">
              <w:rPr>
                <w:webHidden/>
              </w:rPr>
              <w:tab/>
            </w:r>
            <w:r w:rsidR="007B437E">
              <w:rPr>
                <w:webHidden/>
              </w:rPr>
              <w:fldChar w:fldCharType="begin"/>
            </w:r>
            <w:r w:rsidR="007B437E">
              <w:rPr>
                <w:webHidden/>
              </w:rPr>
              <w:instrText xml:space="preserve"> PAGEREF _Toc165497218 \h </w:instrText>
            </w:r>
            <w:r w:rsidR="007B437E">
              <w:rPr>
                <w:webHidden/>
              </w:rPr>
            </w:r>
            <w:r w:rsidR="007B437E">
              <w:rPr>
                <w:webHidden/>
              </w:rPr>
              <w:fldChar w:fldCharType="separate"/>
            </w:r>
            <w:r w:rsidR="007B437E">
              <w:rPr>
                <w:webHidden/>
              </w:rPr>
              <w:t>163</w:t>
            </w:r>
            <w:r w:rsidR="007B437E">
              <w:rPr>
                <w:webHidden/>
              </w:rPr>
              <w:fldChar w:fldCharType="end"/>
            </w:r>
          </w:hyperlink>
          <w:r w:rsidR="007B437E">
            <w:rPr>
              <w:b w:val="0"/>
              <w:bCs w:val="0"/>
            </w:rPr>
            <w:fldChar w:fldCharType="end"/>
          </w:r>
        </w:p>
        <w:p w14:paraId="247E6B73" w14:textId="77777777" w:rsidR="007B437E" w:rsidRDefault="007A621B" w:rsidP="007B437E">
          <w:pPr>
            <w:rPr>
              <w:bCs/>
              <w:noProof/>
            </w:rPr>
          </w:pPr>
        </w:p>
      </w:sdtContent>
    </w:sdt>
    <w:p w14:paraId="6D634C76" w14:textId="6A768D9D" w:rsidR="00910EBD" w:rsidRDefault="00910EBD" w:rsidP="00EC1B2B">
      <w:pPr>
        <w:pStyle w:val="Heading1"/>
        <w:jc w:val="both"/>
      </w:pPr>
      <w:bookmarkStart w:id="3" w:name="_Toc165497160"/>
      <w:r>
        <w:t xml:space="preserve">1. Executive </w:t>
      </w:r>
      <w:r w:rsidR="004E5EFC">
        <w:t>summary</w:t>
      </w:r>
      <w:bookmarkEnd w:id="2"/>
      <w:bookmarkEnd w:id="3"/>
    </w:p>
    <w:p w14:paraId="1C7C754A" w14:textId="77777777" w:rsidR="00442DA1" w:rsidRDefault="00442DA1" w:rsidP="00442DA1">
      <w:pPr>
        <w:pStyle w:val="Heading2"/>
        <w:tabs>
          <w:tab w:val="left" w:pos="2190"/>
        </w:tabs>
      </w:pPr>
      <w:bookmarkStart w:id="4" w:name="_Toc144830535"/>
      <w:bookmarkStart w:id="5" w:name="_Toc165482198"/>
      <w:bookmarkStart w:id="6" w:name="_Toc165497161"/>
      <w:r>
        <w:t>1.1 This study</w:t>
      </w:r>
      <w:bookmarkEnd w:id="4"/>
      <w:bookmarkEnd w:id="5"/>
      <w:bookmarkEnd w:id="6"/>
      <w:r>
        <w:tab/>
      </w:r>
    </w:p>
    <w:p w14:paraId="6DAC4955" w14:textId="4A335613" w:rsidR="00442DA1" w:rsidRDefault="00442DA1" w:rsidP="00442DA1">
      <w:r w:rsidRPr="00CA43AF">
        <w:t xml:space="preserve">RSM UK Consulting </w:t>
      </w:r>
      <w:r>
        <w:t>was</w:t>
      </w:r>
      <w:r w:rsidRPr="00CA43AF">
        <w:t xml:space="preserve"> commissioned to undertake an independent evaluation of </w:t>
      </w:r>
      <w:r>
        <w:t xml:space="preserve">the Regional Angels Programme </w:t>
      </w:r>
      <w:r w:rsidR="00F30C56">
        <w:t xml:space="preserve">(“RAP” or the “Programme”). </w:t>
      </w:r>
      <w:r>
        <w:t xml:space="preserve">The scope of the work covers the need for intervention, the application </w:t>
      </w:r>
      <w:proofErr w:type="gramStart"/>
      <w:r>
        <w:t>process</w:t>
      </w:r>
      <w:proofErr w:type="gramEnd"/>
      <w:r>
        <w:t xml:space="preserve"> and emerging early impacts for the scheme. The methodology is based on a review of monitoring information, desk research, secondary data sources, </w:t>
      </w:r>
      <w:proofErr w:type="gramStart"/>
      <w:r>
        <w:t>interviews</w:t>
      </w:r>
      <w:proofErr w:type="gramEnd"/>
      <w:r>
        <w:t xml:space="preserve"> and </w:t>
      </w:r>
      <w:r w:rsidRPr="00E40A8A">
        <w:t>econometric impact modelling</w:t>
      </w:r>
      <w:r>
        <w:t>.</w:t>
      </w:r>
    </w:p>
    <w:p w14:paraId="05863D97" w14:textId="0E4C56DC" w:rsidR="00442DA1" w:rsidRDefault="00F30C56" w:rsidP="00442DA1">
      <w:pPr>
        <w:rPr>
          <w:rFonts w:asciiTheme="majorHAnsi" w:hAnsiTheme="majorHAnsi" w:cstheme="majorHAnsi"/>
          <w:iCs/>
        </w:rPr>
      </w:pPr>
      <w:r w:rsidRPr="00CA43AF">
        <w:t xml:space="preserve">RAP </w:t>
      </w:r>
      <w:r w:rsidR="00442DA1" w:rsidRPr="00997AEE">
        <w:rPr>
          <w:rFonts w:cs="Arial"/>
          <w:iCs/>
        </w:rPr>
        <w:t xml:space="preserve">was </w:t>
      </w:r>
      <w:r w:rsidR="00442DA1" w:rsidRPr="00CA0D73">
        <w:rPr>
          <w:iCs/>
        </w:rPr>
        <w:t xml:space="preserve">announced in the Autumn Budget (2017) and launched </w:t>
      </w:r>
      <w:r w:rsidR="00442DA1">
        <w:rPr>
          <w:iCs/>
        </w:rPr>
        <w:t>in</w:t>
      </w:r>
      <w:r w:rsidR="00442DA1" w:rsidRPr="00CA0D73">
        <w:rPr>
          <w:iCs/>
        </w:rPr>
        <w:t xml:space="preserve"> October 2018</w:t>
      </w:r>
      <w:r w:rsidR="00442DA1" w:rsidRPr="00A477B4">
        <w:rPr>
          <w:iCs/>
        </w:rPr>
        <w:t xml:space="preserve">. </w:t>
      </w:r>
      <w:r w:rsidR="00442DA1">
        <w:rPr>
          <w:iCs/>
        </w:rPr>
        <w:t>One of t</w:t>
      </w:r>
      <w:r w:rsidR="00442DA1" w:rsidRPr="00A477B4">
        <w:rPr>
          <w:iCs/>
        </w:rPr>
        <w:t xml:space="preserve">he </w:t>
      </w:r>
      <w:r w:rsidR="00442DA1">
        <w:rPr>
          <w:rFonts w:asciiTheme="majorHAnsi" w:hAnsiTheme="majorHAnsi" w:cstheme="majorHAnsi"/>
          <w:iCs/>
        </w:rPr>
        <w:t>Programme’s primary</w:t>
      </w:r>
      <w:r w:rsidR="00442DA1" w:rsidRPr="00E40A8A">
        <w:rPr>
          <w:rFonts w:asciiTheme="majorHAnsi" w:hAnsiTheme="majorHAnsi" w:cstheme="majorHAnsi"/>
          <w:iCs/>
        </w:rPr>
        <w:t xml:space="preserve"> aim</w:t>
      </w:r>
      <w:r w:rsidR="00442DA1">
        <w:rPr>
          <w:rFonts w:asciiTheme="majorHAnsi" w:hAnsiTheme="majorHAnsi" w:cstheme="majorHAnsi"/>
          <w:iCs/>
        </w:rPr>
        <w:t>s is</w:t>
      </w:r>
      <w:r w:rsidR="00442DA1" w:rsidRPr="00E40A8A">
        <w:rPr>
          <w:rFonts w:asciiTheme="majorHAnsi" w:hAnsiTheme="majorHAnsi" w:cstheme="majorHAnsi"/>
          <w:iCs/>
        </w:rPr>
        <w:t xml:space="preserve"> to help reduce regional imbalances in access to early-stage equity finance for smaller businesses with high-growth potential across the UK. </w:t>
      </w:r>
      <w:r w:rsidR="00442DA1">
        <w:rPr>
          <w:rFonts w:asciiTheme="majorHAnsi" w:hAnsiTheme="majorHAnsi" w:cstheme="majorHAnsi"/>
          <w:iCs/>
        </w:rPr>
        <w:t xml:space="preserve">The Programme, through its investments, </w:t>
      </w:r>
      <w:r w:rsidR="00442DA1" w:rsidRPr="00E40A8A">
        <w:rPr>
          <w:rFonts w:asciiTheme="majorHAnsi" w:hAnsiTheme="majorHAnsi" w:cstheme="majorHAnsi"/>
          <w:iCs/>
        </w:rPr>
        <w:t xml:space="preserve">also aims to raise the profile and professionalism of </w:t>
      </w:r>
      <w:r w:rsidR="00442DA1">
        <w:rPr>
          <w:rFonts w:asciiTheme="majorHAnsi" w:hAnsiTheme="majorHAnsi" w:cstheme="majorHAnsi"/>
          <w:iCs/>
        </w:rPr>
        <w:t>a</w:t>
      </w:r>
      <w:r w:rsidR="00442DA1" w:rsidRPr="00E40A8A">
        <w:rPr>
          <w:rFonts w:asciiTheme="majorHAnsi" w:hAnsiTheme="majorHAnsi" w:cstheme="majorHAnsi"/>
          <w:iCs/>
        </w:rPr>
        <w:t xml:space="preserve">ngel investment activity and to attract further third-party </w:t>
      </w:r>
      <w:r w:rsidR="00442DA1">
        <w:rPr>
          <w:rFonts w:asciiTheme="majorHAnsi" w:hAnsiTheme="majorHAnsi" w:cstheme="majorHAnsi"/>
          <w:iCs/>
        </w:rPr>
        <w:t xml:space="preserve">private </w:t>
      </w:r>
      <w:r w:rsidR="00442DA1" w:rsidRPr="00E40A8A">
        <w:rPr>
          <w:rFonts w:asciiTheme="majorHAnsi" w:hAnsiTheme="majorHAnsi" w:cstheme="majorHAnsi"/>
          <w:iCs/>
        </w:rPr>
        <w:t>capital</w:t>
      </w:r>
      <w:r w:rsidR="00442DA1">
        <w:rPr>
          <w:rFonts w:asciiTheme="majorHAnsi" w:hAnsiTheme="majorHAnsi" w:cstheme="majorHAnsi"/>
          <w:iCs/>
        </w:rPr>
        <w:t xml:space="preserve">, as well as </w:t>
      </w:r>
      <w:r w:rsidR="00442DA1" w:rsidRPr="00E40A8A">
        <w:rPr>
          <w:rFonts w:asciiTheme="majorHAnsi" w:hAnsiTheme="majorHAnsi" w:cstheme="majorHAnsi"/>
          <w:iCs/>
        </w:rPr>
        <w:t xml:space="preserve">generating a </w:t>
      </w:r>
      <w:r w:rsidR="00442DA1">
        <w:rPr>
          <w:rFonts w:asciiTheme="majorHAnsi" w:hAnsiTheme="majorHAnsi" w:cstheme="majorHAnsi"/>
          <w:iCs/>
        </w:rPr>
        <w:t>commercial</w:t>
      </w:r>
      <w:r w:rsidR="00442DA1" w:rsidRPr="00E40A8A">
        <w:rPr>
          <w:rFonts w:asciiTheme="majorHAnsi" w:hAnsiTheme="majorHAnsi" w:cstheme="majorHAnsi"/>
          <w:iCs/>
        </w:rPr>
        <w:t xml:space="preserve"> rate of return</w:t>
      </w:r>
      <w:r w:rsidR="00442DA1">
        <w:rPr>
          <w:rFonts w:asciiTheme="majorHAnsi" w:hAnsiTheme="majorHAnsi" w:cstheme="majorHAnsi"/>
          <w:iCs/>
        </w:rPr>
        <w:t xml:space="preserve"> for the British Business Investments (BBI) on each </w:t>
      </w:r>
      <w:r>
        <w:rPr>
          <w:rFonts w:asciiTheme="majorHAnsi" w:hAnsiTheme="majorHAnsi" w:cstheme="majorHAnsi"/>
          <w:iCs/>
        </w:rPr>
        <w:t>commitment it makes</w:t>
      </w:r>
      <w:r w:rsidR="00442DA1">
        <w:rPr>
          <w:rFonts w:asciiTheme="majorHAnsi" w:hAnsiTheme="majorHAnsi" w:cstheme="majorHAnsi"/>
          <w:iCs/>
        </w:rPr>
        <w:t>, in line with its expected market rate of return</w:t>
      </w:r>
      <w:r w:rsidR="00442DA1">
        <w:rPr>
          <w:rStyle w:val="FootnoteReference"/>
          <w:rFonts w:asciiTheme="majorHAnsi" w:hAnsiTheme="majorHAnsi" w:cstheme="majorHAnsi"/>
          <w:iCs/>
        </w:rPr>
        <w:footnoteReference w:id="2"/>
      </w:r>
      <w:r w:rsidR="00442DA1" w:rsidRPr="00E40A8A">
        <w:rPr>
          <w:rFonts w:asciiTheme="majorHAnsi" w:hAnsiTheme="majorHAnsi" w:cstheme="majorHAnsi"/>
          <w:iCs/>
        </w:rPr>
        <w:t>.</w:t>
      </w:r>
      <w:r w:rsidR="007E1197">
        <w:rPr>
          <w:rFonts w:asciiTheme="majorHAnsi" w:hAnsiTheme="majorHAnsi" w:cstheme="majorHAnsi"/>
          <w:iCs/>
        </w:rPr>
        <w:t xml:space="preserve"> </w:t>
      </w:r>
    </w:p>
    <w:p w14:paraId="390BA974" w14:textId="77777777" w:rsidR="00C43D41" w:rsidRDefault="00C43D41" w:rsidP="00C43D41">
      <w:pPr>
        <w:rPr>
          <w:rFonts w:asciiTheme="majorHAnsi" w:hAnsiTheme="majorHAnsi" w:cstheme="majorHAnsi"/>
          <w:iCs/>
        </w:rPr>
      </w:pPr>
      <w:r>
        <w:rPr>
          <w:rFonts w:asciiTheme="majorHAnsi" w:hAnsiTheme="majorHAnsi" w:cstheme="majorHAnsi"/>
          <w:iCs/>
        </w:rPr>
        <w:t>The three key programme objectives are:</w:t>
      </w:r>
    </w:p>
    <w:p w14:paraId="0F70949F" w14:textId="77777777" w:rsidR="00C43D41" w:rsidRPr="00A537C7" w:rsidRDefault="00C43D41" w:rsidP="00C43D41">
      <w:pPr>
        <w:pStyle w:val="Bullet1"/>
        <w:rPr>
          <w:sz w:val="24"/>
          <w:szCs w:val="24"/>
        </w:rPr>
      </w:pPr>
      <w:r w:rsidRPr="00A537C7">
        <w:rPr>
          <w:b/>
          <w:bCs/>
          <w:iCs/>
          <w:sz w:val="24"/>
          <w:szCs w:val="24"/>
        </w:rPr>
        <w:t>Supply:</w:t>
      </w:r>
      <w:r w:rsidRPr="00A537C7">
        <w:rPr>
          <w:iCs/>
          <w:sz w:val="24"/>
          <w:szCs w:val="24"/>
        </w:rPr>
        <w:t xml:space="preserve"> </w:t>
      </w:r>
      <w:r w:rsidRPr="00A537C7">
        <w:rPr>
          <w:sz w:val="24"/>
          <w:szCs w:val="24"/>
        </w:rPr>
        <w:t>To increase the aggregate amount of early-stage equity capital that is available to small businesses with high growth potential throughout the UK.</w:t>
      </w:r>
    </w:p>
    <w:p w14:paraId="6D024431" w14:textId="2DF1FB60" w:rsidR="00C43D41" w:rsidRPr="00A537C7" w:rsidRDefault="00C43D41" w:rsidP="00C43D41">
      <w:pPr>
        <w:pStyle w:val="Bullet1"/>
        <w:rPr>
          <w:sz w:val="24"/>
          <w:szCs w:val="24"/>
        </w:rPr>
      </w:pPr>
      <w:r w:rsidRPr="00CE394F">
        <w:rPr>
          <w:b/>
          <w:sz w:val="24"/>
          <w:szCs w:val="28"/>
        </w:rPr>
        <w:t>Diversification</w:t>
      </w:r>
      <w:r>
        <w:rPr>
          <w:b/>
          <w:bCs/>
          <w:sz w:val="24"/>
          <w:szCs w:val="24"/>
        </w:rPr>
        <w:t xml:space="preserve"> </w:t>
      </w:r>
      <w:r w:rsidRPr="00A537C7">
        <w:rPr>
          <w:b/>
          <w:bCs/>
          <w:sz w:val="24"/>
          <w:szCs w:val="24"/>
        </w:rPr>
        <w:t xml:space="preserve">&amp; </w:t>
      </w:r>
      <w:r w:rsidRPr="00A537C7">
        <w:rPr>
          <w:b/>
          <w:sz w:val="24"/>
          <w:szCs w:val="24"/>
        </w:rPr>
        <w:t>Regionality:</w:t>
      </w:r>
      <w:r w:rsidRPr="00A537C7">
        <w:rPr>
          <w:sz w:val="24"/>
          <w:szCs w:val="24"/>
        </w:rPr>
        <w:t xml:space="preserve"> </w:t>
      </w:r>
      <w:r w:rsidRPr="00CE394F">
        <w:rPr>
          <w:sz w:val="24"/>
          <w:szCs w:val="24"/>
        </w:rPr>
        <w:t>To promote angel investing across the UK, particularly in areas that are currently underrepresented</w:t>
      </w:r>
      <w:r w:rsidR="00CE394F" w:rsidRPr="00CE394F">
        <w:rPr>
          <w:sz w:val="24"/>
          <w:szCs w:val="24"/>
        </w:rPr>
        <w:t xml:space="preserve"> and to drive the professionalism of angel investing across the UK.</w:t>
      </w:r>
    </w:p>
    <w:p w14:paraId="62408AE7" w14:textId="0AFF00FE" w:rsidR="00442DA1" w:rsidRPr="000D3E0A" w:rsidRDefault="00C43D41" w:rsidP="00C43D41">
      <w:pPr>
        <w:pStyle w:val="Bullet1"/>
        <w:rPr>
          <w:sz w:val="24"/>
          <w:szCs w:val="24"/>
        </w:rPr>
      </w:pPr>
      <w:r w:rsidRPr="00A537C7">
        <w:rPr>
          <w:b/>
          <w:sz w:val="24"/>
          <w:szCs w:val="24"/>
        </w:rPr>
        <w:t xml:space="preserve">Managing public money: </w:t>
      </w:r>
      <w:r w:rsidRPr="00A537C7">
        <w:rPr>
          <w:sz w:val="24"/>
          <w:szCs w:val="24"/>
        </w:rPr>
        <w:t>Generate a market rate of return.</w:t>
      </w:r>
    </w:p>
    <w:p w14:paraId="611DB76D" w14:textId="0541212C" w:rsidR="00442DA1" w:rsidRDefault="00442DA1" w:rsidP="00442DA1">
      <w:r w:rsidRPr="00D8407C">
        <w:t xml:space="preserve">As of </w:t>
      </w:r>
      <w:r>
        <w:t xml:space="preserve">June 2022 (Q2) Management Information (MI) data shows that </w:t>
      </w:r>
      <w:r w:rsidRPr="0095229A">
        <w:t xml:space="preserve">372 </w:t>
      </w:r>
      <w:r w:rsidR="00F30C56">
        <w:t>companies</w:t>
      </w:r>
      <w:r w:rsidR="00F30C56" w:rsidRPr="0095229A" w:rsidDel="00F30C56">
        <w:t xml:space="preserve"> </w:t>
      </w:r>
      <w:r w:rsidRPr="0095229A">
        <w:t>received funding through 10 Partners</w:t>
      </w:r>
      <w:r w:rsidRPr="0095229A">
        <w:rPr>
          <w:rStyle w:val="FootnoteReference"/>
        </w:rPr>
        <w:footnoteReference w:id="3"/>
      </w:r>
      <w:r w:rsidRPr="00D8407C">
        <w:t>.</w:t>
      </w:r>
      <w:r>
        <w:t xml:space="preserve"> </w:t>
      </w:r>
    </w:p>
    <w:p w14:paraId="4C12C5EF" w14:textId="1A5EA3D2" w:rsidR="00442DA1" w:rsidRDefault="00442DA1" w:rsidP="00442DA1">
      <w:pPr>
        <w:pStyle w:val="Heading2"/>
      </w:pPr>
      <w:bookmarkStart w:id="7" w:name="_Toc144830536"/>
      <w:bookmarkStart w:id="8" w:name="_Toc165482199"/>
      <w:bookmarkStart w:id="9" w:name="_Toc165497162"/>
      <w:r>
        <w:lastRenderedPageBreak/>
        <w:t>1.2 The need for intervention</w:t>
      </w:r>
      <w:bookmarkEnd w:id="7"/>
      <w:r w:rsidR="00D46C33">
        <w:t xml:space="preserve"> and RAP funded firm </w:t>
      </w:r>
      <w:proofErr w:type="gramStart"/>
      <w:r w:rsidR="00D46C33">
        <w:t>characteristics</w:t>
      </w:r>
      <w:bookmarkEnd w:id="8"/>
      <w:bookmarkEnd w:id="9"/>
      <w:proofErr w:type="gramEnd"/>
    </w:p>
    <w:p w14:paraId="07404CE7" w14:textId="77777777" w:rsidR="00442DA1" w:rsidRDefault="00442DA1" w:rsidP="00442DA1">
      <w:r>
        <w:t>The Interim Evaluation</w:t>
      </w:r>
      <w:r>
        <w:rPr>
          <w:rStyle w:val="FootnoteReference"/>
        </w:rPr>
        <w:footnoteReference w:id="4"/>
      </w:r>
      <w:r>
        <w:t xml:space="preserve"> of the British Patient Capital (BPC) review highlighted the disparity across the regions and the need for such an intervention. The review found that only 34% </w:t>
      </w:r>
      <w:r w:rsidRPr="00D8407C">
        <w:t xml:space="preserve">of </w:t>
      </w:r>
      <w:r w:rsidRPr="00ED7F74">
        <w:t>early-stage</w:t>
      </w:r>
      <w:r w:rsidRPr="00D8407C">
        <w:t xml:space="preserve">, Venture Capital </w:t>
      </w:r>
      <w:r w:rsidRPr="00ED7F74">
        <w:t>equity investment flowed into the regions outside of London</w:t>
      </w:r>
      <w:r w:rsidRPr="00D8407C">
        <w:t xml:space="preserve">, the </w:t>
      </w:r>
      <w:proofErr w:type="gramStart"/>
      <w:r w:rsidRPr="00ED7F74">
        <w:t>South East</w:t>
      </w:r>
      <w:proofErr w:type="gramEnd"/>
      <w:r w:rsidRPr="004F0BA9">
        <w:t xml:space="preserve"> </w:t>
      </w:r>
      <w:r w:rsidRPr="00D8407C">
        <w:t>and the East of England</w:t>
      </w:r>
      <w:r w:rsidRPr="00ED7F74">
        <w:t xml:space="preserve"> </w:t>
      </w:r>
      <w:r w:rsidRPr="00D8407C">
        <w:t>since 2013</w:t>
      </w:r>
      <w:r>
        <w:t>, with 54% of all VC deals only from London and the South East</w:t>
      </w:r>
      <w:r w:rsidRPr="00D8407C">
        <w:t xml:space="preserve">. </w:t>
      </w:r>
      <w:r w:rsidRPr="00ED7F74">
        <w:t xml:space="preserve">The number of deals completed were also low at </w:t>
      </w:r>
      <w:r w:rsidRPr="00D8407C">
        <w:t>1,955</w:t>
      </w:r>
      <w:r w:rsidRPr="00ED7F74">
        <w:t xml:space="preserve"> compared to </w:t>
      </w:r>
      <w:r w:rsidRPr="00D8407C">
        <w:t xml:space="preserve">2,266 </w:t>
      </w:r>
      <w:r w:rsidRPr="00ED7F74">
        <w:t xml:space="preserve">in London and the </w:t>
      </w:r>
      <w:proofErr w:type="gramStart"/>
      <w:r w:rsidRPr="00ED7F74">
        <w:t>South East</w:t>
      </w:r>
      <w:proofErr w:type="gramEnd"/>
      <w:r w:rsidRPr="00ED7F74">
        <w:t xml:space="preserve"> </w:t>
      </w:r>
      <w:r w:rsidRPr="00D8407C">
        <w:t xml:space="preserve">(of which 1,731 only </w:t>
      </w:r>
      <w:r w:rsidRPr="004F0BA9">
        <w:t xml:space="preserve">in </w:t>
      </w:r>
      <w:r w:rsidRPr="00D8407C">
        <w:t xml:space="preserve">London – providing further evidence of the </w:t>
      </w:r>
      <w:r>
        <w:t>pr</w:t>
      </w:r>
      <w:r w:rsidRPr="0019036B">
        <w:t>ominence</w:t>
      </w:r>
      <w:r w:rsidRPr="00D8407C">
        <w:t xml:space="preserve"> of London in the VC market) since 2013</w:t>
      </w:r>
      <w:r w:rsidRPr="00ED7F74">
        <w:t>.</w:t>
      </w:r>
      <w:r>
        <w:t xml:space="preserve"> </w:t>
      </w:r>
    </w:p>
    <w:p w14:paraId="48D2DCAF" w14:textId="77777777" w:rsidR="00442DA1" w:rsidRDefault="00442DA1" w:rsidP="00442DA1">
      <w:r w:rsidRPr="00572100">
        <w:t xml:space="preserve">Furthermore, data from 2018/19, </w:t>
      </w:r>
      <w:r>
        <w:t>at the time of</w:t>
      </w:r>
      <w:r w:rsidRPr="00572100">
        <w:t xml:space="preserve"> the launch of the Programme, highlights that London not only ha</w:t>
      </w:r>
      <w:r>
        <w:t>d</w:t>
      </w:r>
      <w:r w:rsidRPr="00572100">
        <w:t xml:space="preserve"> the largest share of investors</w:t>
      </w:r>
      <w:r>
        <w:t xml:space="preserve"> </w:t>
      </w:r>
      <w:r w:rsidRPr="00572100">
        <w:t>utilising</w:t>
      </w:r>
      <w:r>
        <w:t xml:space="preserve"> </w:t>
      </w:r>
      <w:r w:rsidRPr="00572100">
        <w:t xml:space="preserve">the </w:t>
      </w:r>
      <w:r w:rsidRPr="00D277EF">
        <w:t xml:space="preserve">Enterprise Investment Scheme </w:t>
      </w:r>
      <w:r>
        <w:t>(</w:t>
      </w:r>
      <w:r w:rsidRPr="00572100">
        <w:t>EIS</w:t>
      </w:r>
      <w:r>
        <w:t>)</w:t>
      </w:r>
      <w:r w:rsidRPr="00572100">
        <w:t xml:space="preserve"> and </w:t>
      </w:r>
      <w:r w:rsidRPr="00D277EF">
        <w:t xml:space="preserve">Seed Enterprise Investment Scheme </w:t>
      </w:r>
      <w:r>
        <w:t>(</w:t>
      </w:r>
      <w:r w:rsidRPr="00572100">
        <w:t>SEIS</w:t>
      </w:r>
      <w:r>
        <w:t>)</w:t>
      </w:r>
      <w:r w:rsidRPr="00572100">
        <w:t xml:space="preserve"> scheme</w:t>
      </w:r>
      <w:r>
        <w:t>s</w:t>
      </w:r>
      <w:r>
        <w:rPr>
          <w:rStyle w:val="FootnoteReference"/>
        </w:rPr>
        <w:footnoteReference w:id="5"/>
      </w:r>
      <w:r w:rsidRPr="00572100">
        <w:t xml:space="preserve"> (with 38% of known investors residing in the </w:t>
      </w:r>
      <w:r>
        <w:t>C</w:t>
      </w:r>
      <w:r w:rsidRPr="00572100">
        <w:t xml:space="preserve">apital), but it </w:t>
      </w:r>
      <w:r>
        <w:t>was</w:t>
      </w:r>
      <w:r w:rsidRPr="00572100">
        <w:t xml:space="preserve"> also</w:t>
      </w:r>
      <w:r>
        <w:t xml:space="preserve"> </w:t>
      </w:r>
      <w:r w:rsidRPr="00572100">
        <w:t>the region where EIS and SEIS investment is predominantly concentrated, accounting for 49% of the total activity.</w:t>
      </w:r>
      <w:r>
        <w:rPr>
          <w:rStyle w:val="FootnoteReference"/>
        </w:rPr>
        <w:footnoteReference w:id="6"/>
      </w:r>
      <w:r>
        <w:t xml:space="preserve"> </w:t>
      </w:r>
    </w:p>
    <w:p w14:paraId="5C690A34" w14:textId="77777777" w:rsidR="00442DA1" w:rsidRDefault="00442DA1" w:rsidP="00442DA1">
      <w:r>
        <w:t xml:space="preserve">These regional inequalities in the angel investment ecosystem have also been highlighted by stakeholders in interviews conducted between </w:t>
      </w:r>
      <w:r w:rsidRPr="00D8407C">
        <w:t>January</w:t>
      </w:r>
      <w:r w:rsidRPr="00D33A0F">
        <w:t xml:space="preserve"> and </w:t>
      </w:r>
      <w:r w:rsidRPr="00D8407C">
        <w:t>March</w:t>
      </w:r>
      <w:r w:rsidRPr="00D33A0F">
        <w:t xml:space="preserve"> 2023</w:t>
      </w:r>
      <w:r>
        <w:t>. Policy stakeholders reported a lack of wide-scale government intervention in the angel investment ecosystem.</w:t>
      </w:r>
    </w:p>
    <w:p w14:paraId="3725F93F" w14:textId="77777777" w:rsidR="00D46C33" w:rsidRPr="003500B1" w:rsidRDefault="00D46C33" w:rsidP="00D46C33">
      <w:r>
        <w:t>Data on f</w:t>
      </w:r>
      <w:r w:rsidRPr="00013B55">
        <w:t>irms funded by RAP indicate that their diversity levels are comparable to or even higher than those observed in the broader market for firms funded by angel investors</w:t>
      </w:r>
      <w:r>
        <w:t>, as stated by the latest UK Business Angels Market report</w:t>
      </w:r>
      <w:r w:rsidRPr="00013B55">
        <w:rPr>
          <w:vertAlign w:val="superscript"/>
        </w:rPr>
        <w:footnoteReference w:id="7"/>
      </w:r>
      <w:r w:rsidRPr="00F170C8">
        <w:t>.</w:t>
      </w:r>
      <w:r>
        <w:t xml:space="preserve"> </w:t>
      </w:r>
      <w:r w:rsidRPr="00013B55">
        <w:t xml:space="preserve">On average, around 20% of founders in </w:t>
      </w:r>
      <w:r>
        <w:t>RAP</w:t>
      </w:r>
      <w:r w:rsidRPr="00013B55">
        <w:t xml:space="preserve"> funded firms are female</w:t>
      </w:r>
      <w:r>
        <w:t xml:space="preserve"> – 21.8%</w:t>
      </w:r>
      <w:r w:rsidRPr="00013B55">
        <w:t xml:space="preserve"> </w:t>
      </w:r>
      <w:r>
        <w:t>in</w:t>
      </w:r>
      <w:r w:rsidRPr="00013B55">
        <w:t xml:space="preserve"> London and the </w:t>
      </w:r>
      <w:proofErr w:type="gramStart"/>
      <w:r w:rsidRPr="00013B55">
        <w:t>South East</w:t>
      </w:r>
      <w:proofErr w:type="gramEnd"/>
      <w:r w:rsidRPr="00013B55">
        <w:t xml:space="preserve">, </w:t>
      </w:r>
      <w:r>
        <w:t>and 18.4%</w:t>
      </w:r>
      <w:r w:rsidRPr="00013B55">
        <w:t xml:space="preserve"> in the rest of the UK</w:t>
      </w:r>
      <w:r>
        <w:t>.</w:t>
      </w:r>
    </w:p>
    <w:p w14:paraId="6404A80F" w14:textId="4FC22A69" w:rsidR="00D46C33" w:rsidRPr="008A0E9C" w:rsidRDefault="00E67B4F" w:rsidP="00D46C33">
      <w:r>
        <w:t>According to data</w:t>
      </w:r>
      <w:r w:rsidR="00525D63">
        <w:t xml:space="preserve"> from Companies House, sourced</w:t>
      </w:r>
      <w:r>
        <w:t xml:space="preserve"> from </w:t>
      </w:r>
      <w:proofErr w:type="spellStart"/>
      <w:r>
        <w:t>Beauhurst</w:t>
      </w:r>
      <w:proofErr w:type="spellEnd"/>
      <w:r w:rsidR="00D46C33">
        <w:t>, RAP-funded SMEs were established</w:t>
      </w:r>
      <w:r w:rsidR="00525D63">
        <w:t>,</w:t>
      </w:r>
      <w:r w:rsidR="00D46C33">
        <w:t xml:space="preserve"> </w:t>
      </w:r>
      <w:r w:rsidR="00525D63" w:rsidRPr="00525D63">
        <w:t>on average, five and a half years before 2020</w:t>
      </w:r>
      <w:r w:rsidR="00525D63">
        <w:t xml:space="preserve"> - </w:t>
      </w:r>
      <w:r w:rsidR="00525D63" w:rsidRPr="00525D63">
        <w:t>the year when the first RAP funding was issued.</w:t>
      </w:r>
      <w:r w:rsidR="00525D63">
        <w:t xml:space="preserve"> </w:t>
      </w:r>
      <w:r w:rsidR="00525D63" w:rsidRPr="00525D63">
        <w:t>They also commenced trading, on average, three and a half years before 2020, as per MI data provided by BBB</w:t>
      </w:r>
      <w:r w:rsidR="00525D63">
        <w:t xml:space="preserve">. </w:t>
      </w:r>
      <w:r w:rsidR="00F12D49">
        <w:t xml:space="preserve">There were cases of some funded firms that had been established more than 20 years before receiving RAP funding but </w:t>
      </w:r>
      <w:proofErr w:type="gramStart"/>
      <w:r w:rsidR="00F12D49">
        <w:t>still remained</w:t>
      </w:r>
      <w:proofErr w:type="gramEnd"/>
      <w:r w:rsidR="00F12D49">
        <w:t xml:space="preserve"> </w:t>
      </w:r>
      <w:r w:rsidR="00F12D49">
        <w:lastRenderedPageBreak/>
        <w:t>smaller than their peers before 2020, with a median turnover of £97k and an average turnover of £332k</w:t>
      </w:r>
      <w:r w:rsidR="00D46C33">
        <w:t>. These firms also remained small in employment size, with a median of 6 employees and an average of 15 employees. Furthermore, RAP-funded firms had lower market valuations compared to</w:t>
      </w:r>
      <w:r w:rsidR="00F12D49">
        <w:t xml:space="preserve"> other firms in the market and</w:t>
      </w:r>
      <w:r w:rsidR="00D46C33">
        <w:t xml:space="preserve"> their counterparts in the counterfactual grou</w:t>
      </w:r>
      <w:r w:rsidR="00F12D49">
        <w:t>p</w:t>
      </w:r>
      <w:r w:rsidR="00D46C33">
        <w:t xml:space="preserve">. </w:t>
      </w:r>
    </w:p>
    <w:p w14:paraId="44B9448F" w14:textId="77777777" w:rsidR="00442DA1" w:rsidRDefault="00442DA1" w:rsidP="00442DA1">
      <w:pPr>
        <w:pStyle w:val="Heading2"/>
      </w:pPr>
      <w:bookmarkStart w:id="10" w:name="_Toc144830537"/>
      <w:bookmarkStart w:id="11" w:name="_Toc165482200"/>
      <w:bookmarkStart w:id="12" w:name="_Toc165497163"/>
      <w:r>
        <w:t xml:space="preserve">1.3 Rigorous application process was time consuming but appropriate for the initial cohort applicants and improved Partner </w:t>
      </w:r>
      <w:proofErr w:type="gramStart"/>
      <w:r>
        <w:t>professionalism</w:t>
      </w:r>
      <w:bookmarkEnd w:id="10"/>
      <w:bookmarkEnd w:id="11"/>
      <w:bookmarkEnd w:id="12"/>
      <w:proofErr w:type="gramEnd"/>
      <w:r>
        <w:t xml:space="preserve"> </w:t>
      </w:r>
    </w:p>
    <w:p w14:paraId="1287E95C" w14:textId="66E1D655" w:rsidR="00442DA1" w:rsidRDefault="00442DA1" w:rsidP="00442DA1">
      <w:r>
        <w:t xml:space="preserve">As part of the application process, Partners were required to undertake a due diligence processes with </w:t>
      </w:r>
      <w:r w:rsidR="00F30C56">
        <w:t xml:space="preserve">BBI </w:t>
      </w:r>
      <w:r>
        <w:t xml:space="preserve">to ensure operational confidence and that their partnering investors from the private sector had investment strategies </w:t>
      </w:r>
      <w:r w:rsidR="00F30C56">
        <w:t xml:space="preserve">and commercial track records </w:t>
      </w:r>
      <w:r>
        <w:t xml:space="preserve">that aligned with the aims of the scheme. </w:t>
      </w:r>
    </w:p>
    <w:p w14:paraId="031025DF" w14:textId="77777777" w:rsidR="00442DA1" w:rsidRDefault="00442DA1" w:rsidP="00442DA1">
      <w:r>
        <w:t>Partners found positive impacts of this rigorous process, improving their professionalism, and allowing them to develop their own due diligence processes of prospective investments. Some Partners noted a marked improvement in the approach to screening potential investment opportunities as well as the ability to attract co-investors which may not have been possible without participation within the RAP. Some Partners also mentioned their reporting frameworks and data collection methods helped to build confidence in the wider market as a sign of improved professionalism.</w:t>
      </w:r>
    </w:p>
    <w:p w14:paraId="1D899F60" w14:textId="2C46B8E5" w:rsidR="00442DA1" w:rsidRDefault="00442DA1" w:rsidP="00442DA1">
      <w:r>
        <w:t xml:space="preserve">Some partners also described </w:t>
      </w:r>
      <w:r w:rsidR="005672E7">
        <w:t xml:space="preserve">the </w:t>
      </w:r>
      <w:r w:rsidR="00B16629">
        <w:t>end-to-end</w:t>
      </w:r>
      <w:r w:rsidR="005672E7">
        <w:t xml:space="preserve"> </w:t>
      </w:r>
      <w:r>
        <w:t xml:space="preserve">process as time consuming, lasting over a year in </w:t>
      </w:r>
      <w:r w:rsidR="005672E7">
        <w:t xml:space="preserve">some </w:t>
      </w:r>
      <w:r>
        <w:t xml:space="preserve">cases. </w:t>
      </w:r>
      <w:r w:rsidR="00B16629">
        <w:t>However,</w:t>
      </w:r>
      <w:r>
        <w:t xml:space="preserve"> </w:t>
      </w:r>
      <w:proofErr w:type="gramStart"/>
      <w:r>
        <w:t>the majority of</w:t>
      </w:r>
      <w:proofErr w:type="gramEnd"/>
      <w:r>
        <w:t xml:space="preserve"> Partners suggested the information requested from BB</w:t>
      </w:r>
      <w:r w:rsidR="005672E7">
        <w:t>I</w:t>
      </w:r>
      <w:r>
        <w:t xml:space="preserve"> was clear and that they understood the need for a rigorous process.</w:t>
      </w:r>
      <w:r w:rsidR="00C73F5F">
        <w:t xml:space="preserve"> Furthermore, some initially unsuccessful Partners highlighted the bespoke feedback provided by the RAP delivery team which guided them towards successful future applications to the RAP or other support.</w:t>
      </w:r>
    </w:p>
    <w:p w14:paraId="43B3E4AB" w14:textId="084990DB" w:rsidR="00442DA1" w:rsidRDefault="00442DA1" w:rsidP="00442DA1">
      <w:pPr>
        <w:rPr>
          <w:szCs w:val="24"/>
        </w:rPr>
      </w:pPr>
      <w:r>
        <w:t xml:space="preserve">Turning to the scheme design and implementation, Partners spoke positively about the governance and reporting processes within the scheme and were satisfied with the speed, </w:t>
      </w:r>
      <w:proofErr w:type="gramStart"/>
      <w:r>
        <w:t>clarity</w:t>
      </w:r>
      <w:proofErr w:type="gramEnd"/>
      <w:r>
        <w:t xml:space="preserve"> and flexibility of the RAP team. </w:t>
      </w:r>
    </w:p>
    <w:p w14:paraId="675846D7" w14:textId="77777777" w:rsidR="00442DA1" w:rsidRDefault="00442DA1" w:rsidP="00442DA1">
      <w:pPr>
        <w:pStyle w:val="Heading2"/>
      </w:pPr>
      <w:bookmarkStart w:id="13" w:name="_Toc144830538"/>
      <w:bookmarkStart w:id="14" w:name="_Toc165482201"/>
      <w:bookmarkStart w:id="15" w:name="_Toc165497164"/>
      <w:r>
        <w:lastRenderedPageBreak/>
        <w:t xml:space="preserve">1.4 FCA regulated status partially restricted participation to </w:t>
      </w:r>
      <w:proofErr w:type="gramStart"/>
      <w:r>
        <w:t>angels</w:t>
      </w:r>
      <w:bookmarkEnd w:id="13"/>
      <w:bookmarkEnd w:id="14"/>
      <w:bookmarkEnd w:id="15"/>
      <w:proofErr w:type="gramEnd"/>
      <w:r>
        <w:t xml:space="preserve"> </w:t>
      </w:r>
    </w:p>
    <w:p w14:paraId="40A29453" w14:textId="0946E573" w:rsidR="00442DA1" w:rsidRDefault="00442DA1" w:rsidP="00442DA1">
      <w:r>
        <w:t>A frequently noted barrier to scheme participation came through the eligibility criteria in the need for Partners to be (Financial Conduct Authority) FCA regulated</w:t>
      </w:r>
      <w:r w:rsidR="1CEEB71E">
        <w:t xml:space="preserve"> or to partner with a regulated entity </w:t>
      </w:r>
      <w:proofErr w:type="gramStart"/>
      <w:r w:rsidR="1CEEB71E">
        <w:t>in order to</w:t>
      </w:r>
      <w:proofErr w:type="gramEnd"/>
      <w:r w:rsidR="1CEEB71E">
        <w:t xml:space="preserve"> manage BBI’s capital</w:t>
      </w:r>
      <w:r>
        <w:t xml:space="preserve">. This was cited as a concern by industry bodies and unsuccessful </w:t>
      </w:r>
      <w:r w:rsidR="00C73F5F">
        <w:t>applicants.</w:t>
      </w:r>
    </w:p>
    <w:p w14:paraId="01B2D1DE" w14:textId="00BA696C" w:rsidR="00C73F5F" w:rsidRPr="00D8407C" w:rsidRDefault="00C73F5F" w:rsidP="00442DA1">
      <w:r>
        <w:t xml:space="preserve">The Programme’s request for proposals, refers to Partners providing a managed solution. A managed solution allows BBI’s capital to be automatically and seamlessly invested along the partner’s own capital, without the need or requirement for BBI to approve each investment if it meets the pre-agreed investment criteria (e.g. investment size, region, match funding etc.). As the Partner is therefore managing BBI’s capital, there is an element of regulation required by law. BBI gain comfort that partners invest BBI capital appropriately, through the due diligence process undertaken pre-commitment, and through quarterly reviews once the commitment is live. The model differs from other initiatives, such as the Scottish Enterprise co-investment programme – which requires the approval or rejection of each investment on a </w:t>
      </w:r>
      <w:proofErr w:type="gramStart"/>
      <w:r>
        <w:t>case by case</w:t>
      </w:r>
      <w:proofErr w:type="gramEnd"/>
      <w:r>
        <w:t xml:space="preserve"> basis, which is time consuming and difficult to scale at pace.  </w:t>
      </w:r>
      <w:r w:rsidRPr="00D8407C">
        <w:t xml:space="preserve"> </w:t>
      </w:r>
    </w:p>
    <w:p w14:paraId="38211569" w14:textId="7FDD0F9E" w:rsidR="00442DA1" w:rsidRDefault="00442DA1" w:rsidP="00442DA1">
      <w:r w:rsidRPr="00D8407C">
        <w:t xml:space="preserve">Government department stakeholders described this requirement as </w:t>
      </w:r>
      <w:r>
        <w:t>necessary for</w:t>
      </w:r>
      <w:r w:rsidRPr="00D8407C">
        <w:t xml:space="preserve"> protecting tax-payer </w:t>
      </w:r>
      <w:r>
        <w:t>interests. FCA regulated status provided a degree of assurance that investors were authorised and regulated by the FCA and would be governed by best practices in investment markets</w:t>
      </w:r>
      <w:r w:rsidRPr="00D8407C">
        <w:t>.</w:t>
      </w:r>
      <w:r>
        <w:t xml:space="preserve"> This would also include the handling of taxpayer money as part of the RAP.</w:t>
      </w:r>
    </w:p>
    <w:p w14:paraId="683F2E24" w14:textId="2FB2092F" w:rsidR="00442DA1" w:rsidRPr="00914C38" w:rsidRDefault="00442DA1" w:rsidP="00442DA1">
      <w:r>
        <w:t>It was noted that alternative solutions were also accepted by British Business Investments</w:t>
      </w:r>
      <w:r w:rsidR="00C73F5F">
        <w:t>. For example, s</w:t>
      </w:r>
      <w:r w:rsidR="00C73F5F" w:rsidRPr="00914C38">
        <w:t>ome</w:t>
      </w:r>
      <w:r>
        <w:t xml:space="preserve"> </w:t>
      </w:r>
      <w:r w:rsidRPr="00914C38">
        <w:t xml:space="preserve">participants partnered </w:t>
      </w:r>
      <w:r w:rsidRPr="00D8407C">
        <w:t xml:space="preserve">with </w:t>
      </w:r>
      <w:r>
        <w:t>a</w:t>
      </w:r>
      <w:r w:rsidRPr="00D8407C">
        <w:t>ngels or investors who ha</w:t>
      </w:r>
      <w:r>
        <w:t>d</w:t>
      </w:r>
      <w:r w:rsidRPr="00D8407C">
        <w:t xml:space="preserve"> FCA regulated status</w:t>
      </w:r>
      <w:r>
        <w:t xml:space="preserve"> to participate in the programme.</w:t>
      </w:r>
    </w:p>
    <w:p w14:paraId="5ADA027A" w14:textId="4CC57B0F" w:rsidR="00442DA1" w:rsidRDefault="00442DA1" w:rsidP="00442DA1">
      <w:pPr>
        <w:pStyle w:val="Heading2"/>
      </w:pPr>
      <w:bookmarkStart w:id="16" w:name="_Toc144830539"/>
      <w:bookmarkStart w:id="17" w:name="_Toc165482202"/>
      <w:bookmarkStart w:id="18" w:name="_Toc165497165"/>
      <w:r>
        <w:t xml:space="preserve">1.5 Partners leveraged RAP </w:t>
      </w:r>
      <w:proofErr w:type="gramStart"/>
      <w:r>
        <w:t>investment</w:t>
      </w:r>
      <w:bookmarkEnd w:id="16"/>
      <w:bookmarkEnd w:id="17"/>
      <w:bookmarkEnd w:id="18"/>
      <w:proofErr w:type="gramEnd"/>
    </w:p>
    <w:p w14:paraId="789DF5A2" w14:textId="5C1717DB" w:rsidR="00442DA1" w:rsidRDefault="00442DA1" w:rsidP="00442DA1">
      <w:r>
        <w:t xml:space="preserve">Partners mentioned that they were able to leverage their investment into firms across the regions. In some instances, Partners were able to unlock new investment opportunities across the regions – providing an opportunity for firms outside of London to access finance which may not have been possible without the RAP. This access to finance may have wider benefits other than supporting </w:t>
      </w:r>
      <w:r w:rsidR="005D547E">
        <w:t xml:space="preserve">immediate </w:t>
      </w:r>
      <w:r>
        <w:t>business development in that it signals to follow-</w:t>
      </w:r>
      <w:r>
        <w:lastRenderedPageBreak/>
        <w:t xml:space="preserve">on investors expected future growth, potentially making it easier for firms in unrepresented regions to access follow-on funding. </w:t>
      </w:r>
    </w:p>
    <w:p w14:paraId="5EE53698" w14:textId="724250A5" w:rsidR="00442DA1" w:rsidRDefault="00442DA1" w:rsidP="00442DA1">
      <w:pPr>
        <w:pStyle w:val="Heading2"/>
      </w:pPr>
      <w:bookmarkStart w:id="19" w:name="_Toc144830540"/>
      <w:bookmarkStart w:id="20" w:name="_Toc165482203"/>
      <w:bookmarkStart w:id="21" w:name="_Toc165497166"/>
      <w:r>
        <w:t>1.6 Finance is flowing relatively to underrepresented regions and compared to similar schemes.</w:t>
      </w:r>
      <w:bookmarkEnd w:id="19"/>
      <w:bookmarkEnd w:id="20"/>
      <w:bookmarkEnd w:id="21"/>
      <w:r w:rsidR="00D46C33">
        <w:t xml:space="preserve"> </w:t>
      </w:r>
    </w:p>
    <w:p w14:paraId="232A4752" w14:textId="2714F3FA" w:rsidR="2818DBD2" w:rsidRDefault="2818DBD2">
      <w:r>
        <w:t>78% of RAP capital has been invested into companies based outside of London. As RAP invests pr</w:t>
      </w:r>
      <w:r w:rsidR="26B4A36B">
        <w:t xml:space="preserve">oportionately more into non-London businesses, some of its partners invest </w:t>
      </w:r>
      <w:r w:rsidR="52B28D74">
        <w:t>relatively more into London based companies compared to RAP. As such, 75% of capital from RAP, its delivery partners and other investors in the funding rounds has been to businesses</w:t>
      </w:r>
      <w:r w:rsidR="56730DC2">
        <w:t xml:space="preserve"> based outside of London and 68% outside of London and the </w:t>
      </w:r>
      <w:proofErr w:type="gramStart"/>
      <w:r w:rsidR="56730DC2">
        <w:t>South East</w:t>
      </w:r>
      <w:proofErr w:type="gramEnd"/>
      <w:r w:rsidR="56730DC2">
        <w:t xml:space="preserve">. </w:t>
      </w:r>
    </w:p>
    <w:p w14:paraId="372B430E" w14:textId="7AF33D5B" w:rsidR="00A33DD9" w:rsidRDefault="7B3E175E" w:rsidP="00442DA1">
      <w:r w:rsidRPr="00FC4E60">
        <w:t>Analysis of RAP funded firms indicates that</w:t>
      </w:r>
      <w:r>
        <w:t xml:space="preserve"> 7</w:t>
      </w:r>
      <w:r w:rsidR="756AAE6E">
        <w:t>5</w:t>
      </w:r>
      <w:r>
        <w:t xml:space="preserve">% of </w:t>
      </w:r>
      <w:r w:rsidR="756AAE6E">
        <w:t xml:space="preserve">total </w:t>
      </w:r>
      <w:r w:rsidR="38BB9ECD">
        <w:t>RAP funding volume</w:t>
      </w:r>
      <w:r w:rsidR="09310805">
        <w:t xml:space="preserve"> </w:t>
      </w:r>
      <w:r>
        <w:t xml:space="preserve">went to firms based outside of London and </w:t>
      </w:r>
      <w:r w:rsidRPr="00FC4E60">
        <w:t xml:space="preserve">68% went to firms based outside London and the </w:t>
      </w:r>
      <w:proofErr w:type="gramStart"/>
      <w:r w:rsidRPr="00FC4E60">
        <w:t>South</w:t>
      </w:r>
      <w:r>
        <w:t xml:space="preserve"> East</w:t>
      </w:r>
      <w:proofErr w:type="gramEnd"/>
      <w:r>
        <w:t xml:space="preserve"> (BBI investment </w:t>
      </w:r>
      <w:r w:rsidR="026EF4C4">
        <w:t>+ delivery partner</w:t>
      </w:r>
      <w:r w:rsidR="006D47E4">
        <w:t>s</w:t>
      </w:r>
      <w:r w:rsidR="026EF4C4">
        <w:t xml:space="preserve"> </w:t>
      </w:r>
      <w:r w:rsidR="00CC7EEC">
        <w:t xml:space="preserve">investment </w:t>
      </w:r>
      <w:r w:rsidR="026EF4C4">
        <w:t xml:space="preserve">+ </w:t>
      </w:r>
      <w:r w:rsidR="006D47E4">
        <w:t xml:space="preserve">third </w:t>
      </w:r>
      <w:r w:rsidR="026EF4C4">
        <w:t>party investor</w:t>
      </w:r>
      <w:r>
        <w:t xml:space="preserve"> contribution). </w:t>
      </w:r>
      <w:r w:rsidRPr="00FC4E60">
        <w:t>By means of comparison,</w:t>
      </w:r>
      <w:r w:rsidR="38BB9ECD">
        <w:t xml:space="preserve"> </w:t>
      </w:r>
      <w:r>
        <w:t>41</w:t>
      </w:r>
      <w:r w:rsidRPr="00FC4E60">
        <w:t>% of funding allocated under the Future Fund</w:t>
      </w:r>
      <w:r w:rsidR="00442DA1" w:rsidRPr="07F50397">
        <w:rPr>
          <w:vertAlign w:val="superscript"/>
        </w:rPr>
        <w:footnoteReference w:id="8"/>
      </w:r>
      <w:r w:rsidR="00442DA1" w:rsidRPr="00CB71BF">
        <w:rPr>
          <w:vertAlign w:val="superscript"/>
        </w:rPr>
        <w:footnoteReference w:id="9"/>
      </w:r>
      <w:r w:rsidRPr="00FC4E60">
        <w:t xml:space="preserve"> went to firms outside of London. </w:t>
      </w:r>
      <w:r>
        <w:t xml:space="preserve">Turning to the BBI specific contribution </w:t>
      </w:r>
      <w:r w:rsidR="756AAE6E">
        <w:t>around</w:t>
      </w:r>
      <w:r>
        <w:t xml:space="preserve"> 7</w:t>
      </w:r>
      <w:r w:rsidR="756AAE6E">
        <w:t>9</w:t>
      </w:r>
      <w:r>
        <w:t>% flowed to firms outside of London and</w:t>
      </w:r>
      <w:r w:rsidRPr="00CB71BF">
        <w:t xml:space="preserve"> 72</w:t>
      </w:r>
      <w:r w:rsidRPr="00DC0A1B">
        <w:t xml:space="preserve">% </w:t>
      </w:r>
      <w:r>
        <w:t xml:space="preserve">to firms outside London and the </w:t>
      </w:r>
      <w:proofErr w:type="gramStart"/>
      <w:r>
        <w:t>South East</w:t>
      </w:r>
      <w:proofErr w:type="gramEnd"/>
      <w:r w:rsidRPr="00DC0A1B">
        <w:t>.</w:t>
      </w:r>
      <w:r w:rsidR="71B524FB">
        <w:t xml:space="preserve"> </w:t>
      </w:r>
    </w:p>
    <w:p w14:paraId="30765F8F" w14:textId="38316750" w:rsidR="00442DA1" w:rsidRPr="003500B1" w:rsidRDefault="00A33DD9" w:rsidP="300F640F">
      <w:r w:rsidRPr="00A33DD9">
        <w:t xml:space="preserve">While the scheme's KPI focuses on investment outside of London, it is </w:t>
      </w:r>
      <w:r>
        <w:t>also important</w:t>
      </w:r>
      <w:r w:rsidRPr="00A33DD9">
        <w:t xml:space="preserve"> to consider </w:t>
      </w:r>
      <w:r>
        <w:t xml:space="preserve">how investment was allocated </w:t>
      </w:r>
      <w:r w:rsidRPr="00A33DD9">
        <w:t xml:space="preserve">beyond London and the </w:t>
      </w:r>
      <w:proofErr w:type="gramStart"/>
      <w:r w:rsidRPr="00A33DD9">
        <w:t>South East</w:t>
      </w:r>
      <w:proofErr w:type="gramEnd"/>
      <w:r>
        <w:t xml:space="preserve"> as well</w:t>
      </w:r>
      <w:r w:rsidRPr="00A33DD9">
        <w:t xml:space="preserve">. As </w:t>
      </w:r>
      <w:r>
        <w:t>indicated</w:t>
      </w:r>
      <w:r w:rsidRPr="00A33DD9">
        <w:t xml:space="preserve"> throughout the report, the </w:t>
      </w:r>
      <w:proofErr w:type="gramStart"/>
      <w:r w:rsidRPr="00A33DD9">
        <w:t>South East</w:t>
      </w:r>
      <w:proofErr w:type="gramEnd"/>
      <w:r w:rsidRPr="00A33DD9">
        <w:t xml:space="preserve"> also receives a substantial amount of equity investment. This is because it is known to be an attractive region for angel investments, partly due to its proximity to </w:t>
      </w:r>
      <w:proofErr w:type="spellStart"/>
      <w:r w:rsidRPr="00A33DD9">
        <w:t>London.</w:t>
      </w:r>
      <w:r w:rsidR="00442DA1">
        <w:t>There</w:t>
      </w:r>
      <w:proofErr w:type="spellEnd"/>
      <w:r w:rsidR="00442DA1">
        <w:t xml:space="preserve"> is evidence that</w:t>
      </w:r>
      <w:r w:rsidR="00F12D49">
        <w:t xml:space="preserve"> funding from</w:t>
      </w:r>
      <w:r w:rsidR="00442DA1">
        <w:t xml:space="preserve"> </w:t>
      </w:r>
      <w:r w:rsidR="005D547E">
        <w:t xml:space="preserve">RAP Partners </w:t>
      </w:r>
      <w:r w:rsidR="00F12D49">
        <w:t>has been directed towards</w:t>
      </w:r>
      <w:r w:rsidR="00442DA1">
        <w:t xml:space="preserve"> R&amp;D intensive and high-tech firms. Approximately 47% of RAP-funded firms belong to the information and communication sector, one of the major contributors to the economy’s productivity growth. As detailed in section 7.4, the proportion of funded firms with a focus on R&amp;D increased to 23% in 2022 from 5% in 2019. </w:t>
      </w:r>
    </w:p>
    <w:p w14:paraId="483CBB81" w14:textId="77777777" w:rsidR="00442DA1" w:rsidRDefault="00442DA1" w:rsidP="00442DA1">
      <w:pPr>
        <w:pStyle w:val="Heading2"/>
      </w:pPr>
      <w:bookmarkStart w:id="22" w:name="_Toc144830541"/>
      <w:bookmarkStart w:id="23" w:name="_Toc165482204"/>
      <w:bookmarkStart w:id="24" w:name="_Toc165497167"/>
      <w:r>
        <w:t xml:space="preserve">1.7 Fuller value for money assessment to be completed with more </w:t>
      </w:r>
      <w:proofErr w:type="gramStart"/>
      <w:r>
        <w:t>data</w:t>
      </w:r>
      <w:bookmarkEnd w:id="22"/>
      <w:bookmarkEnd w:id="23"/>
      <w:bookmarkEnd w:id="24"/>
      <w:proofErr w:type="gramEnd"/>
      <w:r>
        <w:t xml:space="preserve"> </w:t>
      </w:r>
    </w:p>
    <w:p w14:paraId="5CF21370" w14:textId="77777777" w:rsidR="00442DA1" w:rsidRDefault="00442DA1" w:rsidP="00442DA1">
      <w:r w:rsidRPr="00507CDB">
        <w:t xml:space="preserve">To assess Value for Money </w:t>
      </w:r>
      <w:r>
        <w:t>at this early stage we considered</w:t>
      </w:r>
      <w:r w:rsidRPr="00507CDB">
        <w:t xml:space="preserve"> the four E’s model – Efficiency, Effectiveness, Equity, and Economy. We have identified preliminary evidence and the type of data that can be used in future </w:t>
      </w:r>
      <w:r>
        <w:t xml:space="preserve">fuller </w:t>
      </w:r>
      <w:r w:rsidRPr="00507CDB">
        <w:t>Value for Money assessments.</w:t>
      </w:r>
    </w:p>
    <w:p w14:paraId="4DE085C8" w14:textId="5A552919" w:rsidR="00442DA1" w:rsidRPr="00D8407C" w:rsidRDefault="7B3E175E" w:rsidP="00442DA1">
      <w:pPr>
        <w:pStyle w:val="Bullet1"/>
        <w:spacing w:line="360" w:lineRule="auto"/>
        <w:rPr>
          <w:sz w:val="24"/>
          <w:szCs w:val="24"/>
        </w:rPr>
      </w:pPr>
      <w:r w:rsidRPr="00D8407C">
        <w:rPr>
          <w:sz w:val="24"/>
          <w:szCs w:val="24"/>
        </w:rPr>
        <w:lastRenderedPageBreak/>
        <w:t xml:space="preserve">Efficiency: The Partner journey was referred to as positive, but Partners described the application process as rigorous and time consuming, lasting over a year in </w:t>
      </w:r>
      <w:r>
        <w:rPr>
          <w:sz w:val="24"/>
          <w:szCs w:val="24"/>
        </w:rPr>
        <w:t>a few</w:t>
      </w:r>
      <w:r w:rsidRPr="00D8407C">
        <w:rPr>
          <w:sz w:val="24"/>
          <w:szCs w:val="24"/>
        </w:rPr>
        <w:t xml:space="preserve"> cases – suggesting potential inefficiencies or scope for improvement.</w:t>
      </w:r>
      <w:r>
        <w:rPr>
          <w:sz w:val="24"/>
          <w:szCs w:val="24"/>
        </w:rPr>
        <w:t xml:space="preserve"> </w:t>
      </w:r>
      <w:r w:rsidR="717AA3A9" w:rsidRPr="07F50397">
        <w:rPr>
          <w:sz w:val="24"/>
          <w:szCs w:val="24"/>
        </w:rPr>
        <w:t>However</w:t>
      </w:r>
      <w:r>
        <w:rPr>
          <w:sz w:val="24"/>
          <w:szCs w:val="24"/>
        </w:rPr>
        <w:t>, it must be noted that the delivery team have introduced new, more efficient process which has significantly reduced the time between application and funding</w:t>
      </w:r>
      <w:r w:rsidR="00442DA1">
        <w:rPr>
          <w:rStyle w:val="FootnoteReference"/>
          <w:sz w:val="24"/>
          <w:szCs w:val="24"/>
        </w:rPr>
        <w:footnoteReference w:id="10"/>
      </w:r>
      <w:r>
        <w:rPr>
          <w:sz w:val="24"/>
          <w:szCs w:val="24"/>
        </w:rPr>
        <w:t xml:space="preserve">. </w:t>
      </w:r>
    </w:p>
    <w:p w14:paraId="3979182F" w14:textId="77777777" w:rsidR="00442DA1" w:rsidRPr="00D8407C" w:rsidRDefault="00442DA1" w:rsidP="00442DA1">
      <w:pPr>
        <w:pStyle w:val="Bullet1"/>
        <w:spacing w:line="360" w:lineRule="auto"/>
        <w:rPr>
          <w:sz w:val="24"/>
          <w:szCs w:val="24"/>
        </w:rPr>
      </w:pPr>
      <w:r w:rsidRPr="00D8407C">
        <w:rPr>
          <w:sz w:val="24"/>
          <w:szCs w:val="24"/>
        </w:rPr>
        <w:t xml:space="preserve">Effectiveness: A substantial proportion of funding has gone towards early-stage SMEs in underrepresented </w:t>
      </w:r>
      <w:proofErr w:type="gramStart"/>
      <w:r w:rsidRPr="00D8407C">
        <w:rPr>
          <w:sz w:val="24"/>
          <w:szCs w:val="24"/>
        </w:rPr>
        <w:t>regions</w:t>
      </w:r>
      <w:proofErr w:type="gramEnd"/>
      <w:r w:rsidRPr="00D8407C">
        <w:rPr>
          <w:sz w:val="24"/>
          <w:szCs w:val="24"/>
        </w:rPr>
        <w:t xml:space="preserve"> </w:t>
      </w:r>
      <w:r>
        <w:rPr>
          <w:sz w:val="24"/>
          <w:szCs w:val="24"/>
        </w:rPr>
        <w:t xml:space="preserve">and we find that this </w:t>
      </w:r>
      <w:r w:rsidRPr="00D8407C">
        <w:rPr>
          <w:sz w:val="24"/>
          <w:szCs w:val="24"/>
        </w:rPr>
        <w:t xml:space="preserve">has </w:t>
      </w:r>
      <w:r>
        <w:rPr>
          <w:sz w:val="24"/>
          <w:szCs w:val="24"/>
        </w:rPr>
        <w:t>better positioned these firms to</w:t>
      </w:r>
      <w:r w:rsidRPr="00D8407C">
        <w:rPr>
          <w:sz w:val="24"/>
          <w:szCs w:val="24"/>
        </w:rPr>
        <w:t xml:space="preserve"> leverage future funding</w:t>
      </w:r>
      <w:r>
        <w:rPr>
          <w:sz w:val="24"/>
          <w:szCs w:val="24"/>
        </w:rPr>
        <w:t>, invest in their development and scale</w:t>
      </w:r>
      <w:r w:rsidRPr="009F1126">
        <w:rPr>
          <w:sz w:val="24"/>
          <w:szCs w:val="24"/>
        </w:rPr>
        <w:t>.</w:t>
      </w:r>
      <w:r w:rsidRPr="00D8407C">
        <w:rPr>
          <w:sz w:val="24"/>
          <w:szCs w:val="24"/>
        </w:rPr>
        <w:t xml:space="preserve"> </w:t>
      </w:r>
      <w:r>
        <w:rPr>
          <w:sz w:val="24"/>
          <w:szCs w:val="24"/>
        </w:rPr>
        <w:t>W</w:t>
      </w:r>
      <w:r w:rsidRPr="00D8407C">
        <w:rPr>
          <w:sz w:val="24"/>
          <w:szCs w:val="24"/>
        </w:rPr>
        <w:t>ider benefits such as experienced investors guiding commercialisation efforts are yet to be realised</w:t>
      </w:r>
      <w:r>
        <w:rPr>
          <w:sz w:val="24"/>
          <w:szCs w:val="24"/>
        </w:rPr>
        <w:t xml:space="preserve"> but are in scope</w:t>
      </w:r>
      <w:r w:rsidRPr="009F1126">
        <w:rPr>
          <w:sz w:val="24"/>
          <w:szCs w:val="24"/>
        </w:rPr>
        <w:t>.</w:t>
      </w:r>
      <w:r w:rsidRPr="00D8407C">
        <w:rPr>
          <w:sz w:val="24"/>
          <w:szCs w:val="24"/>
        </w:rPr>
        <w:t xml:space="preserve"> No data was available on any Intellectual Property developments that have been realised due to RAP.</w:t>
      </w:r>
    </w:p>
    <w:p w14:paraId="75A18455" w14:textId="778328C0" w:rsidR="00442DA1" w:rsidRPr="002546AA" w:rsidRDefault="00442DA1" w:rsidP="00442DA1">
      <w:pPr>
        <w:pStyle w:val="Bullet1"/>
        <w:spacing w:line="360" w:lineRule="auto"/>
        <w:rPr>
          <w:sz w:val="24"/>
          <w:szCs w:val="24"/>
        </w:rPr>
      </w:pPr>
      <w:r w:rsidRPr="00D8407C">
        <w:rPr>
          <w:sz w:val="24"/>
          <w:szCs w:val="24"/>
        </w:rPr>
        <w:t xml:space="preserve">Equity: The scheme was designed to address the issue of unequitable allocation of early-stage angel investments across underrepresented regions. Data analysis shows that </w:t>
      </w:r>
      <w:r>
        <w:rPr>
          <w:sz w:val="24"/>
          <w:szCs w:val="24"/>
        </w:rPr>
        <w:t>7</w:t>
      </w:r>
      <w:r w:rsidR="00A034EC">
        <w:rPr>
          <w:sz w:val="24"/>
          <w:szCs w:val="24"/>
        </w:rPr>
        <w:t>9</w:t>
      </w:r>
      <w:r>
        <w:rPr>
          <w:sz w:val="24"/>
          <w:szCs w:val="24"/>
        </w:rPr>
        <w:t xml:space="preserve">% of BBI </w:t>
      </w:r>
      <w:r w:rsidR="00BB6984">
        <w:rPr>
          <w:sz w:val="24"/>
          <w:szCs w:val="24"/>
        </w:rPr>
        <w:t>only</w:t>
      </w:r>
      <w:r>
        <w:rPr>
          <w:sz w:val="24"/>
          <w:szCs w:val="24"/>
        </w:rPr>
        <w:t xml:space="preserve"> investment</w:t>
      </w:r>
      <w:r w:rsidRPr="00D8407C">
        <w:rPr>
          <w:sz w:val="24"/>
          <w:szCs w:val="24"/>
        </w:rPr>
        <w:t xml:space="preserve"> </w:t>
      </w:r>
      <w:r w:rsidR="00C43D41">
        <w:rPr>
          <w:sz w:val="24"/>
          <w:szCs w:val="24"/>
        </w:rPr>
        <w:t>(7</w:t>
      </w:r>
      <w:r w:rsidR="00A034EC">
        <w:rPr>
          <w:sz w:val="24"/>
          <w:szCs w:val="24"/>
        </w:rPr>
        <w:t>5</w:t>
      </w:r>
      <w:r w:rsidR="00C43D41" w:rsidRPr="00D8407C">
        <w:rPr>
          <w:sz w:val="24"/>
          <w:szCs w:val="24"/>
        </w:rPr>
        <w:t>%</w:t>
      </w:r>
      <w:r w:rsidR="00C43D41">
        <w:rPr>
          <w:sz w:val="24"/>
          <w:szCs w:val="24"/>
        </w:rPr>
        <w:t xml:space="preserve"> </w:t>
      </w:r>
      <w:r w:rsidR="00111FE0">
        <w:rPr>
          <w:sz w:val="24"/>
          <w:szCs w:val="24"/>
        </w:rPr>
        <w:t xml:space="preserve">when including </w:t>
      </w:r>
      <w:r w:rsidR="00C43D41">
        <w:rPr>
          <w:sz w:val="24"/>
          <w:szCs w:val="24"/>
        </w:rPr>
        <w:t xml:space="preserve">BBI + </w:t>
      </w:r>
      <w:r w:rsidR="00D46C33">
        <w:rPr>
          <w:sz w:val="24"/>
          <w:szCs w:val="24"/>
        </w:rPr>
        <w:t xml:space="preserve">delivery partners </w:t>
      </w:r>
      <w:r w:rsidR="006D47E4">
        <w:rPr>
          <w:sz w:val="24"/>
          <w:szCs w:val="24"/>
        </w:rPr>
        <w:t xml:space="preserve">investment </w:t>
      </w:r>
      <w:r w:rsidR="00D46C33">
        <w:rPr>
          <w:sz w:val="24"/>
          <w:szCs w:val="24"/>
        </w:rPr>
        <w:t xml:space="preserve">+ </w:t>
      </w:r>
      <w:r w:rsidR="006D47E4">
        <w:rPr>
          <w:sz w:val="24"/>
          <w:szCs w:val="24"/>
        </w:rPr>
        <w:t xml:space="preserve">third </w:t>
      </w:r>
      <w:r w:rsidR="00D46C33">
        <w:rPr>
          <w:sz w:val="24"/>
          <w:szCs w:val="24"/>
        </w:rPr>
        <w:t>party investors</w:t>
      </w:r>
      <w:r w:rsidR="00C43D41">
        <w:rPr>
          <w:sz w:val="24"/>
          <w:szCs w:val="24"/>
        </w:rPr>
        <w:t>)</w:t>
      </w:r>
      <w:r w:rsidRPr="00D8407C">
        <w:rPr>
          <w:sz w:val="24"/>
          <w:szCs w:val="24"/>
        </w:rPr>
        <w:t xml:space="preserve"> of funding went to small businesses trading outside of London. This </w:t>
      </w:r>
      <w:r>
        <w:rPr>
          <w:sz w:val="24"/>
          <w:szCs w:val="24"/>
        </w:rPr>
        <w:t xml:space="preserve">is </w:t>
      </w:r>
      <w:r w:rsidR="0009529C">
        <w:rPr>
          <w:sz w:val="24"/>
          <w:szCs w:val="24"/>
        </w:rPr>
        <w:t>almost</w:t>
      </w:r>
      <w:r>
        <w:rPr>
          <w:sz w:val="24"/>
          <w:szCs w:val="24"/>
        </w:rPr>
        <w:t xml:space="preserve"> double the </w:t>
      </w:r>
      <w:r w:rsidRPr="00D8407C">
        <w:rPr>
          <w:sz w:val="24"/>
          <w:szCs w:val="24"/>
        </w:rPr>
        <w:t xml:space="preserve">distribution of </w:t>
      </w:r>
      <w:r>
        <w:rPr>
          <w:sz w:val="24"/>
          <w:szCs w:val="24"/>
        </w:rPr>
        <w:t xml:space="preserve">funding </w:t>
      </w:r>
      <w:r w:rsidR="0009529C" w:rsidRPr="00D8407C">
        <w:rPr>
          <w:sz w:val="24"/>
          <w:szCs w:val="24"/>
        </w:rPr>
        <w:t>to small business outside of London</w:t>
      </w:r>
      <w:r w:rsidR="0009529C">
        <w:rPr>
          <w:sz w:val="24"/>
          <w:szCs w:val="24"/>
        </w:rPr>
        <w:t xml:space="preserve"> seen in the wider angel market and </w:t>
      </w:r>
      <w:r>
        <w:rPr>
          <w:sz w:val="24"/>
          <w:szCs w:val="24"/>
        </w:rPr>
        <w:t xml:space="preserve">under the </w:t>
      </w:r>
      <w:r w:rsidRPr="00994803">
        <w:rPr>
          <w:sz w:val="24"/>
          <w:szCs w:val="24"/>
        </w:rPr>
        <w:t>Future Fund</w:t>
      </w:r>
      <w:r w:rsidRPr="00D8407C">
        <w:rPr>
          <w:sz w:val="24"/>
          <w:szCs w:val="24"/>
        </w:rPr>
        <w:t xml:space="preserve">. </w:t>
      </w:r>
      <w:r>
        <w:rPr>
          <w:sz w:val="24"/>
          <w:szCs w:val="24"/>
        </w:rPr>
        <w:t xml:space="preserve">More </w:t>
      </w:r>
      <w:r w:rsidR="00D013CF">
        <w:rPr>
          <w:sz w:val="24"/>
          <w:szCs w:val="24"/>
        </w:rPr>
        <w:t xml:space="preserve">however </w:t>
      </w:r>
      <w:r>
        <w:rPr>
          <w:sz w:val="24"/>
          <w:szCs w:val="24"/>
        </w:rPr>
        <w:t>could have been done to ensure further benefit to regions that have a greater need for the Programme.</w:t>
      </w:r>
    </w:p>
    <w:p w14:paraId="505EB919" w14:textId="77777777" w:rsidR="00442DA1" w:rsidRPr="00D8407C" w:rsidRDefault="00442DA1" w:rsidP="00442DA1">
      <w:pPr>
        <w:pStyle w:val="Bullet1"/>
        <w:spacing w:line="360" w:lineRule="auto"/>
        <w:rPr>
          <w:sz w:val="24"/>
          <w:szCs w:val="24"/>
        </w:rPr>
      </w:pPr>
      <w:r w:rsidRPr="00D8407C">
        <w:rPr>
          <w:sz w:val="24"/>
          <w:szCs w:val="24"/>
        </w:rPr>
        <w:t>Economy:</w:t>
      </w:r>
    </w:p>
    <w:p w14:paraId="5CEFD69C" w14:textId="2EFADFA7" w:rsidR="00442DA1" w:rsidRPr="00D8407C" w:rsidRDefault="00442DA1" w:rsidP="00442DA1">
      <w:pPr>
        <w:pStyle w:val="Bullet2"/>
        <w:spacing w:line="360" w:lineRule="auto"/>
        <w:rPr>
          <w:sz w:val="24"/>
          <w:szCs w:val="24"/>
        </w:rPr>
      </w:pPr>
      <w:r w:rsidRPr="00D8407C">
        <w:rPr>
          <w:sz w:val="24"/>
          <w:szCs w:val="24"/>
        </w:rPr>
        <w:t xml:space="preserve">Direct: Early evidence suggest short-term </w:t>
      </w:r>
      <w:r w:rsidR="00A2675A">
        <w:rPr>
          <w:sz w:val="24"/>
          <w:szCs w:val="24"/>
        </w:rPr>
        <w:t xml:space="preserve">scheme </w:t>
      </w:r>
      <w:r w:rsidRPr="00D8407C">
        <w:rPr>
          <w:sz w:val="24"/>
          <w:szCs w:val="24"/>
        </w:rPr>
        <w:t>outcomes are in reach.</w:t>
      </w:r>
      <w:r>
        <w:rPr>
          <w:sz w:val="24"/>
          <w:szCs w:val="24"/>
        </w:rPr>
        <w:t xml:space="preserve"> This assessment is made </w:t>
      </w:r>
      <w:r w:rsidRPr="00A60814">
        <w:rPr>
          <w:sz w:val="24"/>
          <w:szCs w:val="24"/>
        </w:rPr>
        <w:t>in consideration of the</w:t>
      </w:r>
      <w:r w:rsidR="0009529C" w:rsidRPr="00A60814">
        <w:rPr>
          <w:sz w:val="24"/>
          <w:szCs w:val="24"/>
        </w:rPr>
        <w:t xml:space="preserve"> </w:t>
      </w:r>
      <w:r w:rsidR="00807BA0">
        <w:rPr>
          <w:sz w:val="24"/>
          <w:szCs w:val="24"/>
        </w:rPr>
        <w:t>indicative</w:t>
      </w:r>
      <w:r w:rsidR="002B5C19">
        <w:rPr>
          <w:sz w:val="24"/>
          <w:szCs w:val="24"/>
        </w:rPr>
        <w:t xml:space="preserve"> </w:t>
      </w:r>
      <w:r w:rsidR="0009529C" w:rsidRPr="00A60814">
        <w:rPr>
          <w:sz w:val="24"/>
          <w:szCs w:val="24"/>
        </w:rPr>
        <w:t>fundraising uplift of</w:t>
      </w:r>
      <w:r w:rsidR="0009529C">
        <w:rPr>
          <w:sz w:val="24"/>
          <w:szCs w:val="24"/>
        </w:rPr>
        <w:t xml:space="preserve"> up to</w:t>
      </w:r>
      <w:r w:rsidR="0009529C" w:rsidRPr="00A60814">
        <w:rPr>
          <w:sz w:val="24"/>
          <w:szCs w:val="24"/>
        </w:rPr>
        <w:t xml:space="preserve"> 76%</w:t>
      </w:r>
      <w:r w:rsidR="00A2675A">
        <w:rPr>
          <w:sz w:val="24"/>
          <w:szCs w:val="24"/>
        </w:rPr>
        <w:t xml:space="preserve"> of RAP funded firms compared to the counterfactual on a national level</w:t>
      </w:r>
      <w:r w:rsidR="0009529C">
        <w:rPr>
          <w:sz w:val="24"/>
          <w:szCs w:val="24"/>
        </w:rPr>
        <w:t>.</w:t>
      </w:r>
    </w:p>
    <w:p w14:paraId="78091967" w14:textId="77777777" w:rsidR="00442DA1" w:rsidRPr="00D8407C" w:rsidRDefault="00442DA1" w:rsidP="00442DA1">
      <w:pPr>
        <w:pStyle w:val="Bullet2"/>
        <w:spacing w:line="360" w:lineRule="auto"/>
        <w:rPr>
          <w:sz w:val="24"/>
          <w:szCs w:val="24"/>
        </w:rPr>
      </w:pPr>
      <w:r w:rsidRPr="00D8407C">
        <w:rPr>
          <w:sz w:val="24"/>
          <w:szCs w:val="24"/>
        </w:rPr>
        <w:t xml:space="preserve">Indirect benefits: </w:t>
      </w:r>
      <w:r>
        <w:rPr>
          <w:sz w:val="24"/>
          <w:szCs w:val="24"/>
        </w:rPr>
        <w:t>D</w:t>
      </w:r>
      <w:r w:rsidRPr="00D8407C">
        <w:rPr>
          <w:sz w:val="24"/>
          <w:szCs w:val="24"/>
        </w:rPr>
        <w:t xml:space="preserve">issemination of knowledge gains </w:t>
      </w:r>
      <w:r>
        <w:rPr>
          <w:sz w:val="24"/>
          <w:szCs w:val="24"/>
        </w:rPr>
        <w:t xml:space="preserve">has been </w:t>
      </w:r>
      <w:r w:rsidRPr="00D8407C">
        <w:rPr>
          <w:sz w:val="24"/>
          <w:szCs w:val="24"/>
        </w:rPr>
        <w:t>made possible because of RAP investment</w:t>
      </w:r>
      <w:r>
        <w:rPr>
          <w:sz w:val="24"/>
          <w:szCs w:val="24"/>
        </w:rPr>
        <w:t xml:space="preserve"> and this </w:t>
      </w:r>
      <w:r w:rsidRPr="00D8407C">
        <w:rPr>
          <w:sz w:val="24"/>
          <w:szCs w:val="24"/>
        </w:rPr>
        <w:t>can also lead to spill over benefits to other businesses and increase competition/ productivity</w:t>
      </w:r>
      <w:r>
        <w:rPr>
          <w:sz w:val="24"/>
          <w:szCs w:val="24"/>
        </w:rPr>
        <w:t xml:space="preserve"> regionally</w:t>
      </w:r>
      <w:r w:rsidRPr="00D8407C">
        <w:rPr>
          <w:sz w:val="24"/>
          <w:szCs w:val="24"/>
        </w:rPr>
        <w:t>.</w:t>
      </w:r>
    </w:p>
    <w:p w14:paraId="1020727E" w14:textId="77777777" w:rsidR="00442DA1" w:rsidRPr="0069369A" w:rsidRDefault="00442DA1" w:rsidP="00442DA1">
      <w:pPr>
        <w:tabs>
          <w:tab w:val="right" w:pos="9746"/>
        </w:tabs>
      </w:pPr>
      <w:r w:rsidRPr="0069369A">
        <w:t>For a fuller assessment, further data outturns and collection would be required.</w:t>
      </w:r>
      <w:r>
        <w:tab/>
      </w:r>
    </w:p>
    <w:p w14:paraId="47D4F8CE" w14:textId="77777777" w:rsidR="00442DA1" w:rsidRDefault="00442DA1" w:rsidP="00442DA1">
      <w:pPr>
        <w:pStyle w:val="Heading2"/>
      </w:pPr>
      <w:bookmarkStart w:id="25" w:name="_Toc144830542"/>
      <w:bookmarkStart w:id="26" w:name="_Toc165482205"/>
      <w:bookmarkStart w:id="27" w:name="_Toc165497168"/>
      <w:r>
        <w:lastRenderedPageBreak/>
        <w:t xml:space="preserve">1.8 Lessons learnt and </w:t>
      </w:r>
      <w:proofErr w:type="gramStart"/>
      <w:r>
        <w:t>recommendations</w:t>
      </w:r>
      <w:bookmarkEnd w:id="25"/>
      <w:bookmarkEnd w:id="26"/>
      <w:bookmarkEnd w:id="27"/>
      <w:proofErr w:type="gramEnd"/>
    </w:p>
    <w:p w14:paraId="5059D70B" w14:textId="4683C915" w:rsidR="00442DA1" w:rsidRDefault="00442DA1" w:rsidP="00442DA1">
      <w:r>
        <w:t xml:space="preserve">At the time of reporting, the RAP is still in the early stages of post financing and impacts are unlikely to be fully realised – especially when considering the performance of early-stage businesses that have higher risk profiles. </w:t>
      </w:r>
      <w:r w:rsidR="0009529C">
        <w:t xml:space="preserve">Many </w:t>
      </w:r>
      <w:r>
        <w:t xml:space="preserve">firms are focused on R&amp;D activities rather than commercialisation and many </w:t>
      </w:r>
      <w:r w:rsidR="0009529C">
        <w:t xml:space="preserve">operate </w:t>
      </w:r>
      <w:r>
        <w:t xml:space="preserve">in high-intensity R&amp;D sectors and it will take relatively long for such firms to reach maturity and become profitable. </w:t>
      </w:r>
    </w:p>
    <w:p w14:paraId="409A21FA" w14:textId="482B95B1" w:rsidR="00C43D41" w:rsidRDefault="6AA08C39" w:rsidP="00C43D41">
      <w:r w:rsidRPr="004B1C7A">
        <w:t xml:space="preserve">We found that the application process was thorough, and, in some cases, the </w:t>
      </w:r>
      <w:r w:rsidR="1EA74487" w:rsidRPr="004B1C7A">
        <w:t>application process (</w:t>
      </w:r>
      <w:r w:rsidR="717AA3A9">
        <w:t>from initial conversation at early application stage to go-live</w:t>
      </w:r>
      <w:r w:rsidR="1EA74487" w:rsidRPr="004B1C7A">
        <w:t>)</w:t>
      </w:r>
      <w:r w:rsidRPr="004B1C7A">
        <w:t xml:space="preserve"> of Partners took over a year to complete. Whilst this saw a positive improvement in the professionalism of these business angels, </w:t>
      </w:r>
      <w:r w:rsidRPr="0087177A">
        <w:t>the process could be simplified.</w:t>
      </w:r>
      <w:r w:rsidRPr="0009529C">
        <w:t xml:space="preserve"> </w:t>
      </w:r>
      <w:r w:rsidRPr="004B1C7A">
        <w:t xml:space="preserve">Efficiencies could be gained through </w:t>
      </w:r>
      <w:r w:rsidRPr="0087177A">
        <w:t>streamlining the application process, built on the previous experience of engagement with the original 10 Partners</w:t>
      </w:r>
      <w:r w:rsidRPr="0009529C">
        <w:t>.</w:t>
      </w:r>
      <w:r w:rsidR="717AA3A9">
        <w:t xml:space="preserve"> As mentioned above, the delivery team have already implemented a new streamlined investment process which has yielded significant time savings and efficiency benefits to both BBI and the applicants. </w:t>
      </w:r>
      <w:r w:rsidRPr="004B1C7A">
        <w:t xml:space="preserve">The design of the scheme could consider </w:t>
      </w:r>
      <w:r w:rsidRPr="0087177A">
        <w:t>changing the FCA regulated status requirement to allow a broader range of angels to access support</w:t>
      </w:r>
      <w:r w:rsidR="00C43D41" w:rsidRPr="0009529C">
        <w:rPr>
          <w:rStyle w:val="FootnoteReference"/>
        </w:rPr>
        <w:footnoteReference w:id="11"/>
      </w:r>
      <w:r w:rsidRPr="0009529C">
        <w:t>.</w:t>
      </w:r>
      <w:r w:rsidRPr="004B1C7A">
        <w:t xml:space="preserve"> Alternatively, </w:t>
      </w:r>
      <w:r w:rsidR="1EA74487" w:rsidRPr="004B1C7A">
        <w:t xml:space="preserve">other </w:t>
      </w:r>
      <w:r w:rsidRPr="0087177A">
        <w:t xml:space="preserve">support could be provided </w:t>
      </w:r>
      <w:r w:rsidR="28A39F43" w:rsidRPr="0087177A">
        <w:t>such as</w:t>
      </w:r>
      <w:r w:rsidRPr="0009529C">
        <w:t>,</w:t>
      </w:r>
      <w:r w:rsidRPr="004B1C7A">
        <w:t xml:space="preserve"> introducing a collaborative angel community for knowledge sharing where unregulated angels can learn from existing syndicates</w:t>
      </w:r>
      <w:r w:rsidR="1EA74487" w:rsidRPr="004B1C7A">
        <w:t>, who are regulated</w:t>
      </w:r>
      <w:r w:rsidR="36894DF8" w:rsidRPr="004B1C7A">
        <w:t>,</w:t>
      </w:r>
      <w:r w:rsidRPr="004B1C7A">
        <w:t xml:space="preserve"> to gain FCA status. To some extent this does exist through associations such as the </w:t>
      </w:r>
      <w:proofErr w:type="gramStart"/>
      <w:r w:rsidRPr="004B1C7A">
        <w:t>UKBAA</w:t>
      </w:r>
      <w:r w:rsidR="28A39F43" w:rsidRPr="004B1C7A">
        <w:t>, but</w:t>
      </w:r>
      <w:proofErr w:type="gramEnd"/>
      <w:r w:rsidR="28A39F43" w:rsidRPr="004B1C7A">
        <w:t xml:space="preserve"> could be expanded</w:t>
      </w:r>
      <w:r w:rsidRPr="004B1C7A">
        <w:t>.</w:t>
      </w:r>
      <w:r w:rsidR="1EA74487" w:rsidRPr="004B1C7A">
        <w:t xml:space="preserve"> More recently</w:t>
      </w:r>
      <w:r w:rsidR="1EA74487">
        <w:t>, th</w:t>
      </w:r>
      <w:r w:rsidR="36894DF8">
        <w:t>e RAP delivery team have</w:t>
      </w:r>
      <w:r w:rsidR="1EA74487">
        <w:t xml:space="preserve"> already incorporated </w:t>
      </w:r>
      <w:r w:rsidR="36894DF8">
        <w:t>support for</w:t>
      </w:r>
      <w:r w:rsidR="1EA74487">
        <w:t xml:space="preserve"> newer applications where FCA regulated investors are </w:t>
      </w:r>
      <w:r w:rsidR="36894DF8">
        <w:t>supporting unregulated RAP angels</w:t>
      </w:r>
      <w:r w:rsidR="1EA74487">
        <w:t xml:space="preserve"> in </w:t>
      </w:r>
      <w:r w:rsidR="36894DF8">
        <w:t>the capacity of</w:t>
      </w:r>
      <w:r w:rsidR="1EA74487">
        <w:t xml:space="preserve"> “investment managers”.</w:t>
      </w:r>
    </w:p>
    <w:p w14:paraId="6ADD4669" w14:textId="457658E6" w:rsidR="00442DA1" w:rsidRDefault="6AA08C39" w:rsidP="00C43D41">
      <w:r>
        <w:t xml:space="preserve">We also found early signals of potential funding additionality. This highlights that there is likely a gap in the angel funding across the regions and the scheme has provided support to underrepresented regions across the UK. However, the need for finance will likely persist and the scheme should continue offering support – potentially extending the amount of support available. One </w:t>
      </w:r>
      <w:r>
        <w:rPr>
          <w:rFonts w:cstheme="minorHAnsi"/>
        </w:rPr>
        <w:t xml:space="preserve">recommendation </w:t>
      </w:r>
      <w:r w:rsidRPr="00F170C8">
        <w:rPr>
          <w:rFonts w:cstheme="minorHAnsi"/>
        </w:rPr>
        <w:t xml:space="preserve">would be to offer leverage </w:t>
      </w:r>
      <w:r>
        <w:rPr>
          <w:rFonts w:cstheme="minorHAnsi"/>
        </w:rPr>
        <w:t xml:space="preserve">(additional incentives i.e., through the matched funding or terms and conditions, for example) </w:t>
      </w:r>
      <w:r w:rsidRPr="00F170C8">
        <w:rPr>
          <w:rFonts w:cstheme="minorHAnsi"/>
        </w:rPr>
        <w:t xml:space="preserve">to angels to encourage more inter-regional investments by </w:t>
      </w:r>
      <w:r w:rsidRPr="004B1C7A">
        <w:rPr>
          <w:rFonts w:cstheme="minorHAnsi"/>
        </w:rPr>
        <w:t xml:space="preserve">the angels who dominate </w:t>
      </w:r>
      <w:r w:rsidR="36894DF8" w:rsidRPr="004B1C7A">
        <w:rPr>
          <w:rFonts w:cstheme="minorHAnsi"/>
        </w:rPr>
        <w:t>funding supply</w:t>
      </w:r>
      <w:r w:rsidRPr="004B1C7A">
        <w:rPr>
          <w:rFonts w:cstheme="minorHAnsi"/>
        </w:rPr>
        <w:t xml:space="preserve"> in places like London and the South-East. Rich entrepreneurial ecosystems (EE) such as</w:t>
      </w:r>
      <w:r w:rsidR="7B3E175E" w:rsidRPr="004B1C7A">
        <w:rPr>
          <w:rFonts w:cstheme="minorHAnsi"/>
        </w:rPr>
        <w:t xml:space="preserve"> </w:t>
      </w:r>
      <w:r w:rsidR="7B3E175E" w:rsidRPr="004B1C7A">
        <w:rPr>
          <w:rFonts w:cstheme="minorHAnsi"/>
        </w:rPr>
        <w:lastRenderedPageBreak/>
        <w:t xml:space="preserve">London and Scotland took many years to </w:t>
      </w:r>
      <w:r w:rsidR="00807BA0" w:rsidRPr="004B1C7A">
        <w:rPr>
          <w:rFonts w:cstheme="minorHAnsi"/>
        </w:rPr>
        <w:t>develop,</w:t>
      </w:r>
      <w:r w:rsidR="7B3E175E" w:rsidRPr="004B1C7A">
        <w:rPr>
          <w:rFonts w:cstheme="minorHAnsi"/>
        </w:rPr>
        <w:t xml:space="preserve"> and the British Business</w:t>
      </w:r>
      <w:r w:rsidR="7B3E175E">
        <w:rPr>
          <w:rFonts w:cstheme="minorHAnsi"/>
        </w:rPr>
        <w:t xml:space="preserve"> Bank should consider how it could support this longer-term shift for broader regional ecosystem development. </w:t>
      </w:r>
      <w:r w:rsidR="7B3E175E" w:rsidRPr="00F170C8">
        <w:rPr>
          <w:rFonts w:cstheme="minorHAnsi"/>
        </w:rPr>
        <w:t>For example, the Scottish Government has worked repeatedly to help build the Scottish EE for 25 years or so since the mid-1990s. Incentivising non-local investors and building syndicates are crucial to the formulation of this process</w:t>
      </w:r>
      <w:r w:rsidR="00442DA1">
        <w:rPr>
          <w:rStyle w:val="FootnoteReference"/>
          <w:rFonts w:cstheme="minorHAnsi"/>
        </w:rPr>
        <w:footnoteReference w:id="12"/>
      </w:r>
      <w:r w:rsidR="7B3E175E">
        <w:rPr>
          <w:rFonts w:cstheme="minorHAnsi"/>
        </w:rPr>
        <w:t>.</w:t>
      </w:r>
    </w:p>
    <w:p w14:paraId="0A8A303F" w14:textId="1A53B5FB" w:rsidR="003C6F7B" w:rsidRPr="008A0E9C" w:rsidRDefault="00442DA1" w:rsidP="00D8407C">
      <w:r>
        <w:t xml:space="preserve">Finally for a fuller evaluation, there needs to be a consideration of timing. As mentioned above, it is still too early for impacts to have </w:t>
      </w:r>
      <w:r w:rsidR="00807BA0">
        <w:t>emerged,</w:t>
      </w:r>
      <w:r>
        <w:t xml:space="preserve"> and projections should not be drawn on the relative RAP funded business performance in 2022.</w:t>
      </w:r>
      <w:r w:rsidR="00BC1E7B">
        <w:t xml:space="preserve"> </w:t>
      </w:r>
    </w:p>
    <w:p w14:paraId="7B3BEA18" w14:textId="2836D868" w:rsidR="008C1196" w:rsidRDefault="00CB48DD" w:rsidP="008C1196">
      <w:pPr>
        <w:pStyle w:val="Heading1"/>
      </w:pPr>
      <w:bookmarkStart w:id="28" w:name="_Toc1097603242"/>
      <w:r>
        <w:br w:type="page"/>
      </w:r>
      <w:bookmarkStart w:id="29" w:name="_Toc165482206"/>
      <w:bookmarkStart w:id="30" w:name="_Toc165497169"/>
      <w:r w:rsidR="008C1196">
        <w:lastRenderedPageBreak/>
        <w:t>2. Progress against objectives</w:t>
      </w:r>
      <w:bookmarkEnd w:id="29"/>
      <w:bookmarkEnd w:id="30"/>
    </w:p>
    <w:p w14:paraId="5078E623" w14:textId="664B4C74" w:rsidR="004C2C2E" w:rsidRDefault="004C2C2E" w:rsidP="004C2C2E">
      <w:pPr>
        <w:pStyle w:val="Heading2"/>
        <w:rPr>
          <w:lang w:eastAsia="en-GB"/>
        </w:rPr>
      </w:pPr>
      <w:bookmarkStart w:id="31" w:name="_Toc165482207"/>
      <w:bookmarkStart w:id="32" w:name="_Toc165497170"/>
      <w:r>
        <w:rPr>
          <w:lang w:eastAsia="en-GB"/>
        </w:rPr>
        <w:t>2.1 Progress against objectives</w:t>
      </w:r>
      <w:r w:rsidR="00B16629">
        <w:rPr>
          <w:lang w:eastAsia="en-GB"/>
        </w:rPr>
        <w:t xml:space="preserve"> tables</w:t>
      </w:r>
      <w:bookmarkEnd w:id="31"/>
      <w:bookmarkEnd w:id="32"/>
    </w:p>
    <w:p w14:paraId="6BA2024A" w14:textId="77777777" w:rsidR="00BC412E" w:rsidRDefault="003C06F0" w:rsidP="00DD5A18">
      <w:pPr>
        <w:pStyle w:val="Caption"/>
      </w:pPr>
      <w:r>
        <w:rPr>
          <w:szCs w:val="24"/>
          <w:lang w:eastAsia="en-GB"/>
        </w:rPr>
        <w:fldChar w:fldCharType="begin"/>
      </w:r>
      <w:r>
        <w:rPr>
          <w:szCs w:val="24"/>
          <w:lang w:eastAsia="en-GB"/>
        </w:rPr>
        <w:instrText xml:space="preserve"> REF _Ref145072487 \h </w:instrText>
      </w:r>
      <w:r>
        <w:rPr>
          <w:szCs w:val="24"/>
          <w:lang w:eastAsia="en-GB"/>
        </w:rPr>
      </w:r>
      <w:r>
        <w:rPr>
          <w:szCs w:val="24"/>
          <w:lang w:eastAsia="en-GB"/>
        </w:rPr>
        <w:fldChar w:fldCharType="separate"/>
      </w:r>
      <w:r w:rsidR="00BC412E">
        <w:t xml:space="preserve">Table </w:t>
      </w:r>
      <w:r w:rsidR="00BC412E">
        <w:rPr>
          <w:noProof/>
        </w:rPr>
        <w:t>1</w:t>
      </w:r>
      <w:r>
        <w:rPr>
          <w:szCs w:val="24"/>
          <w:lang w:eastAsia="en-GB"/>
        </w:rPr>
        <w:fldChar w:fldCharType="end"/>
      </w:r>
      <w:r w:rsidR="00442DA1" w:rsidRPr="00D8407C">
        <w:rPr>
          <w:szCs w:val="24"/>
          <w:lang w:eastAsia="en-GB"/>
        </w:rPr>
        <w:t xml:space="preserve"> below provides a summary of the stated Programme objectives</w:t>
      </w:r>
      <w:r>
        <w:rPr>
          <w:szCs w:val="24"/>
          <w:lang w:eastAsia="en-GB"/>
        </w:rPr>
        <w:t xml:space="preserve"> and </w:t>
      </w:r>
      <w:r>
        <w:rPr>
          <w:szCs w:val="24"/>
          <w:lang w:eastAsia="en-GB"/>
        </w:rPr>
        <w:fldChar w:fldCharType="begin"/>
      </w:r>
      <w:r>
        <w:rPr>
          <w:szCs w:val="24"/>
          <w:lang w:eastAsia="en-GB"/>
        </w:rPr>
        <w:instrText xml:space="preserve"> REF _Ref145072523 \h </w:instrText>
      </w:r>
      <w:r>
        <w:rPr>
          <w:szCs w:val="24"/>
          <w:lang w:eastAsia="en-GB"/>
        </w:rPr>
      </w:r>
      <w:r>
        <w:rPr>
          <w:szCs w:val="24"/>
          <w:lang w:eastAsia="en-GB"/>
        </w:rPr>
        <w:fldChar w:fldCharType="separate"/>
      </w:r>
    </w:p>
    <w:p w14:paraId="0FB4CB66" w14:textId="214CD1BA" w:rsidR="00E242C3" w:rsidRPr="009E6622" w:rsidRDefault="00BC412E" w:rsidP="009E6622">
      <w:pPr>
        <w:rPr>
          <w:bCs/>
        </w:rPr>
      </w:pPr>
      <w:r w:rsidRPr="00243D47">
        <w:t xml:space="preserve">Table </w:t>
      </w:r>
      <w:r>
        <w:rPr>
          <w:noProof/>
        </w:rPr>
        <w:t>2</w:t>
      </w:r>
      <w:r w:rsidR="003C06F0">
        <w:rPr>
          <w:szCs w:val="24"/>
          <w:lang w:eastAsia="en-GB"/>
        </w:rPr>
        <w:fldChar w:fldCharType="end"/>
      </w:r>
      <w:r w:rsidR="003C06F0">
        <w:rPr>
          <w:szCs w:val="24"/>
          <w:lang w:eastAsia="en-GB"/>
        </w:rPr>
        <w:t xml:space="preserve"> provides an assessment against the Bank’s wider objective</w:t>
      </w:r>
      <w:r w:rsidR="00442DA1" w:rsidRPr="00D8407C">
        <w:rPr>
          <w:szCs w:val="24"/>
          <w:lang w:eastAsia="en-GB"/>
        </w:rPr>
        <w:t>. Against the objectives we have provided evidence snapshots from our various research methods: In-depth interviews, case studies, data analysis and econometric modelling. This provides a high-level summary of the results and our assessment of whether the objectives have been met.</w:t>
      </w:r>
      <w:r w:rsidR="00442DA1">
        <w:rPr>
          <w:b/>
          <w:szCs w:val="24"/>
          <w:lang w:eastAsia="en-GB"/>
        </w:rPr>
        <w:t xml:space="preserve"> </w:t>
      </w:r>
      <w:r w:rsidR="00442DA1" w:rsidRPr="00A1137D">
        <w:rPr>
          <w:bCs/>
          <w:szCs w:val="24"/>
          <w:lang w:eastAsia="en-GB"/>
        </w:rPr>
        <w:t xml:space="preserve">The modelling results relate to the earliest funded cohort of firms only (between 2020/21) </w:t>
      </w:r>
      <w:r w:rsidR="00C7771D">
        <w:rPr>
          <w:bCs/>
          <w:szCs w:val="24"/>
          <w:lang w:eastAsia="en-GB"/>
        </w:rPr>
        <w:t xml:space="preserve">so </w:t>
      </w:r>
      <w:r w:rsidR="00442DA1" w:rsidRPr="00A1137D">
        <w:rPr>
          <w:bCs/>
          <w:szCs w:val="24"/>
          <w:lang w:eastAsia="en-GB"/>
        </w:rPr>
        <w:t xml:space="preserve">the 2022 figure </w:t>
      </w:r>
      <w:r w:rsidR="00C7771D">
        <w:rPr>
          <w:bCs/>
          <w:szCs w:val="24"/>
          <w:lang w:eastAsia="en-GB"/>
        </w:rPr>
        <w:t>c</w:t>
      </w:r>
      <w:r w:rsidR="00442DA1" w:rsidRPr="00A1137D">
        <w:rPr>
          <w:bCs/>
          <w:szCs w:val="24"/>
          <w:lang w:eastAsia="en-GB"/>
        </w:rPr>
        <w:t xml:space="preserve">ould then reflect </w:t>
      </w:r>
      <w:r w:rsidR="00C7771D">
        <w:rPr>
          <w:bCs/>
          <w:szCs w:val="24"/>
          <w:lang w:eastAsia="en-GB"/>
        </w:rPr>
        <w:t xml:space="preserve">some </w:t>
      </w:r>
      <w:r w:rsidR="00807BA0">
        <w:rPr>
          <w:bCs/>
          <w:szCs w:val="24"/>
          <w:lang w:eastAsia="en-GB"/>
        </w:rPr>
        <w:t>follow-on</w:t>
      </w:r>
      <w:r w:rsidR="00442DA1" w:rsidRPr="00A1137D">
        <w:rPr>
          <w:bCs/>
          <w:szCs w:val="24"/>
          <w:lang w:eastAsia="en-GB"/>
        </w:rPr>
        <w:t xml:space="preserve"> impact</w:t>
      </w:r>
      <w:r w:rsidR="00C7771D">
        <w:rPr>
          <w:bCs/>
          <w:szCs w:val="24"/>
          <w:lang w:eastAsia="en-GB"/>
        </w:rPr>
        <w:t>s</w:t>
      </w:r>
      <w:r w:rsidR="00442DA1" w:rsidRPr="00A1137D">
        <w:rPr>
          <w:bCs/>
          <w:szCs w:val="24"/>
          <w:lang w:eastAsia="en-GB"/>
        </w:rPr>
        <w:t xml:space="preserve"> from the RAP funding.</w:t>
      </w:r>
    </w:p>
    <w:p w14:paraId="0AE09EA9" w14:textId="77777777" w:rsidR="00176D52" w:rsidRDefault="00176D52" w:rsidP="00863330">
      <w:pPr>
        <w:rPr>
          <w:lang w:eastAsia="en-GB"/>
        </w:rPr>
      </w:pPr>
    </w:p>
    <w:p w14:paraId="52E6FB3E" w14:textId="40D6C8C2" w:rsidR="00176D52" w:rsidRPr="00863330" w:rsidRDefault="00176D52" w:rsidP="00863330">
      <w:pPr>
        <w:sectPr w:rsidR="00176D52" w:rsidRPr="00863330" w:rsidSect="00ED2122">
          <w:pgSz w:w="11906" w:h="16838"/>
          <w:pgMar w:top="1440" w:right="1080" w:bottom="1440" w:left="1080" w:header="624" w:footer="0" w:gutter="0"/>
          <w:cols w:space="708"/>
          <w:docGrid w:linePitch="360"/>
        </w:sectPr>
      </w:pPr>
    </w:p>
    <w:p w14:paraId="44E0CF2F" w14:textId="0D1EB044" w:rsidR="004B28A6" w:rsidRPr="004B28A6" w:rsidRDefault="004B28A6" w:rsidP="004B28A6">
      <w:pPr>
        <w:pStyle w:val="Caption"/>
      </w:pPr>
      <w:bookmarkStart w:id="33" w:name="_Ref145072487"/>
      <w:r>
        <w:lastRenderedPageBreak/>
        <w:t xml:space="preserve">Table </w:t>
      </w:r>
      <w:r>
        <w:fldChar w:fldCharType="begin"/>
      </w:r>
      <w:r>
        <w:instrText>SEQ Table \* ARABIC</w:instrText>
      </w:r>
      <w:r>
        <w:fldChar w:fldCharType="separate"/>
      </w:r>
      <w:r w:rsidR="00BC412E">
        <w:rPr>
          <w:noProof/>
        </w:rPr>
        <w:t>1</w:t>
      </w:r>
      <w:r>
        <w:fldChar w:fldCharType="end"/>
      </w:r>
      <w:bookmarkEnd w:id="33"/>
      <w:r>
        <w:t xml:space="preserve">: </w:t>
      </w:r>
      <w:r w:rsidRPr="000559A1">
        <w:t>Performance against Programme objectives</w:t>
      </w:r>
    </w:p>
    <w:tbl>
      <w:tblPr>
        <w:tblStyle w:val="GridTable4-Accent21"/>
        <w:tblW w:w="14075" w:type="dxa"/>
        <w:jc w:val="center"/>
        <w:tblBorders>
          <w:top w:val="none" w:sz="0" w:space="0" w:color="auto"/>
          <w:left w:val="none" w:sz="0" w:space="0" w:color="auto"/>
          <w:bottom w:val="none" w:sz="0" w:space="0" w:color="auto"/>
          <w:right w:val="none" w:sz="0" w:space="0" w:color="auto"/>
          <w:insideH w:val="single" w:sz="4" w:space="0" w:color="142855" w:themeColor="text2"/>
          <w:insideV w:val="none" w:sz="0" w:space="0" w:color="auto"/>
        </w:tblBorders>
        <w:tblCellMar>
          <w:top w:w="142" w:type="dxa"/>
          <w:bottom w:w="142" w:type="dxa"/>
        </w:tblCellMar>
        <w:tblLook w:val="04A0" w:firstRow="1" w:lastRow="0" w:firstColumn="1" w:lastColumn="0" w:noHBand="0" w:noVBand="1"/>
      </w:tblPr>
      <w:tblGrid>
        <w:gridCol w:w="3298"/>
        <w:gridCol w:w="7187"/>
        <w:gridCol w:w="3590"/>
      </w:tblGrid>
      <w:tr w:rsidR="008E3256" w:rsidRPr="005A66D7" w14:paraId="5F106BB1" w14:textId="77777777" w:rsidTr="77EF754A">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298" w:type="dxa"/>
            <w:tcBorders>
              <w:top w:val="nil"/>
              <w:left w:val="nil"/>
              <w:bottom w:val="single" w:sz="4" w:space="0" w:color="142855" w:themeColor="text2"/>
            </w:tcBorders>
            <w:shd w:val="clear" w:color="auto" w:fill="auto"/>
          </w:tcPr>
          <w:p w14:paraId="03E3F5F5" w14:textId="77777777" w:rsidR="008E3256" w:rsidRPr="00E836A6" w:rsidRDefault="008E3256" w:rsidP="00E048E8">
            <w:pPr>
              <w:spacing w:after="0"/>
              <w:rPr>
                <w:rFonts w:asciiTheme="majorHAnsi" w:hAnsiTheme="majorHAnsi" w:cstheme="majorHAnsi"/>
                <w:b w:val="0"/>
                <w:i/>
                <w:color w:val="142855" w:themeColor="text2"/>
                <w:szCs w:val="24"/>
              </w:rPr>
            </w:pPr>
            <w:bookmarkStart w:id="34" w:name="_Hlk143873680"/>
            <w:r w:rsidRPr="00E836A6">
              <w:rPr>
                <w:rFonts w:asciiTheme="majorHAnsi" w:hAnsiTheme="majorHAnsi" w:cstheme="majorHAnsi"/>
                <w:color w:val="142855" w:themeColor="text2"/>
                <w:szCs w:val="24"/>
              </w:rPr>
              <w:t>Objective</w:t>
            </w:r>
          </w:p>
        </w:tc>
        <w:tc>
          <w:tcPr>
            <w:tcW w:w="7187" w:type="dxa"/>
            <w:tcBorders>
              <w:top w:val="nil"/>
              <w:bottom w:val="single" w:sz="4" w:space="0" w:color="142855" w:themeColor="text2"/>
            </w:tcBorders>
            <w:shd w:val="clear" w:color="auto" w:fill="auto"/>
          </w:tcPr>
          <w:p w14:paraId="4185D3DD" w14:textId="49A36FD8" w:rsidR="008E3256" w:rsidRPr="00E836A6" w:rsidRDefault="008E3256" w:rsidP="00E048E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142855" w:themeColor="text2"/>
                <w:szCs w:val="24"/>
              </w:rPr>
            </w:pPr>
            <w:r w:rsidRPr="00E836A6">
              <w:rPr>
                <w:rFonts w:asciiTheme="majorHAnsi" w:hAnsiTheme="majorHAnsi" w:cstheme="majorHAnsi"/>
                <w:color w:val="142855" w:themeColor="text2"/>
                <w:szCs w:val="24"/>
              </w:rPr>
              <w:t>Supporting evidence</w:t>
            </w:r>
          </w:p>
        </w:tc>
        <w:tc>
          <w:tcPr>
            <w:tcW w:w="3590" w:type="dxa"/>
            <w:tcBorders>
              <w:top w:val="nil"/>
              <w:bottom w:val="single" w:sz="4" w:space="0" w:color="142855" w:themeColor="text2"/>
              <w:right w:val="nil"/>
            </w:tcBorders>
            <w:shd w:val="clear" w:color="auto" w:fill="auto"/>
          </w:tcPr>
          <w:p w14:paraId="75692DD6" w14:textId="291B32F9" w:rsidR="008E3256" w:rsidRPr="00E836A6" w:rsidRDefault="008E3256" w:rsidP="00E048E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color w:val="142855" w:themeColor="text2"/>
                <w:szCs w:val="24"/>
              </w:rPr>
            </w:pPr>
            <w:r w:rsidRPr="00E836A6">
              <w:rPr>
                <w:rFonts w:asciiTheme="majorHAnsi" w:hAnsiTheme="majorHAnsi" w:cstheme="majorHAnsi"/>
                <w:color w:val="142855" w:themeColor="text2"/>
                <w:szCs w:val="24"/>
              </w:rPr>
              <w:t>Objective met?</w:t>
            </w:r>
          </w:p>
        </w:tc>
      </w:tr>
      <w:tr w:rsidR="008E3256" w:rsidRPr="005A66D7" w14:paraId="7D34297B" w14:textId="77777777" w:rsidTr="77EF754A">
        <w:trPr>
          <w:cnfStyle w:val="000000100000" w:firstRow="0" w:lastRow="0" w:firstColumn="0" w:lastColumn="0" w:oddVBand="0" w:evenVBand="0" w:oddHBand="1" w:evenHBand="0" w:firstRowFirstColumn="0" w:firstRowLastColumn="0" w:lastRowFirstColumn="0" w:lastRowLastColumn="0"/>
          <w:trHeight w:val="2591"/>
          <w:jc w:val="center"/>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142855" w:themeColor="text2"/>
            </w:tcBorders>
            <w:shd w:val="clear" w:color="auto" w:fill="auto"/>
          </w:tcPr>
          <w:p w14:paraId="1400565F" w14:textId="0979787A" w:rsidR="008E3256" w:rsidRPr="00AE48CA" w:rsidRDefault="001D6083" w:rsidP="00491364">
            <w:pPr>
              <w:pStyle w:val="ListParagraph"/>
              <w:numPr>
                <w:ilvl w:val="0"/>
                <w:numId w:val="12"/>
              </w:numPr>
              <w:spacing w:line="360" w:lineRule="auto"/>
              <w:ind w:left="426"/>
              <w:rPr>
                <w:rFonts w:asciiTheme="majorHAnsi" w:hAnsiTheme="majorHAnsi" w:cstheme="majorBidi"/>
                <w:color w:val="333330" w:themeColor="text1" w:themeTint="E6"/>
                <w:sz w:val="24"/>
                <w:szCs w:val="24"/>
              </w:rPr>
            </w:pPr>
            <w:r w:rsidRPr="4457CD75">
              <w:rPr>
                <w:rFonts w:asciiTheme="majorHAnsi" w:hAnsiTheme="majorHAnsi" w:cstheme="majorBidi"/>
                <w:color w:val="333330" w:themeColor="text1" w:themeTint="E6"/>
                <w:sz w:val="24"/>
                <w:szCs w:val="24"/>
              </w:rPr>
              <w:t xml:space="preserve">Supply: Increase the aggregate amount of </w:t>
            </w:r>
            <w:r w:rsidR="009D7CDE" w:rsidRPr="4457CD75">
              <w:rPr>
                <w:rFonts w:asciiTheme="majorHAnsi" w:hAnsiTheme="majorHAnsi" w:cstheme="majorBidi"/>
                <w:color w:val="333330" w:themeColor="text1" w:themeTint="E6"/>
                <w:sz w:val="24"/>
                <w:szCs w:val="24"/>
              </w:rPr>
              <w:t>a</w:t>
            </w:r>
            <w:r w:rsidRPr="4457CD75">
              <w:rPr>
                <w:rFonts w:asciiTheme="majorHAnsi" w:hAnsiTheme="majorHAnsi" w:cstheme="majorBidi"/>
                <w:color w:val="333330" w:themeColor="text1" w:themeTint="E6"/>
                <w:sz w:val="24"/>
                <w:szCs w:val="24"/>
              </w:rPr>
              <w:t>ngel investment available.</w:t>
            </w:r>
          </w:p>
        </w:tc>
        <w:tc>
          <w:tcPr>
            <w:tcW w:w="7187" w:type="dxa"/>
            <w:tcBorders>
              <w:top w:val="single" w:sz="4" w:space="0" w:color="142855" w:themeColor="text2"/>
            </w:tcBorders>
            <w:shd w:val="clear" w:color="auto" w:fill="auto"/>
          </w:tcPr>
          <w:p w14:paraId="637978B1" w14:textId="3C9C170C" w:rsidR="002A0186" w:rsidRPr="00AE48CA" w:rsidRDefault="002A0186" w:rsidP="00491364">
            <w:pPr>
              <w:pStyle w:val="paragraph"/>
              <w:numPr>
                <w:ilvl w:val="0"/>
                <w:numId w:val="13"/>
              </w:numPr>
              <w:spacing w:before="0" w:beforeAutospacing="0" w:after="0" w:afterAutospacing="0" w:line="360" w:lineRule="auto"/>
              <w:textAlignment w:val="baseline"/>
              <w:divId w:val="134643896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333330" w:themeColor="text1" w:themeTint="E6"/>
                <w:lang w:eastAsia="en-US"/>
              </w:rPr>
            </w:pPr>
            <w:bookmarkStart w:id="35" w:name="_Hlk135060114"/>
            <w:r w:rsidRPr="4457CD75">
              <w:rPr>
                <w:rFonts w:asciiTheme="majorHAnsi" w:eastAsia="Calibri" w:hAnsiTheme="majorHAnsi" w:cstheme="majorBidi"/>
                <w:color w:val="333330" w:themeColor="text1" w:themeTint="E6"/>
                <w:lang w:eastAsia="en-US"/>
              </w:rPr>
              <w:t xml:space="preserve">RAP funded firm’s average fundraisings outperformed in 2022 </w:t>
            </w:r>
            <w:r w:rsidR="005E41F2" w:rsidRPr="4457CD75">
              <w:rPr>
                <w:rFonts w:asciiTheme="majorHAnsi" w:eastAsia="Calibri" w:hAnsiTheme="majorHAnsi" w:cstheme="majorBidi"/>
                <w:color w:val="333330" w:themeColor="text1" w:themeTint="E6"/>
                <w:lang w:eastAsia="en-US"/>
              </w:rPr>
              <w:t>declining</w:t>
            </w:r>
            <w:r w:rsidRPr="4457CD75">
              <w:rPr>
                <w:rFonts w:asciiTheme="majorHAnsi" w:eastAsia="Calibri" w:hAnsiTheme="majorHAnsi" w:cstheme="majorBidi"/>
                <w:color w:val="333330" w:themeColor="text1" w:themeTint="E6"/>
                <w:lang w:eastAsia="en-US"/>
              </w:rPr>
              <w:t xml:space="preserve"> </w:t>
            </w:r>
            <w:r w:rsidR="005E41F2" w:rsidRPr="4457CD75">
              <w:rPr>
                <w:rFonts w:asciiTheme="majorHAnsi" w:eastAsia="Calibri" w:hAnsiTheme="majorHAnsi" w:cstheme="majorBidi"/>
                <w:color w:val="333330" w:themeColor="text1" w:themeTint="E6"/>
                <w:lang w:eastAsia="en-US"/>
              </w:rPr>
              <w:t>17</w:t>
            </w:r>
            <w:r w:rsidRPr="4457CD75">
              <w:rPr>
                <w:rFonts w:asciiTheme="majorHAnsi" w:eastAsia="Calibri" w:hAnsiTheme="majorHAnsi" w:cstheme="majorBidi"/>
                <w:color w:val="333330" w:themeColor="text1" w:themeTint="E6"/>
                <w:lang w:eastAsia="en-US"/>
              </w:rPr>
              <w:t xml:space="preserve">% compared to </w:t>
            </w:r>
            <w:r w:rsidR="005E41F2" w:rsidRPr="4457CD75">
              <w:rPr>
                <w:rFonts w:asciiTheme="majorHAnsi" w:eastAsia="Calibri" w:hAnsiTheme="majorHAnsi" w:cstheme="majorBidi"/>
                <w:color w:val="333330" w:themeColor="text1" w:themeTint="E6"/>
                <w:lang w:eastAsia="en-US"/>
              </w:rPr>
              <w:t xml:space="preserve">a steeper decline in </w:t>
            </w:r>
            <w:r w:rsidRPr="4457CD75">
              <w:rPr>
                <w:rFonts w:asciiTheme="majorHAnsi" w:eastAsia="Calibri" w:hAnsiTheme="majorHAnsi" w:cstheme="majorBidi"/>
                <w:color w:val="333330" w:themeColor="text1" w:themeTint="E6"/>
                <w:lang w:eastAsia="en-US"/>
              </w:rPr>
              <w:t xml:space="preserve">the counterfactual </w:t>
            </w:r>
            <w:r w:rsidR="005E41F2" w:rsidRPr="4457CD75">
              <w:rPr>
                <w:rFonts w:asciiTheme="majorHAnsi" w:eastAsia="Calibri" w:hAnsiTheme="majorHAnsi" w:cstheme="majorBidi"/>
                <w:color w:val="333330" w:themeColor="text1" w:themeTint="E6"/>
                <w:lang w:eastAsia="en-US"/>
              </w:rPr>
              <w:t>of</w:t>
            </w:r>
            <w:r w:rsidRPr="4457CD75">
              <w:rPr>
                <w:rFonts w:asciiTheme="majorHAnsi" w:eastAsia="Calibri" w:hAnsiTheme="majorHAnsi" w:cstheme="majorBidi"/>
                <w:color w:val="333330" w:themeColor="text1" w:themeTint="E6"/>
                <w:lang w:eastAsia="en-US"/>
              </w:rPr>
              <w:t xml:space="preserve"> </w:t>
            </w:r>
            <w:r w:rsidR="005E41F2" w:rsidRPr="4457CD75">
              <w:rPr>
                <w:rFonts w:asciiTheme="majorHAnsi" w:eastAsia="Calibri" w:hAnsiTheme="majorHAnsi" w:cstheme="majorBidi"/>
                <w:color w:val="333330" w:themeColor="text1" w:themeTint="E6"/>
                <w:lang w:eastAsia="en-US"/>
              </w:rPr>
              <w:t>45</w:t>
            </w:r>
            <w:r w:rsidRPr="4457CD75">
              <w:rPr>
                <w:rFonts w:asciiTheme="majorHAnsi" w:eastAsia="Calibri" w:hAnsiTheme="majorHAnsi" w:cstheme="majorBidi"/>
                <w:color w:val="333330" w:themeColor="text1" w:themeTint="E6"/>
                <w:lang w:eastAsia="en-US"/>
              </w:rPr>
              <w:t>%</w:t>
            </w:r>
            <w:r w:rsidR="005E41F2" w:rsidRPr="4457CD75">
              <w:rPr>
                <w:rFonts w:asciiTheme="majorHAnsi" w:eastAsia="Calibri" w:hAnsiTheme="majorHAnsi" w:cstheme="majorBidi"/>
                <w:color w:val="333330" w:themeColor="text1" w:themeTint="E6"/>
                <w:lang w:eastAsia="en-US"/>
              </w:rPr>
              <w:t>.</w:t>
            </w:r>
          </w:p>
          <w:bookmarkEnd w:id="35"/>
          <w:p w14:paraId="0F0A9BCC" w14:textId="4D252721" w:rsidR="001C3315" w:rsidRPr="00AE48CA" w:rsidRDefault="001C3315" w:rsidP="00491364">
            <w:pPr>
              <w:pStyle w:val="paragraph"/>
              <w:numPr>
                <w:ilvl w:val="0"/>
                <w:numId w:val="13"/>
              </w:numPr>
              <w:spacing w:before="0" w:beforeAutospacing="0" w:after="0" w:afterAutospacing="0" w:line="360" w:lineRule="auto"/>
              <w:textAlignment w:val="baseline"/>
              <w:divId w:val="134643896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333330" w:themeColor="text1" w:themeTint="E6"/>
                <w:lang w:eastAsia="en-US"/>
              </w:rPr>
            </w:pPr>
            <w:r w:rsidRPr="4457CD75">
              <w:rPr>
                <w:rFonts w:asciiTheme="majorHAnsi" w:eastAsia="Calibri" w:hAnsiTheme="majorHAnsi" w:cstheme="majorBidi"/>
                <w:color w:val="333330" w:themeColor="text1" w:themeTint="E6"/>
                <w:lang w:eastAsia="en-US"/>
              </w:rPr>
              <w:t>Partners able to access other support to accelerate their growth due to participation in RAP.</w:t>
            </w:r>
          </w:p>
          <w:p w14:paraId="280619BC" w14:textId="06EC9D40" w:rsidR="008E3256" w:rsidRPr="00AE48CA" w:rsidRDefault="00B71CC1" w:rsidP="00491364">
            <w:pPr>
              <w:pStyle w:val="paragraph"/>
              <w:numPr>
                <w:ilvl w:val="0"/>
                <w:numId w:val="13"/>
              </w:numPr>
              <w:spacing w:before="0" w:beforeAutospacing="0" w:after="0" w:afterAutospacing="0" w:line="360" w:lineRule="auto"/>
              <w:textAlignment w:val="baseline"/>
              <w:divId w:val="134643896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333330" w:themeColor="text1" w:themeTint="E6"/>
                <w:lang w:eastAsia="en-US"/>
              </w:rPr>
            </w:pPr>
            <w:r w:rsidRPr="4457CD75">
              <w:rPr>
                <w:rFonts w:asciiTheme="majorHAnsi" w:eastAsia="Calibri" w:hAnsiTheme="majorHAnsi" w:cstheme="majorBidi"/>
                <w:color w:val="333330" w:themeColor="text1" w:themeTint="E6"/>
                <w:lang w:eastAsia="en-US"/>
              </w:rPr>
              <w:t xml:space="preserve">Modelling signalled </w:t>
            </w:r>
            <w:r w:rsidR="00484944" w:rsidRPr="4457CD75">
              <w:rPr>
                <w:rFonts w:asciiTheme="majorHAnsi" w:eastAsia="Calibri" w:hAnsiTheme="majorHAnsi" w:cstheme="majorBidi"/>
                <w:color w:val="333330" w:themeColor="text1" w:themeTint="E6"/>
                <w:lang w:eastAsia="en-US"/>
              </w:rPr>
              <w:t>between a 15% to</w:t>
            </w:r>
            <w:r w:rsidRPr="4457CD75">
              <w:rPr>
                <w:rFonts w:asciiTheme="majorHAnsi" w:eastAsia="Calibri" w:hAnsiTheme="majorHAnsi" w:cstheme="majorBidi"/>
                <w:color w:val="333330" w:themeColor="text1" w:themeTint="E6"/>
                <w:lang w:eastAsia="en-US"/>
              </w:rPr>
              <w:t xml:space="preserve"> 76% increase in funding for RAP funded firms compared to the counterfactual – </w:t>
            </w:r>
            <w:r w:rsidR="00572327" w:rsidRPr="00572327">
              <w:rPr>
                <w:rFonts w:asciiTheme="majorHAnsi" w:eastAsia="Calibri" w:hAnsiTheme="majorHAnsi" w:cstheme="majorBidi"/>
                <w:color w:val="333330" w:themeColor="text1" w:themeTint="E6"/>
                <w:lang w:eastAsia="en-US"/>
              </w:rPr>
              <w:t>result is marginally insignificant (76% estimate) and insignificant (15%)</w:t>
            </w:r>
            <w:r w:rsidRPr="4457CD75">
              <w:rPr>
                <w:rFonts w:asciiTheme="majorHAnsi" w:eastAsia="Calibri" w:hAnsiTheme="majorHAnsi" w:cstheme="majorBidi"/>
                <w:color w:val="333330" w:themeColor="text1" w:themeTint="E6"/>
                <w:lang w:eastAsia="en-US"/>
              </w:rPr>
              <w:t>.</w:t>
            </w:r>
          </w:p>
        </w:tc>
        <w:tc>
          <w:tcPr>
            <w:tcW w:w="3590" w:type="dxa"/>
            <w:tcBorders>
              <w:top w:val="single" w:sz="4" w:space="0" w:color="142855" w:themeColor="text2"/>
            </w:tcBorders>
            <w:shd w:val="clear" w:color="auto" w:fill="auto"/>
          </w:tcPr>
          <w:p w14:paraId="2A3CE544" w14:textId="19A05510" w:rsidR="008E3256" w:rsidRPr="00AE48CA" w:rsidRDefault="00111FE0" w:rsidP="00E048E8">
            <w:pPr>
              <w:cnfStyle w:val="000000100000" w:firstRow="0" w:lastRow="0" w:firstColumn="0" w:lastColumn="0" w:oddVBand="0" w:evenVBand="0" w:oddHBand="1" w:evenHBand="0" w:firstRowFirstColumn="0" w:firstRowLastColumn="0" w:lastRowFirstColumn="0" w:lastRowLastColumn="0"/>
              <w:rPr>
                <w:color w:val="333330" w:themeColor="text1" w:themeTint="E6"/>
              </w:rPr>
            </w:pPr>
            <w:r>
              <w:rPr>
                <w:color w:val="333330" w:themeColor="text1" w:themeTint="E6"/>
              </w:rPr>
              <w:t>There are signals to suggest that s</w:t>
            </w:r>
            <w:r w:rsidR="002A0186" w:rsidRPr="00AE48CA">
              <w:rPr>
                <w:color w:val="333330" w:themeColor="text1" w:themeTint="E6"/>
              </w:rPr>
              <w:t>hort-term</w:t>
            </w:r>
            <w:r w:rsidR="00CA4A7D" w:rsidRPr="00AE48CA">
              <w:rPr>
                <w:color w:val="333330" w:themeColor="text1" w:themeTint="E6"/>
              </w:rPr>
              <w:t xml:space="preserve"> objective</w:t>
            </w:r>
            <w:r w:rsidR="002A0186" w:rsidRPr="00AE48CA">
              <w:rPr>
                <w:color w:val="333330" w:themeColor="text1" w:themeTint="E6"/>
              </w:rPr>
              <w:t xml:space="preserve"> </w:t>
            </w:r>
            <w:r w:rsidR="00CA4A7D" w:rsidRPr="00AE48CA">
              <w:rPr>
                <w:color w:val="333330" w:themeColor="text1" w:themeTint="E6"/>
              </w:rPr>
              <w:t xml:space="preserve">appears to have been </w:t>
            </w:r>
            <w:r w:rsidR="002A0186" w:rsidRPr="00AE48CA">
              <w:rPr>
                <w:color w:val="333330" w:themeColor="text1" w:themeTint="E6"/>
              </w:rPr>
              <w:t xml:space="preserve">broadly met </w:t>
            </w:r>
            <w:r w:rsidR="001C3315" w:rsidRPr="00AE48CA">
              <w:rPr>
                <w:color w:val="333330" w:themeColor="text1" w:themeTint="E6"/>
              </w:rPr>
              <w:t>–</w:t>
            </w:r>
            <w:r w:rsidR="002A0186" w:rsidRPr="00AE48CA">
              <w:rPr>
                <w:color w:val="333330" w:themeColor="text1" w:themeTint="E6"/>
              </w:rPr>
              <w:t xml:space="preserve"> </w:t>
            </w:r>
            <w:r w:rsidR="001C3315" w:rsidRPr="00AE48CA">
              <w:rPr>
                <w:color w:val="333330" w:themeColor="text1" w:themeTint="E6"/>
              </w:rPr>
              <w:t>additional supply of equity finance flowing to the regions. However, we only have one data outturn.</w:t>
            </w:r>
          </w:p>
        </w:tc>
      </w:tr>
      <w:tr w:rsidR="008E3256" w:rsidRPr="005A66D7" w14:paraId="5CB5DC87" w14:textId="77777777" w:rsidTr="77EF754A">
        <w:trPr>
          <w:trHeight w:val="699"/>
          <w:jc w:val="center"/>
        </w:trPr>
        <w:tc>
          <w:tcPr>
            <w:cnfStyle w:val="001000000000" w:firstRow="0" w:lastRow="0" w:firstColumn="1" w:lastColumn="0" w:oddVBand="0" w:evenVBand="0" w:oddHBand="0" w:evenHBand="0" w:firstRowFirstColumn="0" w:firstRowLastColumn="0" w:lastRowFirstColumn="0" w:lastRowLastColumn="0"/>
            <w:tcW w:w="3298" w:type="dxa"/>
          </w:tcPr>
          <w:p w14:paraId="61855D11" w14:textId="5FCF32C9" w:rsidR="008E3256" w:rsidRPr="00AE48CA" w:rsidRDefault="003312A3" w:rsidP="00491364">
            <w:pPr>
              <w:pStyle w:val="ListParagraph"/>
              <w:numPr>
                <w:ilvl w:val="0"/>
                <w:numId w:val="12"/>
              </w:numPr>
              <w:spacing w:line="360" w:lineRule="auto"/>
              <w:ind w:left="426"/>
              <w:rPr>
                <w:rFonts w:asciiTheme="majorHAnsi" w:hAnsiTheme="majorHAnsi" w:cstheme="majorBidi"/>
                <w:color w:val="333330" w:themeColor="text1" w:themeTint="E6"/>
                <w:sz w:val="24"/>
                <w:szCs w:val="24"/>
              </w:rPr>
            </w:pPr>
            <w:r w:rsidRPr="003312A3">
              <w:rPr>
                <w:rFonts w:asciiTheme="majorHAnsi" w:hAnsiTheme="majorHAnsi" w:cstheme="majorBidi"/>
                <w:color w:val="333330" w:themeColor="text1" w:themeTint="E6"/>
                <w:sz w:val="24"/>
                <w:szCs w:val="24"/>
              </w:rPr>
              <w:t xml:space="preserve">Diversification &amp; Regionality: Promote &amp; drive the professionalism of angel investing across the UK. Increase the amount of angel investment available particularly in </w:t>
            </w:r>
            <w:r w:rsidRPr="003312A3">
              <w:rPr>
                <w:rFonts w:asciiTheme="majorHAnsi" w:hAnsiTheme="majorHAnsi" w:cstheme="majorBidi"/>
                <w:color w:val="333330" w:themeColor="text1" w:themeTint="E6"/>
                <w:sz w:val="24"/>
                <w:szCs w:val="24"/>
              </w:rPr>
              <w:lastRenderedPageBreak/>
              <w:t>underrepresented regions.</w:t>
            </w:r>
          </w:p>
        </w:tc>
        <w:tc>
          <w:tcPr>
            <w:tcW w:w="7187" w:type="dxa"/>
          </w:tcPr>
          <w:p w14:paraId="667DE237" w14:textId="50DF2A83"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lastRenderedPageBreak/>
              <w:t>Almost 7</w:t>
            </w:r>
            <w:r w:rsidR="00A034EC">
              <w:rPr>
                <w:rFonts w:asciiTheme="majorHAnsi" w:eastAsia="Calibri" w:hAnsiTheme="majorHAnsi" w:cstheme="majorBidi"/>
                <w:color w:val="333330" w:themeColor="text1" w:themeTint="E6"/>
                <w:lang w:eastAsia="en-US"/>
              </w:rPr>
              <w:t>9</w:t>
            </w:r>
            <w:r w:rsidRPr="003312A3">
              <w:rPr>
                <w:rFonts w:asciiTheme="majorHAnsi" w:eastAsia="Calibri" w:hAnsiTheme="majorHAnsi" w:cstheme="majorBidi"/>
                <w:color w:val="333330" w:themeColor="text1" w:themeTint="E6"/>
                <w:lang w:eastAsia="en-US"/>
              </w:rPr>
              <w:t xml:space="preserve">% of </w:t>
            </w:r>
            <w:r w:rsidR="00A034EC">
              <w:rPr>
                <w:rFonts w:asciiTheme="majorHAnsi" w:eastAsia="Calibri" w:hAnsiTheme="majorHAnsi" w:cstheme="majorBidi"/>
                <w:color w:val="333330" w:themeColor="text1" w:themeTint="E6"/>
                <w:lang w:eastAsia="en-US"/>
              </w:rPr>
              <w:t xml:space="preserve">BBI only </w:t>
            </w:r>
            <w:r w:rsidRPr="003312A3">
              <w:rPr>
                <w:rFonts w:asciiTheme="majorHAnsi" w:eastAsia="Calibri" w:hAnsiTheme="majorHAnsi" w:cstheme="majorBidi"/>
                <w:color w:val="333330" w:themeColor="text1" w:themeTint="E6"/>
                <w:lang w:eastAsia="en-US"/>
              </w:rPr>
              <w:t>RAP funding went to firms outside London – London prominence (2</w:t>
            </w:r>
            <w:r w:rsidR="00A034EC">
              <w:rPr>
                <w:rFonts w:asciiTheme="majorHAnsi" w:eastAsia="Calibri" w:hAnsiTheme="majorHAnsi" w:cstheme="majorBidi"/>
                <w:color w:val="333330" w:themeColor="text1" w:themeTint="E6"/>
                <w:lang w:eastAsia="en-US"/>
              </w:rPr>
              <w:t>1</w:t>
            </w:r>
            <w:r w:rsidRPr="003312A3">
              <w:rPr>
                <w:rFonts w:asciiTheme="majorHAnsi" w:eastAsia="Calibri" w:hAnsiTheme="majorHAnsi" w:cstheme="majorBidi"/>
                <w:color w:val="333330" w:themeColor="text1" w:themeTint="E6"/>
                <w:lang w:eastAsia="en-US"/>
              </w:rPr>
              <w:t xml:space="preserve">%) challenges the “regional” nature of the funding. 498 deals were deployed by the Partners to 372 firms. </w:t>
            </w:r>
          </w:p>
          <w:p w14:paraId="065C557D" w14:textId="33C6C994"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 xml:space="preserve">Total investment </w:t>
            </w:r>
            <w:r w:rsidR="00C43D41" w:rsidRPr="0087177A">
              <w:rPr>
                <w:rFonts w:asciiTheme="majorHAnsi" w:eastAsia="Calibri" w:hAnsiTheme="majorHAnsi" w:cstheme="majorBidi"/>
                <w:color w:val="333330" w:themeColor="text1" w:themeTint="E6"/>
                <w:lang w:eastAsia="en-US"/>
              </w:rPr>
              <w:t xml:space="preserve">(BBI investment </w:t>
            </w:r>
            <w:bookmarkStart w:id="36" w:name="_Hlk145510218"/>
            <w:r w:rsidR="007B4981" w:rsidRPr="0087177A">
              <w:rPr>
                <w:rFonts w:asciiTheme="majorHAnsi" w:eastAsia="Calibri" w:hAnsiTheme="majorHAnsi" w:cstheme="majorBidi"/>
                <w:color w:val="333330" w:themeColor="text1" w:themeTint="E6"/>
                <w:lang w:eastAsia="en-US"/>
              </w:rPr>
              <w:t>+ delivery partners</w:t>
            </w:r>
            <w:r w:rsidR="006D47E4">
              <w:rPr>
                <w:rFonts w:asciiTheme="majorHAnsi" w:eastAsia="Calibri" w:hAnsiTheme="majorHAnsi" w:cstheme="majorBidi"/>
                <w:color w:val="333330" w:themeColor="text1" w:themeTint="E6"/>
                <w:lang w:eastAsia="en-US"/>
              </w:rPr>
              <w:t xml:space="preserve"> investment</w:t>
            </w:r>
            <w:r w:rsidR="007B4981" w:rsidRPr="0087177A">
              <w:rPr>
                <w:rFonts w:asciiTheme="majorHAnsi" w:eastAsia="Calibri" w:hAnsiTheme="majorHAnsi" w:cstheme="majorBidi"/>
                <w:color w:val="333330" w:themeColor="text1" w:themeTint="E6"/>
                <w:lang w:eastAsia="en-US"/>
              </w:rPr>
              <w:t xml:space="preserve"> + </w:t>
            </w:r>
            <w:r w:rsidR="006D47E4">
              <w:rPr>
                <w:rFonts w:asciiTheme="majorHAnsi" w:eastAsia="Calibri" w:hAnsiTheme="majorHAnsi" w:cstheme="majorBidi"/>
                <w:color w:val="333330" w:themeColor="text1" w:themeTint="E6"/>
                <w:lang w:eastAsia="en-US"/>
              </w:rPr>
              <w:t>third</w:t>
            </w:r>
            <w:r w:rsidR="00A034EC">
              <w:rPr>
                <w:rFonts w:asciiTheme="majorHAnsi" w:eastAsia="Calibri" w:hAnsiTheme="majorHAnsi" w:cstheme="majorBidi"/>
                <w:color w:val="333330" w:themeColor="text1" w:themeTint="E6"/>
                <w:lang w:eastAsia="en-US"/>
              </w:rPr>
              <w:t xml:space="preserve"> </w:t>
            </w:r>
            <w:r w:rsidR="007B4981" w:rsidRPr="0087177A">
              <w:rPr>
                <w:rFonts w:asciiTheme="majorHAnsi" w:eastAsia="Calibri" w:hAnsiTheme="majorHAnsi" w:cstheme="majorBidi"/>
                <w:color w:val="333330" w:themeColor="text1" w:themeTint="E6"/>
                <w:lang w:eastAsia="en-US"/>
              </w:rPr>
              <w:t>party investors</w:t>
            </w:r>
            <w:bookmarkEnd w:id="36"/>
            <w:r w:rsidR="00C43D41" w:rsidRPr="0087177A">
              <w:rPr>
                <w:rFonts w:asciiTheme="majorHAnsi" w:eastAsia="Calibri" w:hAnsiTheme="majorHAnsi" w:cstheme="majorBidi"/>
                <w:color w:val="333330" w:themeColor="text1" w:themeTint="E6"/>
                <w:lang w:eastAsia="en-US"/>
              </w:rPr>
              <w:t>)</w:t>
            </w:r>
            <w:r w:rsidR="00C43D41" w:rsidRPr="00E57045">
              <w:rPr>
                <w:rFonts w:asciiTheme="majorHAnsi" w:hAnsiTheme="majorHAnsi" w:cstheme="majorHAnsi"/>
              </w:rPr>
              <w:t xml:space="preserve"> </w:t>
            </w:r>
            <w:r w:rsidRPr="003312A3">
              <w:rPr>
                <w:rFonts w:asciiTheme="majorHAnsi" w:eastAsia="Calibri" w:hAnsiTheme="majorHAnsi" w:cstheme="majorBidi"/>
                <w:color w:val="333330" w:themeColor="text1" w:themeTint="E6"/>
                <w:lang w:eastAsia="en-US"/>
              </w:rPr>
              <w:t>outside London was £16</w:t>
            </w:r>
            <w:r w:rsidR="00A034EC">
              <w:rPr>
                <w:rFonts w:asciiTheme="majorHAnsi" w:eastAsia="Calibri" w:hAnsiTheme="majorHAnsi" w:cstheme="majorBidi"/>
                <w:color w:val="333330" w:themeColor="text1" w:themeTint="E6"/>
                <w:lang w:eastAsia="en-US"/>
              </w:rPr>
              <w:t>4</w:t>
            </w:r>
            <w:r w:rsidRPr="003312A3">
              <w:rPr>
                <w:rFonts w:asciiTheme="majorHAnsi" w:eastAsia="Calibri" w:hAnsiTheme="majorHAnsi" w:cstheme="majorBidi"/>
                <w:color w:val="333330" w:themeColor="text1" w:themeTint="E6"/>
                <w:lang w:eastAsia="en-US"/>
              </w:rPr>
              <w:t>m.</w:t>
            </w:r>
          </w:p>
          <w:p w14:paraId="1F485967"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Application process was rigorous and time consuming, however this improved Partner due diligence processes and data collection for a more professional approach to deals.</w:t>
            </w:r>
          </w:p>
          <w:p w14:paraId="359A98B7" w14:textId="13C13809" w:rsidR="003312A3" w:rsidRPr="003312A3" w:rsidRDefault="00E21025"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proofErr w:type="spellStart"/>
            <w:r>
              <w:rPr>
                <w:rFonts w:asciiTheme="majorHAnsi" w:eastAsia="Calibri" w:hAnsiTheme="majorHAnsi" w:cstheme="majorBidi"/>
                <w:color w:val="333330" w:themeColor="text1" w:themeTint="E6"/>
                <w:lang w:eastAsia="en-US"/>
              </w:rPr>
              <w:t>Beauhurst</w:t>
            </w:r>
            <w:proofErr w:type="spellEnd"/>
            <w:r>
              <w:rPr>
                <w:rFonts w:asciiTheme="majorHAnsi" w:eastAsia="Calibri" w:hAnsiTheme="majorHAnsi" w:cstheme="majorBidi"/>
                <w:color w:val="333330" w:themeColor="text1" w:themeTint="E6"/>
                <w:lang w:eastAsia="en-US"/>
              </w:rPr>
              <w:t xml:space="preserve"> classification indicates that </w:t>
            </w:r>
            <w:r w:rsidR="003312A3" w:rsidRPr="02BA4433">
              <w:rPr>
                <w:rFonts w:asciiTheme="majorHAnsi" w:eastAsia="Calibri" w:hAnsiTheme="majorHAnsi" w:cstheme="majorBidi"/>
                <w:color w:val="333330" w:themeColor="text1" w:themeTint="E6"/>
                <w:lang w:eastAsia="en-US"/>
              </w:rPr>
              <w:t xml:space="preserve">RAP funded firms were </w:t>
            </w:r>
            <w:r w:rsidR="003312A3" w:rsidRPr="02BA4433">
              <w:rPr>
                <w:rFonts w:asciiTheme="majorHAnsi" w:eastAsia="Calibri" w:hAnsiTheme="majorHAnsi" w:cstheme="majorBidi"/>
                <w:color w:val="333330" w:themeColor="text1" w:themeTint="E6"/>
                <w:lang w:eastAsia="en-US"/>
              </w:rPr>
              <w:lastRenderedPageBreak/>
              <w:t>predominantly characterised as early-stage (69% venture, 14% seed, 11% growth</w:t>
            </w:r>
            <w:r w:rsidR="0043047B">
              <w:rPr>
                <w:rStyle w:val="FootnoteReference"/>
                <w:rFonts w:asciiTheme="majorHAnsi" w:eastAsia="Calibri" w:hAnsiTheme="majorHAnsi" w:cstheme="majorHAnsi"/>
                <w:lang w:eastAsia="en-US"/>
              </w:rPr>
              <w:footnoteReference w:id="13"/>
            </w:r>
            <w:r w:rsidR="2406F797" w:rsidRPr="00B239BF">
              <w:rPr>
                <w:rFonts w:asciiTheme="majorHAnsi" w:eastAsia="Calibri" w:hAnsiTheme="majorHAnsi" w:cstheme="majorHAnsi"/>
                <w:lang w:eastAsia="en-US"/>
              </w:rPr>
              <w:t>)</w:t>
            </w:r>
            <w:r w:rsidR="003312A3" w:rsidRPr="02BA4433">
              <w:rPr>
                <w:rFonts w:asciiTheme="majorHAnsi" w:eastAsia="Calibri" w:hAnsiTheme="majorHAnsi" w:cstheme="majorBidi"/>
                <w:color w:val="333330" w:themeColor="text1" w:themeTint="E6"/>
                <w:lang w:eastAsia="en-US"/>
              </w:rPr>
              <w:t xml:space="preserve"> – this was supported by Partners in interviews as they confirmed the business investment stage of their portfolios.</w:t>
            </w:r>
          </w:p>
          <w:p w14:paraId="06E16539"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Key policy stakeholders and industry body members acknowledged the need for intervention to develop regional early-stage investment ecosystem.</w:t>
            </w:r>
          </w:p>
          <w:p w14:paraId="0FF4ECCA"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FCA regulated status requirement hindered opportunity for nascent angels.</w:t>
            </w:r>
          </w:p>
          <w:p w14:paraId="422CB3E2"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 xml:space="preserve">Some Partners highlighted that participation in RAP improved their reputations and professionalism – increasing the confidence of other investors to invest alongside them. </w:t>
            </w:r>
          </w:p>
          <w:p w14:paraId="47FDCF46"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 xml:space="preserve">RAP funded firms show some diversity (20% of founders are female, and 14% of founders come from an ethnic minority backgrounds) with firms based in London and the </w:t>
            </w:r>
            <w:proofErr w:type="gramStart"/>
            <w:r w:rsidRPr="003312A3">
              <w:rPr>
                <w:rFonts w:asciiTheme="majorHAnsi" w:eastAsia="Calibri" w:hAnsiTheme="majorHAnsi" w:cstheme="majorBidi"/>
                <w:color w:val="333330" w:themeColor="text1" w:themeTint="E6"/>
                <w:lang w:eastAsia="en-US"/>
              </w:rPr>
              <w:t>South East</w:t>
            </w:r>
            <w:proofErr w:type="gramEnd"/>
            <w:r w:rsidRPr="003312A3">
              <w:rPr>
                <w:rFonts w:asciiTheme="majorHAnsi" w:eastAsia="Calibri" w:hAnsiTheme="majorHAnsi" w:cstheme="majorBidi"/>
                <w:color w:val="333330" w:themeColor="text1" w:themeTint="E6"/>
                <w:lang w:eastAsia="en-US"/>
              </w:rPr>
              <w:t xml:space="preserve"> showing greater diversity compared to the Rest of the UK.</w:t>
            </w:r>
          </w:p>
          <w:p w14:paraId="6F059907" w14:textId="77777777" w:rsidR="003312A3" w:rsidRPr="003312A3" w:rsidRDefault="003312A3" w:rsidP="00491364">
            <w:pPr>
              <w:pStyle w:val="paragraph"/>
              <w:numPr>
                <w:ilvl w:val="0"/>
                <w:numId w:val="1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333330" w:themeColor="text1" w:themeTint="E6"/>
                <w:lang w:eastAsia="en-US"/>
              </w:rPr>
            </w:pPr>
            <w:r w:rsidRPr="003312A3">
              <w:rPr>
                <w:rFonts w:asciiTheme="majorHAnsi" w:eastAsia="Calibri" w:hAnsiTheme="majorHAnsi" w:cstheme="majorBidi"/>
                <w:color w:val="333330" w:themeColor="text1" w:themeTint="E6"/>
                <w:lang w:eastAsia="en-US"/>
              </w:rPr>
              <w:t xml:space="preserve">Modelling signals a relative marginal increase of between 110% to 150% for funded firms based in the rest of the UK on average fundraisings – Results are marginally insignificant (150%) and insignificant (110%). </w:t>
            </w:r>
          </w:p>
          <w:p w14:paraId="519FE8BB" w14:textId="44CC9143" w:rsidR="00E53BE7" w:rsidRPr="00AE48CA" w:rsidRDefault="003312A3" w:rsidP="00491364">
            <w:pPr>
              <w:pStyle w:val="paragraph"/>
              <w:numPr>
                <w:ilvl w:val="0"/>
                <w:numId w:val="15"/>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333330" w:themeColor="text1" w:themeTint="E6"/>
              </w:rPr>
            </w:pPr>
            <w:r w:rsidRPr="003312A3">
              <w:rPr>
                <w:rFonts w:asciiTheme="majorHAnsi" w:eastAsia="Calibri" w:hAnsiTheme="majorHAnsi" w:cstheme="majorBidi"/>
                <w:color w:val="333330" w:themeColor="text1" w:themeTint="E6"/>
                <w:lang w:eastAsia="en-US"/>
              </w:rPr>
              <w:t xml:space="preserve">Many Partners mentioned an increased ability to deploy more capital across the regions outside London and the </w:t>
            </w:r>
            <w:proofErr w:type="gramStart"/>
            <w:r w:rsidRPr="003312A3">
              <w:rPr>
                <w:rFonts w:asciiTheme="majorHAnsi" w:eastAsia="Calibri" w:hAnsiTheme="majorHAnsi" w:cstheme="majorBidi"/>
                <w:color w:val="333330" w:themeColor="text1" w:themeTint="E6"/>
                <w:lang w:eastAsia="en-US"/>
              </w:rPr>
              <w:t>South East</w:t>
            </w:r>
            <w:proofErr w:type="gramEnd"/>
            <w:r w:rsidRPr="003312A3">
              <w:rPr>
                <w:rFonts w:asciiTheme="majorHAnsi" w:eastAsia="Calibri" w:hAnsiTheme="majorHAnsi" w:cstheme="majorBidi"/>
                <w:color w:val="333330" w:themeColor="text1" w:themeTint="E6"/>
                <w:lang w:eastAsia="en-US"/>
              </w:rPr>
              <w:t xml:space="preserve">, </w:t>
            </w:r>
            <w:r w:rsidRPr="003312A3">
              <w:rPr>
                <w:rFonts w:asciiTheme="majorHAnsi" w:eastAsia="Calibri" w:hAnsiTheme="majorHAnsi" w:cstheme="majorBidi"/>
                <w:color w:val="333330" w:themeColor="text1" w:themeTint="E6"/>
                <w:lang w:eastAsia="en-US"/>
              </w:rPr>
              <w:lastRenderedPageBreak/>
              <w:t>with some referencing improved connections within the regions and access to different industries.</w:t>
            </w:r>
          </w:p>
        </w:tc>
        <w:tc>
          <w:tcPr>
            <w:tcW w:w="3590" w:type="dxa"/>
          </w:tcPr>
          <w:p w14:paraId="6FB4228F" w14:textId="77777777" w:rsidR="003312A3" w:rsidRDefault="003312A3" w:rsidP="003312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lastRenderedPageBreak/>
              <w:t xml:space="preserve">An improvement in the professional approach to deals has been noted; however, there is a scope to provide more support for nascent angels to professionalise. </w:t>
            </w:r>
          </w:p>
          <w:p w14:paraId="7C04BC39" w14:textId="6C9EC54D" w:rsidR="008E3256" w:rsidRPr="00AE48CA" w:rsidRDefault="003312A3" w:rsidP="003312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333330" w:themeColor="text1" w:themeTint="E6"/>
              </w:rPr>
            </w:pPr>
            <w:r>
              <w:rPr>
                <w:rFonts w:asciiTheme="majorHAnsi" w:hAnsiTheme="majorHAnsi" w:cstheme="majorHAnsi"/>
                <w:szCs w:val="24"/>
              </w:rPr>
              <w:t xml:space="preserve">In the short-term, there is early evidence to support the achievement of this objective. However, the one data outturn in </w:t>
            </w:r>
            <w:r>
              <w:rPr>
                <w:rFonts w:asciiTheme="majorHAnsi" w:hAnsiTheme="majorHAnsi" w:cstheme="majorHAnsi"/>
                <w:szCs w:val="24"/>
              </w:rPr>
              <w:lastRenderedPageBreak/>
              <w:t>2022 is not enough to infer whether this will be achieved longer-term.</w:t>
            </w:r>
          </w:p>
        </w:tc>
      </w:tr>
      <w:tr w:rsidR="00406529" w:rsidRPr="005A66D7" w14:paraId="768736E9" w14:textId="77777777" w:rsidTr="77EF754A">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3298" w:type="dxa"/>
            <w:tcBorders>
              <w:bottom w:val="single" w:sz="4" w:space="0" w:color="142855" w:themeColor="text2"/>
            </w:tcBorders>
            <w:shd w:val="clear" w:color="auto" w:fill="FFFFFF" w:themeFill="background2"/>
          </w:tcPr>
          <w:p w14:paraId="678AA76B" w14:textId="24E15A08" w:rsidR="00406529" w:rsidRPr="003312A3" w:rsidRDefault="00406529" w:rsidP="00491364">
            <w:pPr>
              <w:pStyle w:val="ListParagraph"/>
              <w:numPr>
                <w:ilvl w:val="0"/>
                <w:numId w:val="12"/>
              </w:numPr>
              <w:spacing w:line="360" w:lineRule="auto"/>
              <w:ind w:left="426"/>
              <w:rPr>
                <w:rFonts w:asciiTheme="majorHAnsi" w:hAnsiTheme="majorHAnsi" w:cstheme="majorBidi"/>
                <w:color w:val="333330" w:themeColor="text1" w:themeTint="E6"/>
                <w:sz w:val="24"/>
                <w:szCs w:val="24"/>
              </w:rPr>
            </w:pPr>
            <w:r w:rsidRPr="00406529">
              <w:rPr>
                <w:rFonts w:asciiTheme="majorHAnsi" w:hAnsiTheme="majorHAnsi" w:cstheme="majorBidi"/>
                <w:color w:val="333330" w:themeColor="text1" w:themeTint="E6"/>
                <w:sz w:val="24"/>
                <w:szCs w:val="24"/>
              </w:rPr>
              <w:lastRenderedPageBreak/>
              <w:t xml:space="preserve">Managing public money: Generate a market rate of return. </w:t>
            </w:r>
          </w:p>
        </w:tc>
        <w:tc>
          <w:tcPr>
            <w:tcW w:w="7187" w:type="dxa"/>
            <w:tcBorders>
              <w:bottom w:val="single" w:sz="4" w:space="0" w:color="142855" w:themeColor="text2"/>
            </w:tcBorders>
            <w:shd w:val="clear" w:color="auto" w:fill="FFFFFF" w:themeFill="background2"/>
          </w:tcPr>
          <w:p w14:paraId="4D458EFC" w14:textId="495A2E12" w:rsidR="00406529" w:rsidRPr="003312A3" w:rsidRDefault="7E04D74A" w:rsidP="00491364">
            <w:pPr>
              <w:pStyle w:val="paragraph"/>
              <w:numPr>
                <w:ilvl w:val="0"/>
                <w:numId w:val="64"/>
              </w:numPr>
              <w:spacing w:after="0" w:line="36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333330" w:themeColor="text1" w:themeTint="E6"/>
                <w:lang w:eastAsia="en-US"/>
              </w:rPr>
            </w:pPr>
            <w:r w:rsidRPr="77EF754A">
              <w:rPr>
                <w:rFonts w:asciiTheme="majorHAnsi" w:eastAsia="Calibri" w:hAnsiTheme="majorHAnsi" w:cstheme="majorBidi"/>
                <w:color w:val="333330" w:themeColor="text1" w:themeTint="E6"/>
                <w:lang w:eastAsia="en-US"/>
              </w:rPr>
              <w:t xml:space="preserve">As </w:t>
            </w:r>
            <w:r w:rsidR="004C2C2E" w:rsidRPr="77EF754A">
              <w:rPr>
                <w:rFonts w:asciiTheme="majorHAnsi" w:eastAsia="Calibri" w:hAnsiTheme="majorHAnsi" w:cstheme="majorBidi"/>
                <w:color w:val="333330" w:themeColor="text1" w:themeTint="E6"/>
                <w:lang w:eastAsia="en-US"/>
              </w:rPr>
              <w:t>of</w:t>
            </w:r>
            <w:r w:rsidRPr="77EF754A">
              <w:rPr>
                <w:rFonts w:asciiTheme="majorHAnsi" w:eastAsia="Calibri" w:hAnsiTheme="majorHAnsi" w:cstheme="majorBidi"/>
                <w:color w:val="333330" w:themeColor="text1" w:themeTint="E6"/>
                <w:lang w:eastAsia="en-US"/>
              </w:rPr>
              <w:t xml:space="preserve"> June 2022, BBI RAP had invested £59.5m which was valued at £65.6m, indicating a 10% or </w:t>
            </w:r>
            <w:r w:rsidR="383754CA" w:rsidRPr="77EF754A">
              <w:rPr>
                <w:rFonts w:asciiTheme="majorHAnsi" w:eastAsia="Calibri" w:hAnsiTheme="majorHAnsi" w:cstheme="majorBidi"/>
                <w:color w:val="333330" w:themeColor="text1" w:themeTint="E6"/>
                <w:lang w:eastAsia="en-US"/>
              </w:rPr>
              <w:t>£6.1m uplift in the portfolio</w:t>
            </w:r>
            <w:r w:rsidR="005A23DA">
              <w:rPr>
                <w:rStyle w:val="FootnoteReference"/>
                <w:rFonts w:asciiTheme="majorHAnsi" w:eastAsia="Calibri" w:hAnsiTheme="majorHAnsi" w:cstheme="majorBidi"/>
                <w:color w:val="333330" w:themeColor="text1" w:themeTint="E6"/>
                <w:lang w:eastAsia="en-US"/>
              </w:rPr>
              <w:footnoteReference w:id="14"/>
            </w:r>
            <w:r w:rsidR="383754CA" w:rsidRPr="77EF754A">
              <w:rPr>
                <w:rFonts w:asciiTheme="majorHAnsi" w:eastAsia="Calibri" w:hAnsiTheme="majorHAnsi" w:cstheme="majorBidi"/>
                <w:color w:val="333330" w:themeColor="text1" w:themeTint="E6"/>
                <w:lang w:eastAsia="en-US"/>
              </w:rPr>
              <w:t xml:space="preserve">. </w:t>
            </w:r>
          </w:p>
        </w:tc>
        <w:tc>
          <w:tcPr>
            <w:tcW w:w="3590" w:type="dxa"/>
            <w:tcBorders>
              <w:bottom w:val="single" w:sz="4" w:space="0" w:color="142855" w:themeColor="text2"/>
            </w:tcBorders>
            <w:shd w:val="clear" w:color="auto" w:fill="FFFFFF" w:themeFill="background2"/>
          </w:tcPr>
          <w:p w14:paraId="008B2E98" w14:textId="42BFE387" w:rsidR="00406529" w:rsidRPr="00406529" w:rsidRDefault="383754CA" w:rsidP="77EF754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333330" w:themeColor="text1" w:themeTint="E6"/>
              </w:rPr>
            </w:pPr>
            <w:r w:rsidRPr="77EF754A">
              <w:rPr>
                <w:rFonts w:asciiTheme="majorHAnsi" w:eastAsia="Calibri" w:hAnsiTheme="majorHAnsi" w:cstheme="majorBidi"/>
                <w:color w:val="333330" w:themeColor="text1" w:themeTint="E6"/>
              </w:rPr>
              <w:t xml:space="preserve">Although the Programme is in its infancy, performance to date is strong. </w:t>
            </w:r>
          </w:p>
        </w:tc>
      </w:tr>
    </w:tbl>
    <w:bookmarkEnd w:id="34"/>
    <w:p w14:paraId="793AB9AA" w14:textId="3FE84CF3" w:rsidR="00E242C3" w:rsidRPr="00B713EC" w:rsidRDefault="00285F1A">
      <w:pPr>
        <w:spacing w:after="160" w:line="259" w:lineRule="auto"/>
        <w:rPr>
          <w:i/>
          <w:color w:val="555674"/>
          <w:szCs w:val="18"/>
        </w:rPr>
      </w:pPr>
      <w:r w:rsidRPr="004302A8">
        <w:rPr>
          <w:i/>
          <w:color w:val="555674"/>
          <w:szCs w:val="18"/>
        </w:rPr>
        <w:t>Source: British Business Bank: (</w:t>
      </w:r>
      <w:r w:rsidR="000E364C" w:rsidRPr="004302A8">
        <w:rPr>
          <w:i/>
          <w:color w:val="555674"/>
          <w:szCs w:val="18"/>
        </w:rPr>
        <w:t>2018</w:t>
      </w:r>
      <w:r w:rsidRPr="004302A8">
        <w:rPr>
          <w:i/>
          <w:color w:val="555674"/>
          <w:szCs w:val="18"/>
        </w:rPr>
        <w:t xml:space="preserve">) Final </w:t>
      </w:r>
      <w:r w:rsidR="008F6E30" w:rsidRPr="004302A8">
        <w:rPr>
          <w:i/>
          <w:color w:val="555674"/>
          <w:szCs w:val="18"/>
        </w:rPr>
        <w:t>P</w:t>
      </w:r>
      <w:r w:rsidRPr="004302A8">
        <w:rPr>
          <w:i/>
          <w:color w:val="555674"/>
          <w:szCs w:val="18"/>
        </w:rPr>
        <w:t>rogramme objectives, RSMUK</w:t>
      </w:r>
    </w:p>
    <w:p w14:paraId="5D10BD6D" w14:textId="77777777" w:rsidR="00F837F7" w:rsidRDefault="00F837F7" w:rsidP="00DD5A18">
      <w:pPr>
        <w:pStyle w:val="Caption"/>
      </w:pPr>
      <w:bookmarkStart w:id="37" w:name="_Ref145072523"/>
    </w:p>
    <w:p w14:paraId="34FE97E0" w14:textId="288FC04E" w:rsidR="00DD5A18" w:rsidRPr="00243D47" w:rsidRDefault="00DD5A18" w:rsidP="00DD5A18">
      <w:pPr>
        <w:pStyle w:val="Caption"/>
      </w:pPr>
      <w:r w:rsidRPr="00243D47">
        <w:t xml:space="preserve">Table </w:t>
      </w:r>
      <w:r w:rsidR="002728D8">
        <w:fldChar w:fldCharType="begin"/>
      </w:r>
      <w:r w:rsidR="002728D8">
        <w:instrText xml:space="preserve"> SEQ Table \* ARABIC </w:instrText>
      </w:r>
      <w:r w:rsidR="002728D8">
        <w:fldChar w:fldCharType="separate"/>
      </w:r>
      <w:r w:rsidR="00BC412E">
        <w:rPr>
          <w:noProof/>
        </w:rPr>
        <w:t>2</w:t>
      </w:r>
      <w:r w:rsidR="002728D8">
        <w:rPr>
          <w:noProof/>
        </w:rPr>
        <w:fldChar w:fldCharType="end"/>
      </w:r>
      <w:bookmarkEnd w:id="37"/>
      <w:r w:rsidRPr="00243D47">
        <w:t>: Performance against wider British Business Bank objective</w:t>
      </w:r>
    </w:p>
    <w:tbl>
      <w:tblPr>
        <w:tblStyle w:val="PlainTable21"/>
        <w:tblW w:w="14075" w:type="dxa"/>
        <w:tblLook w:val="04A0" w:firstRow="1" w:lastRow="0" w:firstColumn="1" w:lastColumn="0" w:noHBand="0" w:noVBand="1"/>
      </w:tblPr>
      <w:tblGrid>
        <w:gridCol w:w="3298"/>
        <w:gridCol w:w="7187"/>
        <w:gridCol w:w="3590"/>
      </w:tblGrid>
      <w:tr w:rsidR="00DD5A18" w:rsidRPr="00D8407C" w14:paraId="586B7E61" w14:textId="77777777" w:rsidTr="00B713E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142855" w:themeColor="text2"/>
              <w:bottom w:val="single" w:sz="4" w:space="0" w:color="142855" w:themeColor="text2"/>
            </w:tcBorders>
          </w:tcPr>
          <w:p w14:paraId="261538CE" w14:textId="77777777" w:rsidR="00DD5A18" w:rsidRPr="00DD5A18" w:rsidRDefault="00DD5A18" w:rsidP="00DD5A18">
            <w:pPr>
              <w:rPr>
                <w:rFonts w:asciiTheme="majorHAnsi" w:hAnsiTheme="majorHAnsi" w:cstheme="majorHAnsi"/>
                <w:color w:val="142855" w:themeColor="text2"/>
                <w:szCs w:val="24"/>
              </w:rPr>
            </w:pPr>
            <w:r w:rsidRPr="00DD5A18">
              <w:rPr>
                <w:rFonts w:asciiTheme="majorHAnsi" w:hAnsiTheme="majorHAnsi" w:cstheme="majorHAnsi"/>
                <w:color w:val="142855" w:themeColor="text2"/>
                <w:szCs w:val="24"/>
              </w:rPr>
              <w:t>Wider objective</w:t>
            </w:r>
          </w:p>
        </w:tc>
        <w:tc>
          <w:tcPr>
            <w:tcW w:w="7187" w:type="dxa"/>
            <w:tcBorders>
              <w:top w:val="single" w:sz="4" w:space="0" w:color="142855" w:themeColor="text2"/>
              <w:bottom w:val="single" w:sz="4" w:space="0" w:color="142855" w:themeColor="text2"/>
            </w:tcBorders>
          </w:tcPr>
          <w:p w14:paraId="1730F4CE" w14:textId="77777777" w:rsidR="00DD5A18" w:rsidRPr="00DD5A18" w:rsidRDefault="00DD5A18" w:rsidP="00DD5A18">
            <w:pPr>
              <w:cnfStyle w:val="100000000000" w:firstRow="1" w:lastRow="0" w:firstColumn="0" w:lastColumn="0" w:oddVBand="0" w:evenVBand="0" w:oddHBand="0" w:evenHBand="0" w:firstRowFirstColumn="0" w:firstRowLastColumn="0" w:lastRowFirstColumn="0" w:lastRowLastColumn="0"/>
              <w:rPr>
                <w:color w:val="142855" w:themeColor="text2"/>
              </w:rPr>
            </w:pPr>
            <w:r w:rsidRPr="00DD5A18">
              <w:rPr>
                <w:rFonts w:asciiTheme="majorHAnsi" w:hAnsiTheme="majorHAnsi" w:cstheme="majorHAnsi"/>
                <w:color w:val="142855" w:themeColor="text2"/>
                <w:szCs w:val="24"/>
              </w:rPr>
              <w:t>Supporting evidence</w:t>
            </w:r>
          </w:p>
        </w:tc>
        <w:tc>
          <w:tcPr>
            <w:tcW w:w="3590" w:type="dxa"/>
            <w:tcBorders>
              <w:top w:val="single" w:sz="4" w:space="0" w:color="142855" w:themeColor="text2"/>
              <w:bottom w:val="single" w:sz="4" w:space="0" w:color="142855" w:themeColor="text2"/>
            </w:tcBorders>
          </w:tcPr>
          <w:p w14:paraId="4C2C3EA1" w14:textId="77777777" w:rsidR="00DD5A18" w:rsidRPr="00DD5A18" w:rsidRDefault="00DD5A18" w:rsidP="00DD5A1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142855" w:themeColor="text2"/>
                <w:szCs w:val="24"/>
              </w:rPr>
            </w:pPr>
            <w:r w:rsidRPr="00DD5A18">
              <w:rPr>
                <w:rFonts w:asciiTheme="majorHAnsi" w:hAnsiTheme="majorHAnsi" w:cstheme="majorHAnsi"/>
                <w:color w:val="142855" w:themeColor="text2"/>
                <w:szCs w:val="24"/>
              </w:rPr>
              <w:t>Objective met?</w:t>
            </w:r>
          </w:p>
        </w:tc>
      </w:tr>
      <w:tr w:rsidR="00DD5A18" w:rsidRPr="00D8407C" w14:paraId="42222C61" w14:textId="77777777" w:rsidTr="00DD5A18">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142855" w:themeColor="text2"/>
              <w:bottom w:val="single" w:sz="4" w:space="0" w:color="142855" w:themeColor="text2"/>
            </w:tcBorders>
          </w:tcPr>
          <w:p w14:paraId="2EDC2B8D" w14:textId="77777777" w:rsidR="00DD5A18" w:rsidRPr="00D8407C" w:rsidRDefault="00DD5A18" w:rsidP="00491364">
            <w:pPr>
              <w:pStyle w:val="ListParagraph"/>
              <w:numPr>
                <w:ilvl w:val="0"/>
                <w:numId w:val="63"/>
              </w:numPr>
              <w:spacing w:line="360" w:lineRule="auto"/>
              <w:rPr>
                <w:rFonts w:asciiTheme="majorHAnsi" w:hAnsiTheme="majorHAnsi" w:cstheme="majorHAnsi"/>
                <w:sz w:val="24"/>
                <w:szCs w:val="24"/>
              </w:rPr>
            </w:pPr>
            <w:r w:rsidRPr="00D8407C">
              <w:rPr>
                <w:rFonts w:asciiTheme="majorHAnsi" w:hAnsiTheme="majorHAnsi" w:cstheme="majorHAnsi"/>
                <w:sz w:val="24"/>
                <w:szCs w:val="24"/>
              </w:rPr>
              <w:t xml:space="preserve">Economic outcomes: </w:t>
            </w:r>
            <w:r w:rsidRPr="00622B4F">
              <w:rPr>
                <w:rFonts w:asciiTheme="majorHAnsi" w:hAnsiTheme="majorHAnsi" w:cstheme="majorHAnsi"/>
                <w:b w:val="0"/>
                <w:bCs w:val="0"/>
                <w:sz w:val="24"/>
                <w:szCs w:val="24"/>
              </w:rPr>
              <w:t>Programme will result in additional economic output in the UK economy.</w:t>
            </w:r>
          </w:p>
        </w:tc>
        <w:tc>
          <w:tcPr>
            <w:tcW w:w="7187" w:type="dxa"/>
            <w:tcBorders>
              <w:top w:val="single" w:sz="4" w:space="0" w:color="142855" w:themeColor="text2"/>
              <w:bottom w:val="single" w:sz="4" w:space="0" w:color="142855" w:themeColor="text2"/>
            </w:tcBorders>
          </w:tcPr>
          <w:p w14:paraId="4F7F91AB" w14:textId="51201B1D" w:rsidR="00DD5A18" w:rsidRPr="00D8407C" w:rsidRDefault="00DD5A18" w:rsidP="00491364">
            <w:pPr>
              <w:pStyle w:val="ListParagraph"/>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r w:rsidRPr="00D8407C">
              <w:rPr>
                <w:rFonts w:asciiTheme="majorHAnsi" w:hAnsiTheme="majorHAnsi" w:cstheme="majorHAnsi"/>
                <w:sz w:val="24"/>
                <w:szCs w:val="24"/>
              </w:rPr>
              <w:t>T</w:t>
            </w:r>
            <w:r w:rsidRPr="00D8407C">
              <w:rPr>
                <w:rFonts w:asciiTheme="majorHAnsi" w:eastAsia="Times New Roman" w:hAnsiTheme="majorHAnsi" w:cstheme="majorHAnsi"/>
                <w:sz w:val="24"/>
                <w:szCs w:val="28"/>
              </w:rPr>
              <w:t>he</w:t>
            </w:r>
            <w:r w:rsidRPr="00D8407C">
              <w:rPr>
                <w:rFonts w:asciiTheme="majorHAnsi" w:hAnsiTheme="majorHAnsi" w:cstheme="majorHAnsi"/>
                <w:sz w:val="24"/>
                <w:szCs w:val="28"/>
              </w:rPr>
              <w:t xml:space="preserve"> </w:t>
            </w:r>
            <w:r w:rsidRPr="00D8407C">
              <w:rPr>
                <w:rFonts w:asciiTheme="majorHAnsi" w:hAnsiTheme="majorHAnsi" w:cstheme="majorHAnsi"/>
                <w:sz w:val="24"/>
                <w:szCs w:val="24"/>
              </w:rPr>
              <w:t xml:space="preserve">post-money valuations KPI suggests that RAP funded firms </w:t>
            </w:r>
            <w:r w:rsidR="00422B1B">
              <w:rPr>
                <w:rFonts w:asciiTheme="majorHAnsi" w:hAnsiTheme="majorHAnsi" w:cstheme="majorHAnsi"/>
                <w:sz w:val="24"/>
                <w:szCs w:val="24"/>
              </w:rPr>
              <w:t xml:space="preserve">relatively </w:t>
            </w:r>
            <w:r w:rsidRPr="00D8407C">
              <w:rPr>
                <w:rFonts w:asciiTheme="majorHAnsi" w:hAnsiTheme="majorHAnsi" w:cstheme="majorHAnsi"/>
                <w:sz w:val="24"/>
                <w:szCs w:val="24"/>
              </w:rPr>
              <w:t>underperformed</w:t>
            </w:r>
            <w:r w:rsidR="00422B1B">
              <w:rPr>
                <w:rFonts w:asciiTheme="majorHAnsi" w:hAnsiTheme="majorHAnsi" w:cstheme="majorHAnsi"/>
                <w:sz w:val="24"/>
                <w:szCs w:val="24"/>
              </w:rPr>
              <w:t xml:space="preserve"> when it comes to valuation growth</w:t>
            </w:r>
            <w:r w:rsidRPr="00D8407C">
              <w:rPr>
                <w:rFonts w:asciiTheme="majorHAnsi" w:hAnsiTheme="majorHAnsi" w:cstheme="majorHAnsi"/>
                <w:sz w:val="24"/>
                <w:szCs w:val="24"/>
              </w:rPr>
              <w:t xml:space="preserve">, experiencing a 23% growth in post-money valuation in 2022, whereas the </w:t>
            </w:r>
            <w:r w:rsidR="00835CEA" w:rsidRPr="00D8407C">
              <w:rPr>
                <w:rFonts w:asciiTheme="majorHAnsi" w:hAnsiTheme="majorHAnsi" w:cstheme="majorHAnsi"/>
                <w:sz w:val="24"/>
                <w:szCs w:val="24"/>
              </w:rPr>
              <w:t>counterfactual group saw a 76% increase from the previous year</w:t>
            </w:r>
            <w:r w:rsidR="006D47E4">
              <w:rPr>
                <w:rFonts w:asciiTheme="majorHAnsi" w:hAnsiTheme="majorHAnsi" w:cstheme="majorHAnsi"/>
                <w:sz w:val="24"/>
                <w:szCs w:val="24"/>
              </w:rPr>
              <w:t xml:space="preserve"> – it is however crucial to exercise caution when interpreting this figure as valuation figures are an estimate based on existing transactions and reflect the volatility of market sentiments</w:t>
            </w:r>
            <w:r w:rsidR="00F75259">
              <w:rPr>
                <w:rFonts w:asciiTheme="majorHAnsi" w:hAnsiTheme="majorHAnsi" w:cstheme="majorHAnsi"/>
                <w:sz w:val="24"/>
                <w:szCs w:val="24"/>
              </w:rPr>
              <w:t>, as highlighted in section 8.3</w:t>
            </w:r>
            <w:r w:rsidR="00835CEA" w:rsidRPr="00D8407C">
              <w:rPr>
                <w:rFonts w:asciiTheme="majorHAnsi" w:hAnsiTheme="majorHAnsi" w:cstheme="majorHAnsi"/>
                <w:sz w:val="24"/>
                <w:szCs w:val="24"/>
              </w:rPr>
              <w:t>.</w:t>
            </w:r>
          </w:p>
          <w:p w14:paraId="6C0437F7" w14:textId="77777777" w:rsidR="00DD5A18" w:rsidRPr="00D8407C" w:rsidRDefault="00DD5A18" w:rsidP="00491364">
            <w:pPr>
              <w:pStyle w:val="ListParagraph"/>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lastRenderedPageBreak/>
              <w:t xml:space="preserve">Median </w:t>
            </w:r>
            <w:r w:rsidRPr="00CF37A0">
              <w:rPr>
                <w:rFonts w:asciiTheme="majorHAnsi" w:hAnsiTheme="majorHAnsi" w:cstheme="majorHAnsi"/>
                <w:sz w:val="24"/>
                <w:szCs w:val="24"/>
              </w:rPr>
              <w:t>turnover growth showed a positive performance in 2022, with RAP funded firms experiencing an 84% increase compared to a 35% increase for the counterfactual group. However, it is still too early to observe the full effect of turnover realisation in RAP funded firms due to the limited time elapsed</w:t>
            </w:r>
            <w:r>
              <w:rPr>
                <w:rFonts w:asciiTheme="majorHAnsi" w:hAnsiTheme="majorHAnsi" w:cstheme="majorHAnsi"/>
                <w:sz w:val="24"/>
                <w:szCs w:val="24"/>
              </w:rPr>
              <w:t>.</w:t>
            </w:r>
          </w:p>
          <w:p w14:paraId="78E3FFAE" w14:textId="6A1160EC" w:rsidR="00DD5A18" w:rsidRPr="00D8407C" w:rsidRDefault="00DD5A18" w:rsidP="00491364">
            <w:pPr>
              <w:pStyle w:val="ListParagraph"/>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0D3E0A">
              <w:rPr>
                <w:rFonts w:asciiTheme="majorHAnsi" w:hAnsiTheme="majorHAnsi" w:cstheme="majorHAnsi"/>
                <w:sz w:val="24"/>
                <w:szCs w:val="24"/>
              </w:rPr>
              <w:t xml:space="preserve">RAP funded </w:t>
            </w:r>
            <w:r w:rsidR="00807BA0" w:rsidRPr="000D3E0A">
              <w:rPr>
                <w:rFonts w:asciiTheme="majorHAnsi" w:hAnsiTheme="majorHAnsi" w:cstheme="majorHAnsi"/>
                <w:sz w:val="24"/>
                <w:szCs w:val="24"/>
              </w:rPr>
              <w:t>firms’</w:t>
            </w:r>
            <w:r w:rsidRPr="004B3615">
              <w:rPr>
                <w:rFonts w:asciiTheme="majorHAnsi" w:hAnsiTheme="majorHAnsi" w:cstheme="majorHAnsi"/>
                <w:szCs w:val="24"/>
              </w:rPr>
              <w:t xml:space="preserve"> </w:t>
            </w:r>
            <w:r w:rsidRPr="00514AFF">
              <w:rPr>
                <w:rFonts w:asciiTheme="majorHAnsi" w:hAnsiTheme="majorHAnsi" w:cstheme="majorHAnsi"/>
                <w:sz w:val="24"/>
                <w:szCs w:val="24"/>
              </w:rPr>
              <w:t>employment outperformed</w:t>
            </w:r>
            <w:r>
              <w:rPr>
                <w:rFonts w:asciiTheme="majorHAnsi" w:hAnsiTheme="majorHAnsi" w:cstheme="majorHAnsi"/>
                <w:sz w:val="24"/>
                <w:szCs w:val="24"/>
              </w:rPr>
              <w:t xml:space="preserve">, </w:t>
            </w:r>
            <w:r w:rsidRPr="00CF37A0">
              <w:rPr>
                <w:rFonts w:asciiTheme="majorHAnsi" w:hAnsiTheme="majorHAnsi" w:cstheme="majorHAnsi"/>
                <w:sz w:val="24"/>
                <w:szCs w:val="24"/>
              </w:rPr>
              <w:t xml:space="preserve">with a 24% increase in 2022, while the counterfactual group saw a 14% increase. </w:t>
            </w:r>
            <w:r>
              <w:rPr>
                <w:rFonts w:asciiTheme="majorHAnsi" w:hAnsiTheme="majorHAnsi" w:cstheme="majorHAnsi"/>
                <w:sz w:val="24"/>
                <w:szCs w:val="24"/>
              </w:rPr>
              <w:t>Similarly</w:t>
            </w:r>
            <w:r w:rsidRPr="00CF37A0">
              <w:rPr>
                <w:rFonts w:asciiTheme="majorHAnsi" w:hAnsiTheme="majorHAnsi" w:cstheme="majorHAnsi"/>
                <w:sz w:val="24"/>
                <w:szCs w:val="24"/>
              </w:rPr>
              <w:t>, it is still too early to gauge the complete impact of employee realisation in RAP funded firms</w:t>
            </w:r>
            <w:r>
              <w:rPr>
                <w:rFonts w:asciiTheme="majorHAnsi" w:hAnsiTheme="majorHAnsi" w:cstheme="majorHAnsi"/>
                <w:sz w:val="24"/>
                <w:szCs w:val="24"/>
              </w:rPr>
              <w:t>.</w:t>
            </w:r>
            <w:r w:rsidRPr="00CF37A0" w:rsidDel="00CF37A0">
              <w:rPr>
                <w:rFonts w:asciiTheme="majorHAnsi" w:hAnsiTheme="majorHAnsi" w:cstheme="majorHAnsi"/>
                <w:sz w:val="24"/>
                <w:szCs w:val="24"/>
              </w:rPr>
              <w:t xml:space="preserve"> </w:t>
            </w:r>
          </w:p>
        </w:tc>
        <w:tc>
          <w:tcPr>
            <w:tcW w:w="3590" w:type="dxa"/>
            <w:tcBorders>
              <w:top w:val="single" w:sz="4" w:space="0" w:color="142855" w:themeColor="text2"/>
              <w:bottom w:val="single" w:sz="4" w:space="0" w:color="142855" w:themeColor="text2"/>
            </w:tcBorders>
          </w:tcPr>
          <w:p w14:paraId="5DD4A747" w14:textId="6742ABDA" w:rsidR="00DD5A18" w:rsidRDefault="00DD5A18" w:rsidP="00DD5A1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lastRenderedPageBreak/>
              <w:t xml:space="preserve">Still too early – Expectations derived from valuations data signals an underperformance of RAP funded firms. The limited data </w:t>
            </w:r>
            <w:r w:rsidR="00FE532B">
              <w:rPr>
                <w:rFonts w:asciiTheme="majorHAnsi" w:hAnsiTheme="majorHAnsi" w:cstheme="majorHAnsi"/>
                <w:szCs w:val="24"/>
              </w:rPr>
              <w:t xml:space="preserve">and time </w:t>
            </w:r>
            <w:r w:rsidR="00807BA0">
              <w:rPr>
                <w:rFonts w:asciiTheme="majorHAnsi" w:hAnsiTheme="majorHAnsi" w:cstheme="majorHAnsi"/>
                <w:szCs w:val="24"/>
              </w:rPr>
              <w:t>cloud</w:t>
            </w:r>
            <w:r>
              <w:rPr>
                <w:rFonts w:asciiTheme="majorHAnsi" w:hAnsiTheme="majorHAnsi" w:cstheme="majorHAnsi"/>
                <w:szCs w:val="24"/>
              </w:rPr>
              <w:t xml:space="preserve"> this result.</w:t>
            </w:r>
          </w:p>
        </w:tc>
      </w:tr>
    </w:tbl>
    <w:p w14:paraId="5FF3D6F5" w14:textId="77777777" w:rsidR="00DD5A18" w:rsidRDefault="00DD5A18">
      <w:pPr>
        <w:spacing w:after="160" w:line="259" w:lineRule="auto"/>
        <w:rPr>
          <w:i/>
          <w:color w:val="555674"/>
          <w:szCs w:val="18"/>
        </w:rPr>
      </w:pPr>
      <w:r w:rsidRPr="004302A8">
        <w:rPr>
          <w:i/>
          <w:color w:val="555674"/>
          <w:szCs w:val="18"/>
        </w:rPr>
        <w:t>Source: British Business Bank, RSMUK</w:t>
      </w:r>
    </w:p>
    <w:p w14:paraId="379B363E" w14:textId="1BAAC476" w:rsidR="00DD7B80" w:rsidRPr="00B713EC" w:rsidRDefault="00DD7B80">
      <w:pPr>
        <w:spacing w:after="160" w:line="259" w:lineRule="auto"/>
        <w:rPr>
          <w:i/>
          <w:color w:val="555674"/>
          <w:szCs w:val="18"/>
        </w:rPr>
        <w:sectPr w:rsidR="00DD7B80" w:rsidRPr="00B713EC" w:rsidSect="00ED2122">
          <w:pgSz w:w="16838" w:h="11906" w:orient="landscape"/>
          <w:pgMar w:top="1077" w:right="1440" w:bottom="1077" w:left="1440" w:header="624" w:footer="0" w:gutter="0"/>
          <w:cols w:space="708"/>
          <w:docGrid w:linePitch="360"/>
        </w:sectPr>
      </w:pPr>
      <w:r>
        <w:rPr>
          <w:i/>
          <w:color w:val="555674"/>
          <w:szCs w:val="18"/>
        </w:rPr>
        <w:br w:type="page"/>
      </w:r>
    </w:p>
    <w:p w14:paraId="7BF9AA9F" w14:textId="3890E094" w:rsidR="00BC60E9" w:rsidRPr="004C2C2E" w:rsidRDefault="006972E6" w:rsidP="004C2C2E">
      <w:pPr>
        <w:pStyle w:val="Heading1"/>
      </w:pPr>
      <w:bookmarkStart w:id="38" w:name="_Toc165482208"/>
      <w:bookmarkStart w:id="39" w:name="_Toc165497171"/>
      <w:r w:rsidRPr="004C2C2E">
        <w:lastRenderedPageBreak/>
        <w:t>3</w:t>
      </w:r>
      <w:r w:rsidR="00102AF8" w:rsidRPr="004C2C2E">
        <w:t xml:space="preserve">. </w:t>
      </w:r>
      <w:r w:rsidR="00BC60E9" w:rsidRPr="004C2C2E">
        <w:t>Introduction</w:t>
      </w:r>
      <w:bookmarkEnd w:id="28"/>
      <w:bookmarkEnd w:id="38"/>
      <w:bookmarkEnd w:id="39"/>
    </w:p>
    <w:p w14:paraId="0D9D2651" w14:textId="66DDF4A1" w:rsidR="00021238" w:rsidRDefault="00021238" w:rsidP="00FA0847">
      <w:pPr>
        <w:pStyle w:val="Heading2"/>
      </w:pPr>
      <w:bookmarkStart w:id="40" w:name="_Toc165482209"/>
      <w:bookmarkStart w:id="41" w:name="_Toc165497172"/>
      <w:r>
        <w:t xml:space="preserve">3.1 This </w:t>
      </w:r>
      <w:r w:rsidR="00E3351B">
        <w:t>study</w:t>
      </w:r>
      <w:bookmarkEnd w:id="40"/>
      <w:bookmarkEnd w:id="41"/>
    </w:p>
    <w:p w14:paraId="3EE85457" w14:textId="1BF115A9" w:rsidR="00442DA1" w:rsidRPr="00A477B4" w:rsidRDefault="7B3E175E" w:rsidP="00442DA1">
      <w:pPr>
        <w:rPr>
          <w:rFonts w:cs="Arial"/>
          <w:iCs/>
        </w:rPr>
      </w:pPr>
      <w:r>
        <w:t xml:space="preserve">The </w:t>
      </w:r>
      <w:r w:rsidRPr="00CA43AF">
        <w:t xml:space="preserve">Regional Angels Programme (RAP) </w:t>
      </w:r>
      <w:r w:rsidRPr="00997AEE">
        <w:rPr>
          <w:rFonts w:cs="Arial"/>
          <w:iCs/>
        </w:rPr>
        <w:t xml:space="preserve">was </w:t>
      </w:r>
      <w:r w:rsidRPr="00CA0D73">
        <w:rPr>
          <w:iCs/>
        </w:rPr>
        <w:t xml:space="preserve">announced in the Autumn Budget (2017) and launched </w:t>
      </w:r>
      <w:r>
        <w:rPr>
          <w:iCs/>
        </w:rPr>
        <w:t>in</w:t>
      </w:r>
      <w:r w:rsidRPr="00CA0D73">
        <w:rPr>
          <w:iCs/>
        </w:rPr>
        <w:t xml:space="preserve"> October 2018</w:t>
      </w:r>
      <w:r>
        <w:rPr>
          <w:iCs/>
        </w:rPr>
        <w:t xml:space="preserve"> by the British Business Bank and its subsidiary, </w:t>
      </w:r>
      <w:r>
        <w:rPr>
          <w:rFonts w:cs="Arial"/>
        </w:rPr>
        <w:t>British Business Investments</w:t>
      </w:r>
      <w:r w:rsidRPr="00A477B4">
        <w:rPr>
          <w:iCs/>
        </w:rPr>
        <w:t xml:space="preserve">. </w:t>
      </w:r>
      <w:r w:rsidRPr="00CA43AF">
        <w:t>RSM UK Consulting</w:t>
      </w:r>
      <w:r>
        <w:t xml:space="preserve"> LLP</w:t>
      </w:r>
      <w:r w:rsidRPr="00CA43AF">
        <w:t xml:space="preserve"> </w:t>
      </w:r>
      <w:r>
        <w:t>was</w:t>
      </w:r>
      <w:r w:rsidRPr="00CA43AF">
        <w:t xml:space="preserve"> commissioned to undertake an independent evaluation of </w:t>
      </w:r>
      <w:r>
        <w:t>the RAP.</w:t>
      </w:r>
      <w:r w:rsidRPr="00CA43AF">
        <w:t xml:space="preserve"> </w:t>
      </w:r>
      <w:r>
        <w:rPr>
          <w:rFonts w:cs="Arial"/>
        </w:rPr>
        <w:t>British Business Investments</w:t>
      </w:r>
      <w:r w:rsidRPr="00D8407C">
        <w:rPr>
          <w:rFonts w:cs="Arial"/>
        </w:rPr>
        <w:t xml:space="preserve"> initially </w:t>
      </w:r>
      <w:r w:rsidR="7D794420" w:rsidRPr="07F50397">
        <w:rPr>
          <w:rFonts w:cs="Arial"/>
        </w:rPr>
        <w:t xml:space="preserve">had £100m of available capital to commit to Partners. This amount was subsequently increased to £285m. As </w:t>
      </w:r>
      <w:r w:rsidR="00807BA0" w:rsidRPr="07F50397">
        <w:rPr>
          <w:rFonts w:cs="Arial"/>
        </w:rPr>
        <w:t>of</w:t>
      </w:r>
      <w:r w:rsidR="7D794420" w:rsidRPr="07F50397">
        <w:rPr>
          <w:rFonts w:cs="Arial"/>
        </w:rPr>
        <w:t xml:space="preserve"> June 2022, RAP had made commitments totalling £130m. </w:t>
      </w:r>
      <w:r>
        <w:rPr>
          <w:rFonts w:cs="Arial"/>
          <w:iCs/>
        </w:rPr>
        <w:t xml:space="preserve">This study evaluates the first </w:t>
      </w:r>
      <w:r w:rsidR="5B65006D">
        <w:rPr>
          <w:rFonts w:cs="Arial"/>
          <w:iCs/>
        </w:rPr>
        <w:t xml:space="preserve">deployed </w:t>
      </w:r>
      <w:r w:rsidRPr="00BE2F5C">
        <w:rPr>
          <w:rFonts w:cs="Arial"/>
        </w:rPr>
        <w:t>investments made</w:t>
      </w:r>
      <w:r w:rsidRPr="00D8407C">
        <w:rPr>
          <w:rFonts w:cs="Arial"/>
          <w:iCs/>
        </w:rPr>
        <w:t xml:space="preserve"> between 2020 and June 2022</w:t>
      </w:r>
      <w:r w:rsidR="5B65006D">
        <w:rPr>
          <w:rFonts w:cs="Arial"/>
          <w:iCs/>
        </w:rPr>
        <w:t xml:space="preserve"> from BBI and the RAP partners,</w:t>
      </w:r>
      <w:r w:rsidR="7D794420" w:rsidRPr="07F50397">
        <w:rPr>
          <w:rFonts w:cs="Arial"/>
        </w:rPr>
        <w:t xml:space="preserve"> </w:t>
      </w:r>
      <w:r w:rsidRPr="00BE2F5C">
        <w:rPr>
          <w:rFonts w:cs="Arial"/>
          <w:iCs/>
        </w:rPr>
        <w:t>which total</w:t>
      </w:r>
      <w:r>
        <w:rPr>
          <w:rFonts w:cs="Arial"/>
          <w:iCs/>
        </w:rPr>
        <w:t>s</w:t>
      </w:r>
      <w:r w:rsidRPr="00BE2F5C">
        <w:rPr>
          <w:rFonts w:cs="Arial"/>
          <w:iCs/>
        </w:rPr>
        <w:t xml:space="preserve"> </w:t>
      </w:r>
      <w:r>
        <w:rPr>
          <w:rFonts w:cs="Arial"/>
          <w:iCs/>
        </w:rPr>
        <w:t xml:space="preserve">£212m. </w:t>
      </w:r>
    </w:p>
    <w:p w14:paraId="1C9E0DEA" w14:textId="33F21017" w:rsidR="00176D52" w:rsidRDefault="00442DA1" w:rsidP="00571C16">
      <w:r>
        <w:t>This report sets out the conditions under which RAP</w:t>
      </w:r>
      <w:r w:rsidRPr="008E3256">
        <w:t xml:space="preserve"> </w:t>
      </w:r>
      <w:r>
        <w:t xml:space="preserve">was set up, </w:t>
      </w:r>
      <w:r w:rsidR="00807BA0">
        <w:t>evidence</w:t>
      </w:r>
      <w:r>
        <w:t xml:space="preserve"> what has worked well and identifies emerging outcomes and early impacts. The seven study objectives are listed below.</w:t>
      </w:r>
    </w:p>
    <w:p w14:paraId="056718F7" w14:textId="77777777" w:rsidR="00F837F7" w:rsidRDefault="004C67F0" w:rsidP="003C06F0">
      <w:pPr>
        <w:pStyle w:val="Caption"/>
      </w:pPr>
      <w:r w:rsidRPr="004C67F0">
        <w:t xml:space="preserve"> </w:t>
      </w:r>
    </w:p>
    <w:p w14:paraId="0D6EB655" w14:textId="7B7EC31D" w:rsidR="00152034" w:rsidRDefault="003C06F0" w:rsidP="003C06F0">
      <w:pPr>
        <w:pStyle w:val="Caption"/>
      </w:pPr>
      <w:r>
        <w:t xml:space="preserve">Table </w:t>
      </w:r>
      <w:r w:rsidR="002728D8">
        <w:fldChar w:fldCharType="begin"/>
      </w:r>
      <w:r w:rsidR="002728D8">
        <w:instrText xml:space="preserve"> SEQ Table \* ARABIC </w:instrText>
      </w:r>
      <w:r w:rsidR="002728D8">
        <w:fldChar w:fldCharType="separate"/>
      </w:r>
      <w:r w:rsidR="00BC412E">
        <w:rPr>
          <w:noProof/>
        </w:rPr>
        <w:t>3</w:t>
      </w:r>
      <w:r w:rsidR="002728D8">
        <w:rPr>
          <w:noProof/>
        </w:rPr>
        <w:fldChar w:fldCharType="end"/>
      </w:r>
      <w:r>
        <w:t xml:space="preserve">: </w:t>
      </w:r>
      <w:r w:rsidRPr="00C80E31">
        <w:t>Study objectives</w:t>
      </w:r>
    </w:p>
    <w:tbl>
      <w:tblPr>
        <w:tblStyle w:val="ListTable3-Accent2"/>
        <w:tblW w:w="10627" w:type="dxa"/>
        <w:tblBorders>
          <w:top w:val="none" w:sz="0" w:space="0" w:color="auto"/>
          <w:left w:val="none" w:sz="0" w:space="0" w:color="auto"/>
          <w:bottom w:val="none" w:sz="0" w:space="0" w:color="auto"/>
          <w:right w:val="none" w:sz="0" w:space="0" w:color="auto"/>
        </w:tblBorders>
        <w:tblCellMar>
          <w:top w:w="113" w:type="dxa"/>
          <w:bottom w:w="113" w:type="dxa"/>
        </w:tblCellMar>
        <w:tblLook w:val="04A0" w:firstRow="1" w:lastRow="0" w:firstColumn="1" w:lastColumn="0" w:noHBand="0" w:noVBand="1"/>
      </w:tblPr>
      <w:tblGrid>
        <w:gridCol w:w="6941"/>
        <w:gridCol w:w="3686"/>
      </w:tblGrid>
      <w:tr w:rsidR="00D541AD" w14:paraId="52B54FD8" w14:textId="77777777" w:rsidTr="00D23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1" w:type="dxa"/>
            <w:tcBorders>
              <w:top w:val="single" w:sz="4" w:space="0" w:color="142855" w:themeColor="text2"/>
              <w:bottom w:val="single" w:sz="4" w:space="0" w:color="142855" w:themeColor="text2"/>
            </w:tcBorders>
            <w:shd w:val="clear" w:color="auto" w:fill="auto"/>
          </w:tcPr>
          <w:p w14:paraId="1B53FB78" w14:textId="6E827EBB" w:rsidR="00D541AD" w:rsidRPr="005619D4" w:rsidRDefault="00D541AD" w:rsidP="00571C16">
            <w:pPr>
              <w:rPr>
                <w:color w:val="002060"/>
              </w:rPr>
            </w:pPr>
            <w:r w:rsidRPr="005619D4">
              <w:rPr>
                <w:color w:val="002060"/>
              </w:rPr>
              <w:t>Study objectives</w:t>
            </w:r>
          </w:p>
        </w:tc>
        <w:tc>
          <w:tcPr>
            <w:tcW w:w="3686" w:type="dxa"/>
            <w:tcBorders>
              <w:top w:val="single" w:sz="4" w:space="0" w:color="142855" w:themeColor="text2"/>
              <w:bottom w:val="single" w:sz="4" w:space="0" w:color="142855" w:themeColor="text2"/>
            </w:tcBorders>
            <w:shd w:val="clear" w:color="auto" w:fill="auto"/>
          </w:tcPr>
          <w:p w14:paraId="7FE2E1E3" w14:textId="78BC0ED4" w:rsidR="00D541AD" w:rsidRPr="005619D4" w:rsidRDefault="00D541AD" w:rsidP="00571C16">
            <w:pPr>
              <w:cnfStyle w:val="100000000000" w:firstRow="1" w:lastRow="0" w:firstColumn="0" w:lastColumn="0" w:oddVBand="0" w:evenVBand="0" w:oddHBand="0" w:evenHBand="0" w:firstRowFirstColumn="0" w:firstRowLastColumn="0" w:lastRowFirstColumn="0" w:lastRowLastColumn="0"/>
              <w:rPr>
                <w:color w:val="002060"/>
              </w:rPr>
            </w:pPr>
            <w:r w:rsidRPr="005619D4">
              <w:rPr>
                <w:color w:val="002060"/>
              </w:rPr>
              <w:t>Chapter</w:t>
            </w:r>
          </w:p>
        </w:tc>
      </w:tr>
      <w:tr w:rsidR="4C93809B" w14:paraId="5548CB0B" w14:textId="77777777" w:rsidTr="00D23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29498D2B" w14:textId="4ABBDA13" w:rsidR="4C93809B" w:rsidRDefault="4C93809B">
            <w:pPr>
              <w:rPr>
                <w:b w:val="0"/>
                <w:bCs w:val="0"/>
              </w:rPr>
            </w:pPr>
            <w:r>
              <w:t>Contextualise the wider market conditions in which RAP was set up and wider role of the scheme within the UK angel and early-stage equity markets</w:t>
            </w:r>
          </w:p>
        </w:tc>
        <w:tc>
          <w:tcPr>
            <w:tcW w:w="3686" w:type="dxa"/>
            <w:tcBorders>
              <w:top w:val="single" w:sz="4" w:space="0" w:color="142855" w:themeColor="text2"/>
              <w:bottom w:val="single" w:sz="4" w:space="0" w:color="142855" w:themeColor="text2"/>
              <w:right w:val="none" w:sz="4" w:space="0" w:color="142855" w:themeColor="text2"/>
            </w:tcBorders>
          </w:tcPr>
          <w:p w14:paraId="378DC175" w14:textId="5D80DD0B" w:rsidR="4C93809B" w:rsidRDefault="4C93809B">
            <w:pPr>
              <w:cnfStyle w:val="000000100000" w:firstRow="0" w:lastRow="0" w:firstColumn="0" w:lastColumn="0" w:oddVBand="0" w:evenVBand="0" w:oddHBand="1" w:evenHBand="0" w:firstRowFirstColumn="0" w:firstRowLastColumn="0" w:lastRowFirstColumn="0" w:lastRowLastColumn="0"/>
            </w:pPr>
            <w:r>
              <w:t>Chapter 3 and Chapter 4</w:t>
            </w:r>
          </w:p>
        </w:tc>
      </w:tr>
      <w:tr w:rsidR="008C1586" w14:paraId="663EFD4C" w14:textId="77777777" w:rsidTr="00D23A63">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6DCA192F" w14:textId="3B54E741" w:rsidR="00025809" w:rsidRPr="00F170C8" w:rsidRDefault="00025809" w:rsidP="00025809">
            <w:pPr>
              <w:rPr>
                <w:b w:val="0"/>
              </w:rPr>
            </w:pPr>
            <w:r w:rsidRPr="005B35E5">
              <w:t xml:space="preserve">Assess the merits and disadvantages of the </w:t>
            </w:r>
            <w:r w:rsidR="00BA1784">
              <w:t xml:space="preserve">RAP </w:t>
            </w:r>
            <w:r w:rsidRPr="005B35E5">
              <w:t>model</w:t>
            </w:r>
          </w:p>
        </w:tc>
        <w:tc>
          <w:tcPr>
            <w:tcW w:w="3686" w:type="dxa"/>
            <w:tcBorders>
              <w:top w:val="single" w:sz="4" w:space="0" w:color="142855" w:themeColor="text2"/>
              <w:bottom w:val="single" w:sz="4" w:space="0" w:color="142855" w:themeColor="text2"/>
              <w:right w:val="none" w:sz="4" w:space="0" w:color="142855" w:themeColor="text2"/>
            </w:tcBorders>
          </w:tcPr>
          <w:p w14:paraId="7D3507FF" w14:textId="1EEAB8E6" w:rsidR="00025809" w:rsidRDefault="00025809" w:rsidP="00025809">
            <w:pPr>
              <w:cnfStyle w:val="000000000000" w:firstRow="0" w:lastRow="0" w:firstColumn="0" w:lastColumn="0" w:oddVBand="0" w:evenVBand="0" w:oddHBand="0" w:evenHBand="0" w:firstRowFirstColumn="0" w:firstRowLastColumn="0" w:lastRowFirstColumn="0" w:lastRowLastColumn="0"/>
            </w:pPr>
            <w:r>
              <w:t>Chapter 4</w:t>
            </w:r>
          </w:p>
        </w:tc>
      </w:tr>
      <w:tr w:rsidR="008C1586" w14:paraId="297E9060" w14:textId="77777777" w:rsidTr="00D2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4F606819" w14:textId="5406F4EC" w:rsidR="00D541AD" w:rsidRPr="00D8407C" w:rsidRDefault="00D541AD" w:rsidP="00D541AD">
            <w:pPr>
              <w:rPr>
                <w:b w:val="0"/>
                <w:bCs w:val="0"/>
              </w:rPr>
            </w:pPr>
            <w:r w:rsidRPr="006E1BB9">
              <w:t>Assess to what extent did scheme</w:t>
            </w:r>
            <w:r w:rsidRPr="006E1BB9">
              <w:rPr>
                <w:b w:val="0"/>
                <w:bCs w:val="0"/>
              </w:rPr>
              <w:t xml:space="preserve"> </w:t>
            </w:r>
            <w:r w:rsidRPr="006E1BB9">
              <w:t>setup meet objectives and</w:t>
            </w:r>
            <w:r w:rsidRPr="006E1BB9">
              <w:rPr>
                <w:b w:val="0"/>
                <w:bCs w:val="0"/>
              </w:rPr>
              <w:t xml:space="preserve"> </w:t>
            </w:r>
            <w:r w:rsidRPr="006E1BB9">
              <w:t xml:space="preserve">expectation, including cost, </w:t>
            </w:r>
            <w:proofErr w:type="gramStart"/>
            <w:r w:rsidRPr="006E1BB9">
              <w:t>time</w:t>
            </w:r>
            <w:proofErr w:type="gramEnd"/>
            <w:r w:rsidRPr="006E1BB9">
              <w:t xml:space="preserve"> and</w:t>
            </w:r>
            <w:r w:rsidRPr="006E1BB9">
              <w:rPr>
                <w:b w:val="0"/>
                <w:bCs w:val="0"/>
              </w:rPr>
              <w:t xml:space="preserve"> </w:t>
            </w:r>
            <w:r w:rsidRPr="006E1BB9">
              <w:t>governance</w:t>
            </w:r>
          </w:p>
        </w:tc>
        <w:tc>
          <w:tcPr>
            <w:tcW w:w="3686" w:type="dxa"/>
            <w:tcBorders>
              <w:top w:val="single" w:sz="4" w:space="0" w:color="142855" w:themeColor="text2"/>
              <w:bottom w:val="single" w:sz="4" w:space="0" w:color="142855" w:themeColor="text2"/>
              <w:right w:val="none" w:sz="4" w:space="0" w:color="142855" w:themeColor="text2"/>
            </w:tcBorders>
          </w:tcPr>
          <w:p w14:paraId="40867740" w14:textId="5638F4E0" w:rsidR="00D541AD" w:rsidRDefault="00D541AD" w:rsidP="00D541AD">
            <w:pPr>
              <w:cnfStyle w:val="000000100000" w:firstRow="0" w:lastRow="0" w:firstColumn="0" w:lastColumn="0" w:oddVBand="0" w:evenVBand="0" w:oddHBand="1" w:evenHBand="0" w:firstRowFirstColumn="0" w:firstRowLastColumn="0" w:lastRowFirstColumn="0" w:lastRowLastColumn="0"/>
            </w:pPr>
            <w:r>
              <w:t>Chapter 5, 6, 7</w:t>
            </w:r>
          </w:p>
        </w:tc>
      </w:tr>
      <w:tr w:rsidR="008C1586" w14:paraId="4EF9DB83" w14:textId="77777777" w:rsidTr="00D23A63">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5E1D8DB1" w14:textId="305B70EE" w:rsidR="00D541AD" w:rsidRPr="00D8407C" w:rsidRDefault="00D541AD" w:rsidP="00D541AD">
            <w:pPr>
              <w:rPr>
                <w:b w:val="0"/>
                <w:bCs w:val="0"/>
              </w:rPr>
            </w:pPr>
            <w:r w:rsidRPr="006E1BB9">
              <w:t>Examine the ‘customer journey’ and satisfaction with the scheme, including the application process and requirements</w:t>
            </w:r>
          </w:p>
        </w:tc>
        <w:tc>
          <w:tcPr>
            <w:tcW w:w="3686" w:type="dxa"/>
            <w:tcBorders>
              <w:top w:val="single" w:sz="4" w:space="0" w:color="142855" w:themeColor="text2"/>
              <w:bottom w:val="single" w:sz="4" w:space="0" w:color="142855" w:themeColor="text2"/>
              <w:right w:val="none" w:sz="4" w:space="0" w:color="142855" w:themeColor="text2"/>
            </w:tcBorders>
          </w:tcPr>
          <w:p w14:paraId="2ED1A07C" w14:textId="452024E9" w:rsidR="00D541AD" w:rsidRDefault="00D541AD" w:rsidP="00D541AD">
            <w:pPr>
              <w:cnfStyle w:val="000000000000" w:firstRow="0" w:lastRow="0" w:firstColumn="0" w:lastColumn="0" w:oddVBand="0" w:evenVBand="0" w:oddHBand="0" w:evenHBand="0" w:firstRowFirstColumn="0" w:firstRowLastColumn="0" w:lastRowFirstColumn="0" w:lastRowLastColumn="0"/>
            </w:pPr>
            <w:r>
              <w:t>Chapter 6</w:t>
            </w:r>
          </w:p>
        </w:tc>
      </w:tr>
      <w:tr w:rsidR="008C1586" w14:paraId="2198F7ED" w14:textId="77777777" w:rsidTr="00D2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0345E76E" w14:textId="139FADAD" w:rsidR="00D541AD" w:rsidRPr="00D8407C" w:rsidRDefault="00D541AD" w:rsidP="00D541AD">
            <w:pPr>
              <w:rPr>
                <w:b w:val="0"/>
                <w:bCs w:val="0"/>
              </w:rPr>
            </w:pPr>
            <w:r w:rsidRPr="006E1BB9">
              <w:t>Characterise recipient firms’ growth stage</w:t>
            </w:r>
            <w:r w:rsidRPr="00514AFF">
              <w:t>, products</w:t>
            </w:r>
            <w:r w:rsidRPr="006E1BB9">
              <w:t>, innovation</w:t>
            </w:r>
            <w:r w:rsidR="00514AFF">
              <w:t>,</w:t>
            </w:r>
            <w:r w:rsidRPr="006E1BB9">
              <w:t xml:space="preserve"> </w:t>
            </w:r>
            <w:r w:rsidRPr="00514AFF">
              <w:t>and exports</w:t>
            </w:r>
          </w:p>
        </w:tc>
        <w:tc>
          <w:tcPr>
            <w:tcW w:w="3686" w:type="dxa"/>
            <w:tcBorders>
              <w:top w:val="single" w:sz="4" w:space="0" w:color="142855" w:themeColor="text2"/>
              <w:bottom w:val="single" w:sz="4" w:space="0" w:color="142855" w:themeColor="text2"/>
              <w:right w:val="none" w:sz="4" w:space="0" w:color="142855" w:themeColor="text2"/>
            </w:tcBorders>
          </w:tcPr>
          <w:p w14:paraId="2BCC0D2D" w14:textId="7B6723DC" w:rsidR="00D541AD" w:rsidRDefault="00D541AD" w:rsidP="00D541AD">
            <w:pPr>
              <w:cnfStyle w:val="000000100000" w:firstRow="0" w:lastRow="0" w:firstColumn="0" w:lastColumn="0" w:oddVBand="0" w:evenVBand="0" w:oddHBand="1" w:evenHBand="0" w:firstRowFirstColumn="0" w:firstRowLastColumn="0" w:lastRowFirstColumn="0" w:lastRowLastColumn="0"/>
            </w:pPr>
            <w:r>
              <w:t>Chapter 7</w:t>
            </w:r>
          </w:p>
        </w:tc>
      </w:tr>
      <w:tr w:rsidR="008C1586" w14:paraId="58D713B1" w14:textId="77777777" w:rsidTr="00D23A63">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bottom w:val="single" w:sz="4" w:space="0" w:color="142855" w:themeColor="text2"/>
            </w:tcBorders>
          </w:tcPr>
          <w:p w14:paraId="137ADF2C" w14:textId="39B1354D" w:rsidR="00D541AD" w:rsidRPr="00D8407C" w:rsidRDefault="00D541AD" w:rsidP="00D541AD">
            <w:pPr>
              <w:rPr>
                <w:b w:val="0"/>
                <w:bCs w:val="0"/>
              </w:rPr>
            </w:pPr>
            <w:r w:rsidRPr="006E1BB9">
              <w:lastRenderedPageBreak/>
              <w:t>Assess emerging impacts of the funding on business performance</w:t>
            </w:r>
          </w:p>
        </w:tc>
        <w:tc>
          <w:tcPr>
            <w:tcW w:w="3686" w:type="dxa"/>
            <w:tcBorders>
              <w:top w:val="single" w:sz="4" w:space="0" w:color="142855" w:themeColor="text2"/>
              <w:bottom w:val="single" w:sz="4" w:space="0" w:color="142855" w:themeColor="text2"/>
            </w:tcBorders>
          </w:tcPr>
          <w:p w14:paraId="6BD04431" w14:textId="61B763A7" w:rsidR="00D541AD" w:rsidRDefault="0097488C" w:rsidP="00D541AD">
            <w:pPr>
              <w:cnfStyle w:val="000000000000" w:firstRow="0" w:lastRow="0" w:firstColumn="0" w:lastColumn="0" w:oddVBand="0" w:evenVBand="0" w:oddHBand="0" w:evenHBand="0" w:firstRowFirstColumn="0" w:firstRowLastColumn="0" w:lastRowFirstColumn="0" w:lastRowLastColumn="0"/>
            </w:pPr>
            <w:r>
              <w:t>Chapter 7</w:t>
            </w:r>
          </w:p>
        </w:tc>
      </w:tr>
      <w:tr w:rsidR="008C1586" w14:paraId="29CB030F" w14:textId="77777777" w:rsidTr="00D2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142855" w:themeColor="text2"/>
              <w:left w:val="none" w:sz="4" w:space="0" w:color="142855" w:themeColor="text2"/>
              <w:bottom w:val="single" w:sz="4" w:space="0" w:color="142855" w:themeColor="text2"/>
            </w:tcBorders>
          </w:tcPr>
          <w:p w14:paraId="1AAA9A94" w14:textId="5E568D95" w:rsidR="00D541AD" w:rsidRPr="00D8407C" w:rsidRDefault="00D541AD" w:rsidP="00D541AD">
            <w:pPr>
              <w:rPr>
                <w:b w:val="0"/>
                <w:bCs w:val="0"/>
              </w:rPr>
            </w:pPr>
            <w:r w:rsidRPr="006E1BB9">
              <w:t>Assess financial additionality, estimate deadweight and leverage</w:t>
            </w:r>
          </w:p>
        </w:tc>
        <w:tc>
          <w:tcPr>
            <w:tcW w:w="3686" w:type="dxa"/>
            <w:tcBorders>
              <w:top w:val="single" w:sz="4" w:space="0" w:color="142855" w:themeColor="text2"/>
              <w:bottom w:val="single" w:sz="4" w:space="0" w:color="142855" w:themeColor="text2"/>
              <w:right w:val="none" w:sz="4" w:space="0" w:color="142855" w:themeColor="text2"/>
            </w:tcBorders>
          </w:tcPr>
          <w:p w14:paraId="1DF8E800" w14:textId="0EB6446A" w:rsidR="00D541AD" w:rsidRDefault="0097488C" w:rsidP="00D541AD">
            <w:pPr>
              <w:cnfStyle w:val="000000100000" w:firstRow="0" w:lastRow="0" w:firstColumn="0" w:lastColumn="0" w:oddVBand="0" w:evenVBand="0" w:oddHBand="1" w:evenHBand="0" w:firstRowFirstColumn="0" w:firstRowLastColumn="0" w:lastRowFirstColumn="0" w:lastRowLastColumn="0"/>
            </w:pPr>
            <w:r>
              <w:t>Chapter 7</w:t>
            </w:r>
          </w:p>
        </w:tc>
      </w:tr>
    </w:tbl>
    <w:p w14:paraId="5D90C21F" w14:textId="77777777" w:rsidR="00D541AD" w:rsidRDefault="00D541AD" w:rsidP="00571C16"/>
    <w:p w14:paraId="5CD26600" w14:textId="77777777" w:rsidR="00442DA1" w:rsidRDefault="00442DA1" w:rsidP="00442DA1">
      <w:pPr>
        <w:pStyle w:val="Heading2"/>
      </w:pPr>
      <w:bookmarkStart w:id="42" w:name="_Toc144830546"/>
      <w:bookmarkStart w:id="43" w:name="_Toc165482210"/>
      <w:bookmarkStart w:id="44" w:name="_Toc165497173"/>
      <w:r w:rsidRPr="00C14B16">
        <w:t>3.</w:t>
      </w:r>
      <w:r>
        <w:t xml:space="preserve">2 </w:t>
      </w:r>
      <w:r w:rsidRPr="00AE749D">
        <w:t>The Regional Angel</w:t>
      </w:r>
      <w:r>
        <w:t>s</w:t>
      </w:r>
      <w:r w:rsidRPr="00AE749D">
        <w:t xml:space="preserve"> Programme </w:t>
      </w:r>
      <w:r>
        <w:t>objectives</w:t>
      </w:r>
      <w:bookmarkEnd w:id="42"/>
      <w:bookmarkEnd w:id="43"/>
      <w:bookmarkEnd w:id="44"/>
    </w:p>
    <w:p w14:paraId="0E9FF2A2" w14:textId="77777777" w:rsidR="00442DA1" w:rsidRPr="00D8407C" w:rsidRDefault="00442DA1" w:rsidP="00442DA1">
      <w:pPr>
        <w:rPr>
          <w:rFonts w:asciiTheme="majorHAnsi" w:hAnsiTheme="majorHAnsi" w:cstheme="majorHAnsi"/>
          <w:iCs/>
        </w:rPr>
      </w:pPr>
      <w:r>
        <w:rPr>
          <w:rFonts w:asciiTheme="majorHAnsi" w:hAnsiTheme="majorHAnsi" w:cstheme="majorHAnsi"/>
          <w:iCs/>
        </w:rPr>
        <w:t>RAP</w:t>
      </w:r>
      <w:r w:rsidRPr="00D8407C">
        <w:rPr>
          <w:rFonts w:asciiTheme="majorHAnsi" w:hAnsiTheme="majorHAnsi" w:cstheme="majorHAnsi"/>
          <w:iCs/>
        </w:rPr>
        <w:t xml:space="preserve"> aims to help reduce regional imbalances in access to </w:t>
      </w:r>
      <w:r>
        <w:rPr>
          <w:rFonts w:asciiTheme="majorHAnsi" w:hAnsiTheme="majorHAnsi" w:cstheme="majorHAnsi"/>
          <w:iCs/>
        </w:rPr>
        <w:t xml:space="preserve">early-stage </w:t>
      </w:r>
      <w:r w:rsidRPr="00D8407C">
        <w:rPr>
          <w:rFonts w:asciiTheme="majorHAnsi" w:hAnsiTheme="majorHAnsi" w:cstheme="majorHAnsi"/>
          <w:iCs/>
        </w:rPr>
        <w:t xml:space="preserve">equity finance for smaller businesses with high-growth potential across the UK. It also aims to raise the profile and professionalism of </w:t>
      </w:r>
      <w:r>
        <w:rPr>
          <w:rFonts w:asciiTheme="majorHAnsi" w:hAnsiTheme="majorHAnsi" w:cstheme="majorHAnsi"/>
          <w:iCs/>
        </w:rPr>
        <w:t>a</w:t>
      </w:r>
      <w:r w:rsidRPr="00D8407C">
        <w:rPr>
          <w:rFonts w:asciiTheme="majorHAnsi" w:hAnsiTheme="majorHAnsi" w:cstheme="majorHAnsi"/>
          <w:iCs/>
        </w:rPr>
        <w:t xml:space="preserve">ngel investment activity and to attract further third-party capital alongside business </w:t>
      </w:r>
      <w:r>
        <w:rPr>
          <w:rFonts w:asciiTheme="majorHAnsi" w:hAnsiTheme="majorHAnsi" w:cstheme="majorHAnsi"/>
          <w:iCs/>
        </w:rPr>
        <w:t>a</w:t>
      </w:r>
      <w:r w:rsidRPr="00D8407C">
        <w:rPr>
          <w:rFonts w:asciiTheme="majorHAnsi" w:hAnsiTheme="majorHAnsi" w:cstheme="majorHAnsi"/>
          <w:iCs/>
        </w:rPr>
        <w:t xml:space="preserve">ngels while generating a market rate of return. The Programme </w:t>
      </w:r>
      <w:r w:rsidRPr="00B55C0A">
        <w:rPr>
          <w:rFonts w:asciiTheme="majorHAnsi" w:hAnsiTheme="majorHAnsi" w:cstheme="majorHAnsi"/>
          <w:iCs/>
        </w:rPr>
        <w:t>has three core objectives.</w:t>
      </w:r>
      <w:r w:rsidRPr="00D8407C">
        <w:rPr>
          <w:rFonts w:asciiTheme="majorHAnsi" w:hAnsiTheme="majorHAnsi" w:cstheme="majorHAnsi"/>
          <w:iCs/>
        </w:rPr>
        <w:t xml:space="preserve"> </w:t>
      </w:r>
    </w:p>
    <w:p w14:paraId="292BE228" w14:textId="77777777" w:rsidR="00442DA1" w:rsidRPr="00D8407C" w:rsidRDefault="00442DA1" w:rsidP="00491364">
      <w:pPr>
        <w:pStyle w:val="ListParagraph"/>
        <w:numPr>
          <w:ilvl w:val="0"/>
          <w:numId w:val="25"/>
        </w:numPr>
        <w:spacing w:line="360" w:lineRule="auto"/>
        <w:rPr>
          <w:rFonts w:asciiTheme="majorHAnsi" w:hAnsiTheme="majorHAnsi" w:cstheme="majorHAnsi"/>
          <w:szCs w:val="24"/>
        </w:rPr>
      </w:pPr>
      <w:r w:rsidRPr="00D8407C">
        <w:rPr>
          <w:rFonts w:asciiTheme="majorHAnsi" w:hAnsiTheme="majorHAnsi" w:cstheme="majorHAnsi"/>
          <w:color w:val="000000"/>
          <w:sz w:val="24"/>
          <w:szCs w:val="24"/>
        </w:rPr>
        <w:t>To increase the aggregate amount of early-stage equity capital that is available to small businesses with high growth potential throughout the UK</w:t>
      </w:r>
      <w:r>
        <w:rPr>
          <w:rFonts w:asciiTheme="majorHAnsi" w:hAnsiTheme="majorHAnsi" w:cstheme="majorHAnsi"/>
          <w:color w:val="000000"/>
          <w:sz w:val="24"/>
          <w:szCs w:val="24"/>
        </w:rPr>
        <w:t>.</w:t>
      </w:r>
    </w:p>
    <w:p w14:paraId="138FDFF1" w14:textId="77777777" w:rsidR="00442DA1" w:rsidRPr="002A12AE" w:rsidRDefault="00442DA1" w:rsidP="00491364">
      <w:pPr>
        <w:pStyle w:val="ListParagraph"/>
        <w:numPr>
          <w:ilvl w:val="0"/>
          <w:numId w:val="25"/>
        </w:numPr>
        <w:spacing w:line="360" w:lineRule="auto"/>
      </w:pPr>
      <w:r w:rsidRPr="00D8407C">
        <w:rPr>
          <w:rFonts w:asciiTheme="majorHAnsi" w:hAnsiTheme="majorHAnsi" w:cstheme="majorHAnsi"/>
          <w:color w:val="000000"/>
          <w:sz w:val="24"/>
          <w:szCs w:val="24"/>
        </w:rPr>
        <w:t xml:space="preserve">To promote </w:t>
      </w:r>
      <w:r>
        <w:rPr>
          <w:rFonts w:asciiTheme="majorHAnsi" w:hAnsiTheme="majorHAnsi" w:cstheme="majorHAnsi"/>
          <w:color w:val="000000"/>
          <w:sz w:val="24"/>
          <w:szCs w:val="24"/>
        </w:rPr>
        <w:t>a</w:t>
      </w:r>
      <w:r w:rsidRPr="00D8407C">
        <w:rPr>
          <w:rFonts w:asciiTheme="majorHAnsi" w:hAnsiTheme="majorHAnsi" w:cstheme="majorHAnsi"/>
          <w:color w:val="000000"/>
          <w:sz w:val="24"/>
          <w:szCs w:val="24"/>
        </w:rPr>
        <w:t>ngel investing across the UK, particularly in areas that are currently underrepresented</w:t>
      </w:r>
      <w:r>
        <w:rPr>
          <w:rFonts w:asciiTheme="majorHAnsi" w:hAnsiTheme="majorHAnsi" w:cstheme="majorHAnsi"/>
          <w:color w:val="000000"/>
          <w:sz w:val="24"/>
          <w:szCs w:val="24"/>
        </w:rPr>
        <w:t>.</w:t>
      </w:r>
    </w:p>
    <w:p w14:paraId="118ED800" w14:textId="77777777" w:rsidR="00442DA1" w:rsidRPr="00D8407C" w:rsidRDefault="00442DA1" w:rsidP="00491364">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To g</w:t>
      </w:r>
      <w:r w:rsidRPr="00D8407C">
        <w:rPr>
          <w:rFonts w:asciiTheme="majorHAnsi" w:hAnsiTheme="majorHAnsi" w:cstheme="majorHAnsi"/>
          <w:sz w:val="24"/>
          <w:szCs w:val="24"/>
        </w:rPr>
        <w:t>enerate a market rate of return</w:t>
      </w:r>
      <w:r>
        <w:rPr>
          <w:rFonts w:asciiTheme="majorHAnsi" w:hAnsiTheme="majorHAnsi" w:cstheme="majorHAnsi"/>
          <w:sz w:val="24"/>
          <w:szCs w:val="24"/>
        </w:rPr>
        <w:t>.</w:t>
      </w:r>
    </w:p>
    <w:p w14:paraId="47F3F3D9" w14:textId="77777777" w:rsidR="00BC412E" w:rsidRDefault="00442DA1">
      <w:pPr>
        <w:pStyle w:val="Caption"/>
        <w:keepNext/>
        <w:sectPr w:rsidR="00BC412E" w:rsidSect="00ED2122">
          <w:headerReference w:type="even" r:id="rId25"/>
          <w:headerReference w:type="default" r:id="rId26"/>
          <w:headerReference w:type="first" r:id="rId27"/>
          <w:pgSz w:w="11906" w:h="16838"/>
          <w:pgMar w:top="720" w:right="720" w:bottom="720" w:left="720" w:header="624" w:footer="510" w:gutter="0"/>
          <w:cols w:space="708"/>
          <w:docGrid w:linePitch="360"/>
        </w:sectPr>
      </w:pPr>
      <w:r>
        <w:rPr>
          <w:rFonts w:asciiTheme="majorHAnsi" w:hAnsiTheme="majorHAnsi" w:cstheme="majorHAnsi"/>
        </w:rPr>
        <w:fldChar w:fldCharType="begin"/>
      </w:r>
      <w:r>
        <w:rPr>
          <w:rFonts w:asciiTheme="majorHAnsi" w:hAnsiTheme="majorHAnsi" w:cstheme="majorHAnsi"/>
        </w:rPr>
        <w:instrText xml:space="preserve"> REF _Ref136338258 \h </w:instrText>
      </w:r>
      <w:r>
        <w:rPr>
          <w:rFonts w:asciiTheme="majorHAnsi" w:hAnsiTheme="majorHAnsi" w:cstheme="majorHAnsi"/>
        </w:rPr>
      </w:r>
      <w:r>
        <w:rPr>
          <w:rFonts w:asciiTheme="majorHAnsi" w:hAnsiTheme="majorHAnsi" w:cstheme="majorHAnsi"/>
        </w:rPr>
        <w:fldChar w:fldCharType="separate"/>
      </w:r>
    </w:p>
    <w:p w14:paraId="30013B5D" w14:textId="5FE51CB0" w:rsidR="00442DA1" w:rsidRPr="00D8407C" w:rsidRDefault="00BC412E" w:rsidP="00442DA1">
      <w:pPr>
        <w:rPr>
          <w:rFonts w:asciiTheme="majorHAnsi" w:hAnsiTheme="majorHAnsi" w:cstheme="majorHAnsi"/>
        </w:rPr>
      </w:pPr>
      <w:r>
        <w:lastRenderedPageBreak/>
        <w:t xml:space="preserve">Figure </w:t>
      </w:r>
      <w:r>
        <w:rPr>
          <w:noProof/>
        </w:rPr>
        <w:t>1</w:t>
      </w:r>
      <w:r w:rsidR="00442DA1">
        <w:rPr>
          <w:rFonts w:asciiTheme="majorHAnsi" w:hAnsiTheme="majorHAnsi" w:cstheme="majorHAnsi"/>
        </w:rPr>
        <w:fldChar w:fldCharType="end"/>
      </w:r>
      <w:r w:rsidR="7B3E175E">
        <w:rPr>
          <w:rFonts w:asciiTheme="majorHAnsi" w:hAnsiTheme="majorHAnsi" w:cstheme="majorHAnsi"/>
        </w:rPr>
        <w:t xml:space="preserve"> </w:t>
      </w:r>
      <w:r w:rsidR="7B3E175E" w:rsidRPr="00D8407C">
        <w:rPr>
          <w:rFonts w:asciiTheme="majorHAnsi" w:hAnsiTheme="majorHAnsi" w:cstheme="majorHAnsi"/>
        </w:rPr>
        <w:t>sets out the Programme Theory of Change</w:t>
      </w:r>
      <w:r w:rsidR="7B3E175E">
        <w:rPr>
          <w:rFonts w:asciiTheme="majorHAnsi" w:hAnsiTheme="majorHAnsi" w:cstheme="majorHAnsi"/>
        </w:rPr>
        <w:t xml:space="preserve"> (</w:t>
      </w:r>
      <w:proofErr w:type="spellStart"/>
      <w:r w:rsidR="7B3E175E">
        <w:rPr>
          <w:rFonts w:asciiTheme="majorHAnsi" w:hAnsiTheme="majorHAnsi" w:cstheme="majorHAnsi"/>
        </w:rPr>
        <w:t>ToC</w:t>
      </w:r>
      <w:proofErr w:type="spellEnd"/>
      <w:r w:rsidR="7B3E175E">
        <w:rPr>
          <w:rFonts w:asciiTheme="majorHAnsi" w:hAnsiTheme="majorHAnsi" w:cstheme="majorHAnsi"/>
        </w:rPr>
        <w:t>)</w:t>
      </w:r>
      <w:r w:rsidR="7B3E175E" w:rsidRPr="00D8407C">
        <w:rPr>
          <w:rFonts w:asciiTheme="majorHAnsi" w:hAnsiTheme="majorHAnsi" w:cstheme="majorHAnsi"/>
        </w:rPr>
        <w:t xml:space="preserve"> and Key </w:t>
      </w:r>
      <w:r w:rsidR="7B3E175E">
        <w:rPr>
          <w:rFonts w:asciiTheme="majorHAnsi" w:hAnsiTheme="majorHAnsi" w:cstheme="majorHAnsi"/>
        </w:rPr>
        <w:t>P</w:t>
      </w:r>
      <w:r w:rsidR="7B3E175E" w:rsidRPr="00D8407C">
        <w:rPr>
          <w:rFonts w:asciiTheme="majorHAnsi" w:hAnsiTheme="majorHAnsi" w:cstheme="majorHAnsi"/>
        </w:rPr>
        <w:t>erformance Indicators</w:t>
      </w:r>
      <w:r w:rsidR="7B3E175E">
        <w:rPr>
          <w:rFonts w:asciiTheme="majorHAnsi" w:hAnsiTheme="majorHAnsi" w:cstheme="majorHAnsi"/>
        </w:rPr>
        <w:t xml:space="preserve"> (KPIs)</w:t>
      </w:r>
      <w:r w:rsidR="7B3E175E" w:rsidRPr="00D8407C">
        <w:rPr>
          <w:rFonts w:asciiTheme="majorHAnsi" w:hAnsiTheme="majorHAnsi" w:cstheme="majorHAnsi"/>
        </w:rPr>
        <w:t>. These are</w:t>
      </w:r>
      <w:r w:rsidR="00442DA1" w:rsidRPr="00D8407C">
        <w:rPr>
          <w:rStyle w:val="FootnoteReference"/>
          <w:rFonts w:asciiTheme="majorHAnsi" w:hAnsiTheme="majorHAnsi" w:cstheme="majorHAnsi"/>
        </w:rPr>
        <w:footnoteReference w:id="15"/>
      </w:r>
      <w:r w:rsidR="7B3E175E" w:rsidRPr="00D8407C">
        <w:rPr>
          <w:rFonts w:asciiTheme="majorHAnsi" w:hAnsiTheme="majorHAnsi" w:cstheme="majorHAnsi"/>
        </w:rPr>
        <w:t>:</w:t>
      </w:r>
    </w:p>
    <w:p w14:paraId="3A4F1D93" w14:textId="77777777" w:rsidR="00442DA1" w:rsidRPr="00D8407C" w:rsidRDefault="00442DA1" w:rsidP="00491364">
      <w:pPr>
        <w:pStyle w:val="ListParagraph"/>
        <w:numPr>
          <w:ilvl w:val="0"/>
          <w:numId w:val="26"/>
        </w:numPr>
        <w:spacing w:line="360" w:lineRule="auto"/>
        <w:rPr>
          <w:rFonts w:asciiTheme="majorHAnsi" w:hAnsiTheme="majorHAnsi" w:cstheme="majorHAnsi"/>
          <w:sz w:val="24"/>
          <w:szCs w:val="24"/>
        </w:rPr>
      </w:pPr>
      <w:r w:rsidRPr="00D8407C">
        <w:rPr>
          <w:rFonts w:asciiTheme="majorHAnsi" w:hAnsiTheme="majorHAnsi" w:cstheme="majorHAnsi"/>
          <w:sz w:val="24"/>
          <w:szCs w:val="24"/>
        </w:rPr>
        <w:t xml:space="preserve">Early-stage firms in underrepresented regions access financing through RAP </w:t>
      </w:r>
      <w:r>
        <w:rPr>
          <w:rFonts w:asciiTheme="majorHAnsi" w:hAnsiTheme="majorHAnsi" w:cstheme="majorHAnsi"/>
          <w:sz w:val="24"/>
          <w:szCs w:val="24"/>
        </w:rPr>
        <w:t>P</w:t>
      </w:r>
      <w:r w:rsidRPr="00D8407C">
        <w:rPr>
          <w:rFonts w:asciiTheme="majorHAnsi" w:hAnsiTheme="majorHAnsi" w:cstheme="majorHAnsi"/>
          <w:sz w:val="24"/>
          <w:szCs w:val="24"/>
        </w:rPr>
        <w:t>artners. The realisation of this is a precondition for reaching objectives 1 and 2 referenced above.</w:t>
      </w:r>
    </w:p>
    <w:p w14:paraId="082E727D" w14:textId="77777777" w:rsidR="00442DA1" w:rsidRPr="00D8407C" w:rsidRDefault="00442DA1" w:rsidP="00491364">
      <w:pPr>
        <w:pStyle w:val="ListParagraph"/>
        <w:numPr>
          <w:ilvl w:val="0"/>
          <w:numId w:val="26"/>
        </w:numPr>
        <w:spacing w:line="360" w:lineRule="auto"/>
        <w:rPr>
          <w:rFonts w:asciiTheme="majorHAnsi" w:hAnsiTheme="majorHAnsi" w:cstheme="majorHAnsi"/>
          <w:sz w:val="24"/>
          <w:szCs w:val="24"/>
        </w:rPr>
      </w:pPr>
      <w:r w:rsidRPr="00D8407C">
        <w:rPr>
          <w:rFonts w:asciiTheme="majorHAnsi" w:hAnsiTheme="majorHAnsi" w:cstheme="majorHAnsi"/>
          <w:sz w:val="24"/>
          <w:szCs w:val="24"/>
        </w:rPr>
        <w:t xml:space="preserve">Businesses are less likely to fail as they </w:t>
      </w:r>
      <w:proofErr w:type="gramStart"/>
      <w:r w:rsidRPr="00D8407C">
        <w:rPr>
          <w:rFonts w:asciiTheme="majorHAnsi" w:hAnsiTheme="majorHAnsi" w:cstheme="majorHAnsi"/>
          <w:sz w:val="24"/>
          <w:szCs w:val="24"/>
        </w:rPr>
        <w:t>are able to</w:t>
      </w:r>
      <w:proofErr w:type="gramEnd"/>
      <w:r w:rsidRPr="00D8407C">
        <w:rPr>
          <w:rFonts w:asciiTheme="majorHAnsi" w:hAnsiTheme="majorHAnsi" w:cstheme="majorHAnsi"/>
          <w:sz w:val="24"/>
          <w:szCs w:val="24"/>
        </w:rPr>
        <w:t xml:space="preserve"> meet working capital commitments. The realisation of this is the expected outcome from reaching objectives 1 and 2.</w:t>
      </w:r>
    </w:p>
    <w:p w14:paraId="11291178" w14:textId="220EBDE0" w:rsidR="00C91774" w:rsidRPr="00D8407C" w:rsidRDefault="00442DA1" w:rsidP="00491364">
      <w:pPr>
        <w:pStyle w:val="ListParagraph"/>
        <w:numPr>
          <w:ilvl w:val="0"/>
          <w:numId w:val="26"/>
        </w:numPr>
        <w:spacing w:line="360" w:lineRule="auto"/>
        <w:rPr>
          <w:rFonts w:asciiTheme="majorHAnsi" w:hAnsiTheme="majorHAnsi" w:cstheme="majorHAnsi"/>
          <w:sz w:val="24"/>
          <w:szCs w:val="24"/>
        </w:rPr>
      </w:pPr>
      <w:r w:rsidRPr="00D8407C">
        <w:rPr>
          <w:rFonts w:asciiTheme="majorHAnsi" w:hAnsiTheme="majorHAnsi" w:cstheme="majorHAnsi"/>
          <w:sz w:val="24"/>
          <w:szCs w:val="24"/>
        </w:rPr>
        <w:t xml:space="preserve">Generate a market rate of return for </w:t>
      </w:r>
      <w:r>
        <w:rPr>
          <w:rFonts w:asciiTheme="majorHAnsi" w:hAnsiTheme="majorHAnsi" w:cstheme="majorHAnsi"/>
          <w:sz w:val="24"/>
          <w:szCs w:val="24"/>
        </w:rPr>
        <w:t>British Business Investments</w:t>
      </w:r>
      <w:r w:rsidRPr="00D8407C">
        <w:rPr>
          <w:rFonts w:asciiTheme="majorHAnsi" w:hAnsiTheme="majorHAnsi" w:cstheme="majorHAnsi"/>
          <w:sz w:val="24"/>
          <w:szCs w:val="24"/>
        </w:rPr>
        <w:t>/</w:t>
      </w:r>
      <w:r>
        <w:rPr>
          <w:rFonts w:asciiTheme="majorHAnsi" w:hAnsiTheme="majorHAnsi" w:cstheme="majorHAnsi"/>
          <w:sz w:val="24"/>
          <w:szCs w:val="24"/>
        </w:rPr>
        <w:t>British Business Bank</w:t>
      </w:r>
      <w:r w:rsidRPr="00D8407C">
        <w:rPr>
          <w:rFonts w:asciiTheme="majorHAnsi" w:hAnsiTheme="majorHAnsi" w:cstheme="majorHAnsi"/>
          <w:sz w:val="24"/>
          <w:szCs w:val="24"/>
        </w:rPr>
        <w:t xml:space="preserve"> and </w:t>
      </w:r>
      <w:r>
        <w:rPr>
          <w:rFonts w:asciiTheme="majorHAnsi" w:hAnsiTheme="majorHAnsi" w:cstheme="majorHAnsi"/>
          <w:sz w:val="24"/>
          <w:szCs w:val="24"/>
        </w:rPr>
        <w:t>c</w:t>
      </w:r>
      <w:r w:rsidRPr="00D8407C">
        <w:rPr>
          <w:rFonts w:asciiTheme="majorHAnsi" w:hAnsiTheme="majorHAnsi" w:cstheme="majorHAnsi"/>
          <w:sz w:val="24"/>
          <w:szCs w:val="24"/>
        </w:rPr>
        <w:t xml:space="preserve">osts of the </w:t>
      </w:r>
      <w:r>
        <w:rPr>
          <w:rFonts w:asciiTheme="majorHAnsi" w:hAnsiTheme="majorHAnsi" w:cstheme="majorHAnsi"/>
          <w:sz w:val="24"/>
          <w:szCs w:val="24"/>
        </w:rPr>
        <w:t>P</w:t>
      </w:r>
      <w:r w:rsidRPr="00D8407C">
        <w:rPr>
          <w:rFonts w:asciiTheme="majorHAnsi" w:hAnsiTheme="majorHAnsi" w:cstheme="majorHAnsi"/>
          <w:sz w:val="24"/>
          <w:szCs w:val="24"/>
        </w:rPr>
        <w:t xml:space="preserve">rogramme are outweighed by returns from GVA, employment, </w:t>
      </w:r>
      <w:r w:rsidRPr="00BE13EB">
        <w:rPr>
          <w:rFonts w:asciiTheme="majorHAnsi" w:hAnsiTheme="majorHAnsi" w:cstheme="majorHAnsi"/>
          <w:sz w:val="24"/>
          <w:szCs w:val="24"/>
        </w:rPr>
        <w:t>production,</w:t>
      </w:r>
      <w:r w:rsidRPr="00D8407C">
        <w:rPr>
          <w:rFonts w:asciiTheme="majorHAnsi" w:hAnsiTheme="majorHAnsi" w:cstheme="majorHAnsi"/>
          <w:sz w:val="24"/>
          <w:szCs w:val="24"/>
        </w:rPr>
        <w:t xml:space="preserve"> and profitability. These measures align with objective 3</w:t>
      </w:r>
      <w:r w:rsidR="00F837F7" w:rsidRPr="00D8407C">
        <w:rPr>
          <w:rFonts w:asciiTheme="majorHAnsi" w:hAnsiTheme="majorHAnsi" w:cstheme="majorHAnsi"/>
          <w:sz w:val="24"/>
          <w:szCs w:val="24"/>
        </w:rPr>
        <w:t xml:space="preserve">. </w:t>
      </w:r>
    </w:p>
    <w:p w14:paraId="6D2ED1FF" w14:textId="77777777" w:rsidR="00EC11FB" w:rsidRDefault="00EC11FB">
      <w:pPr>
        <w:pStyle w:val="Caption"/>
        <w:keepNext/>
        <w:sectPr w:rsidR="00EC11FB" w:rsidSect="00ED2122">
          <w:headerReference w:type="even" r:id="rId28"/>
          <w:headerReference w:type="default" r:id="rId29"/>
          <w:headerReference w:type="first" r:id="rId30"/>
          <w:pgSz w:w="11906" w:h="16838"/>
          <w:pgMar w:top="720" w:right="720" w:bottom="720" w:left="720" w:header="624" w:footer="510" w:gutter="0"/>
          <w:cols w:space="708"/>
          <w:docGrid w:linePitch="360"/>
        </w:sectPr>
      </w:pPr>
      <w:bookmarkStart w:id="45" w:name="_Ref136338258"/>
    </w:p>
    <w:p w14:paraId="60033D01" w14:textId="3B614911" w:rsidR="00BF746D" w:rsidRDefault="009F0EB6" w:rsidP="00696201">
      <w:bookmarkStart w:id="46" w:name="_Ref145071479"/>
      <w:commentRangeStart w:id="47"/>
      <w:commentRangeStart w:id="48"/>
      <w:commentRangeStart w:id="49"/>
      <w:commentRangeEnd w:id="47"/>
      <w:commentRangeEnd w:id="48"/>
      <w:commentRangeEnd w:id="49"/>
      <w:r>
        <w:rPr>
          <w:rStyle w:val="CommentReference"/>
        </w:rPr>
        <w:lastRenderedPageBreak/>
        <w:commentReference w:id="47"/>
      </w:r>
      <w:r w:rsidR="00696201">
        <w:rPr>
          <w:rStyle w:val="CommentReference"/>
        </w:rPr>
        <w:commentReference w:id="48"/>
      </w:r>
      <w:r w:rsidR="00B06FEC">
        <w:rPr>
          <w:rStyle w:val="CommentReference"/>
        </w:rPr>
        <w:commentReference w:id="49"/>
      </w:r>
      <w:r w:rsidR="00EC5B72">
        <w:t xml:space="preserve">Figure </w:t>
      </w:r>
      <w:r w:rsidR="00EC5B72">
        <w:fldChar w:fldCharType="begin"/>
      </w:r>
      <w:r w:rsidR="00EC5B72">
        <w:instrText>SEQ Figure \* ARABIC</w:instrText>
      </w:r>
      <w:r w:rsidR="00EC5B72">
        <w:fldChar w:fldCharType="separate"/>
      </w:r>
      <w:r w:rsidR="00BC412E">
        <w:rPr>
          <w:noProof/>
        </w:rPr>
        <w:t>1</w:t>
      </w:r>
      <w:r w:rsidR="00EC5B72">
        <w:fldChar w:fldCharType="end"/>
      </w:r>
      <w:bookmarkEnd w:id="45"/>
      <w:bookmarkEnd w:id="46"/>
      <w:r w:rsidR="00CF05F6">
        <w:t>:</w:t>
      </w:r>
      <w:r w:rsidR="00EC5B72">
        <w:t xml:space="preserve"> </w:t>
      </w:r>
      <w:r w:rsidR="00BA1784">
        <w:t>RAP</w:t>
      </w:r>
      <w:r w:rsidR="00EC5B72">
        <w:t xml:space="preserve"> Logic </w:t>
      </w:r>
      <w:r w:rsidR="00BA1784">
        <w:t>M</w:t>
      </w:r>
      <w:r w:rsidR="00EC5B72">
        <w:t>odel and Theory of Change</w:t>
      </w:r>
      <w:r w:rsidR="007A621B">
        <w:rPr>
          <w:noProof/>
        </w:rPr>
        <w:drawing>
          <wp:inline distT="0" distB="0" distL="0" distR="0" wp14:anchorId="377AD3CC" wp14:editId="5EA667E4">
            <wp:extent cx="9977120" cy="5819775"/>
            <wp:effectExtent l="0" t="0" r="0" b="0"/>
            <wp:docPr id="190830881" name="Picture 1" descr="Figure 1 illustrates the Theory of Change and Key Performance Indicators for the Regional Angels Programme. It shows how the programme addresses market failures like high risk, informational asymmetries, and underdeveloped investment ecosystems to achieve its objectives. The figure outlines the pathway from initial inputs, such as BBB's investment, through to short- and long-term outcomes including increased funding availability and angel investment in underrepresented regions. Ultimately, the figure aims to visualise how the programme will fulfil its core objectives of enhancing early-stage equity capital, promoting angel investing in underrepresented areas, and generating market-rate retur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81" name="Picture 1" descr="Figure 1 illustrates the Theory of Change and Key Performance Indicators for the Regional Angels Programme. It shows how the programme addresses market failures like high risk, informational asymmetries, and underdeveloped investment ecosystems to achieve its objectives. The figure outlines the pathway from initial inputs, such as BBB's investment, through to short- and long-term outcomes including increased funding availability and angel investment in underrepresented regions. Ultimately, the figure aims to visualise how the programme will fulfil its core objectives of enhancing early-stage equity capital, promoting angel investing in underrepresented areas, and generating market-rate returns.&#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7120" cy="5819775"/>
                    </a:xfrm>
                    <a:prstGeom prst="rect">
                      <a:avLst/>
                    </a:prstGeom>
                    <a:noFill/>
                  </pic:spPr>
                </pic:pic>
              </a:graphicData>
            </a:graphic>
          </wp:inline>
        </w:drawing>
      </w:r>
    </w:p>
    <w:p w14:paraId="383B214B" w14:textId="13CF4503" w:rsidR="00B9513C" w:rsidRDefault="00B9513C" w:rsidP="00696201">
      <w:pPr>
        <w:sectPr w:rsidR="00B9513C" w:rsidSect="00ED2122">
          <w:pgSz w:w="16838" w:h="11906" w:orient="landscape" w:code="9"/>
          <w:pgMar w:top="720" w:right="720" w:bottom="720" w:left="720" w:header="624" w:footer="510" w:gutter="0"/>
          <w:cols w:space="708"/>
          <w:docGrid w:linePitch="360"/>
        </w:sectPr>
      </w:pPr>
    </w:p>
    <w:p w14:paraId="5A0A9C94" w14:textId="77777777" w:rsidR="00442DA1" w:rsidRDefault="00442DA1" w:rsidP="00442DA1">
      <w:pPr>
        <w:pStyle w:val="Heading2"/>
      </w:pPr>
      <w:bookmarkStart w:id="50" w:name="_Toc144830547"/>
      <w:bookmarkStart w:id="51" w:name="_Toc165482211"/>
      <w:bookmarkStart w:id="52" w:name="_Toc165497174"/>
      <w:r>
        <w:lastRenderedPageBreak/>
        <w:t>3.3 M</w:t>
      </w:r>
      <w:r w:rsidRPr="002B03AE">
        <w:t xml:space="preserve">arket </w:t>
      </w:r>
      <w:r>
        <w:t>c</w:t>
      </w:r>
      <w:r w:rsidRPr="002B03AE">
        <w:t xml:space="preserve">onditions </w:t>
      </w:r>
      <w:r>
        <w:t xml:space="preserve">under which RAP was </w:t>
      </w:r>
      <w:proofErr w:type="gramStart"/>
      <w:r>
        <w:t>launched</w:t>
      </w:r>
      <w:bookmarkEnd w:id="50"/>
      <w:bookmarkEnd w:id="51"/>
      <w:bookmarkEnd w:id="52"/>
      <w:proofErr w:type="gramEnd"/>
    </w:p>
    <w:p w14:paraId="6425C3F0" w14:textId="77777777" w:rsidR="00442DA1" w:rsidRDefault="7B3E175E" w:rsidP="00442DA1">
      <w:pPr>
        <w:rPr>
          <w:rFonts w:cs="Arial"/>
          <w:bCs/>
        </w:rPr>
      </w:pPr>
      <w:r w:rsidRPr="00C57218">
        <w:rPr>
          <w:rFonts w:cs="Arial"/>
          <w:bCs/>
        </w:rPr>
        <w:t>In 20</w:t>
      </w:r>
      <w:r w:rsidRPr="00D8407C">
        <w:rPr>
          <w:rFonts w:cs="Arial"/>
          <w:bCs/>
        </w:rPr>
        <w:t>17/18</w:t>
      </w:r>
      <w:r w:rsidRPr="00C57218">
        <w:rPr>
          <w:rFonts w:cs="Arial"/>
          <w:bCs/>
        </w:rPr>
        <w:t xml:space="preserve"> the</w:t>
      </w:r>
      <w:r w:rsidRPr="00D8407C">
        <w:rPr>
          <w:rFonts w:cs="Arial"/>
          <w:bCs/>
        </w:rPr>
        <w:t xml:space="preserve"> UK investment</w:t>
      </w:r>
      <w:r w:rsidRPr="00C57218">
        <w:rPr>
          <w:rFonts w:cs="Arial"/>
          <w:bCs/>
        </w:rPr>
        <w:t xml:space="preserve"> </w:t>
      </w:r>
      <w:r w:rsidRPr="00D8407C">
        <w:rPr>
          <w:rFonts w:cs="Arial"/>
          <w:bCs/>
        </w:rPr>
        <w:t>market conditions</w:t>
      </w:r>
      <w:r w:rsidRPr="00C57218">
        <w:rPr>
          <w:rFonts w:cs="Arial"/>
          <w:bCs/>
        </w:rPr>
        <w:t xml:space="preserve"> w</w:t>
      </w:r>
      <w:r w:rsidRPr="00D8407C">
        <w:rPr>
          <w:rFonts w:cs="Arial"/>
          <w:bCs/>
        </w:rPr>
        <w:t>ere</w:t>
      </w:r>
      <w:r w:rsidRPr="00C57218">
        <w:rPr>
          <w:rFonts w:cs="Arial"/>
          <w:bCs/>
        </w:rPr>
        <w:t xml:space="preserve"> characterised by volat</w:t>
      </w:r>
      <w:r>
        <w:rPr>
          <w:rFonts w:cs="Arial"/>
          <w:bCs/>
        </w:rPr>
        <w:t xml:space="preserve">ility driven by uncertainty surrounding the EU-Exit negotiation outcomes following the UK’s historic vote to leave the European Union in July 2016. </w:t>
      </w:r>
      <w:hyperlink r:id="rId36" w:history="1">
        <w:r w:rsidRPr="009D7CDE">
          <w:rPr>
            <w:rStyle w:val="Hyperlink"/>
            <w:rFonts w:cs="Arial"/>
            <w:bCs/>
          </w:rPr>
          <w:t>The 2018 UK Business Angels market report</w:t>
        </w:r>
      </w:hyperlink>
      <w:r>
        <w:rPr>
          <w:rFonts w:cs="Arial"/>
          <w:bCs/>
        </w:rPr>
        <w:t xml:space="preserve"> highlights EU-Exit as a key challenge for business angels, more so for those based outside London and the </w:t>
      </w:r>
      <w:proofErr w:type="gramStart"/>
      <w:r>
        <w:rPr>
          <w:rFonts w:cs="Arial"/>
          <w:bCs/>
        </w:rPr>
        <w:t>South East</w:t>
      </w:r>
      <w:proofErr w:type="gramEnd"/>
      <w:r w:rsidR="00442DA1">
        <w:rPr>
          <w:rStyle w:val="FootnoteReference"/>
          <w:rFonts w:cs="Arial"/>
          <w:bCs/>
        </w:rPr>
        <w:footnoteReference w:id="16"/>
      </w:r>
      <w:r>
        <w:rPr>
          <w:rFonts w:cs="Arial"/>
          <w:bCs/>
        </w:rPr>
        <w:t>. The other a main challenge was also identifying good investment opportunities and raising sufficient capital for investment.</w:t>
      </w:r>
    </w:p>
    <w:p w14:paraId="17DAB6CA" w14:textId="77777777" w:rsidR="00442DA1" w:rsidRDefault="00442DA1" w:rsidP="00442DA1">
      <w:pPr>
        <w:rPr>
          <w:rFonts w:cs="Arial"/>
          <w:bCs/>
        </w:rPr>
      </w:pPr>
      <w:r>
        <w:rPr>
          <w:rFonts w:cs="Arial"/>
          <w:bCs/>
        </w:rPr>
        <w:t>More recently, the Covid-19 pandemic which saw</w:t>
      </w:r>
      <w:r w:rsidRPr="005A657B">
        <w:rPr>
          <w:rFonts w:cs="Arial"/>
          <w:bCs/>
        </w:rPr>
        <w:t xml:space="preserve"> three UK lockdown periods</w:t>
      </w:r>
      <w:r>
        <w:rPr>
          <w:rFonts w:cs="Arial"/>
          <w:bCs/>
        </w:rPr>
        <w:t xml:space="preserve"> (during 2020/21),</w:t>
      </w:r>
      <w:r w:rsidRPr="005A657B">
        <w:rPr>
          <w:rFonts w:cs="Arial"/>
          <w:bCs/>
        </w:rPr>
        <w:t xml:space="preserve"> hinder</w:t>
      </w:r>
      <w:r>
        <w:rPr>
          <w:rFonts w:cs="Arial"/>
          <w:bCs/>
        </w:rPr>
        <w:t>ed</w:t>
      </w:r>
      <w:r w:rsidRPr="005A657B">
        <w:rPr>
          <w:rFonts w:cs="Arial"/>
          <w:bCs/>
        </w:rPr>
        <w:t xml:space="preserve"> economic growth</w:t>
      </w:r>
      <w:r>
        <w:rPr>
          <w:rFonts w:cs="Arial"/>
          <w:bCs/>
        </w:rPr>
        <w:t>.</w:t>
      </w:r>
      <w:r w:rsidRPr="005A657B">
        <w:rPr>
          <w:rFonts w:cs="Arial"/>
          <w:bCs/>
        </w:rPr>
        <w:t xml:space="preserve"> </w:t>
      </w:r>
      <w:r>
        <w:rPr>
          <w:rFonts w:cs="Arial"/>
          <w:bCs/>
        </w:rPr>
        <w:t>I</w:t>
      </w:r>
      <w:r w:rsidRPr="005A657B">
        <w:rPr>
          <w:rFonts w:cs="Arial"/>
          <w:bCs/>
        </w:rPr>
        <w:t>nvestors were cautious and reluctant to supply equity to the market</w:t>
      </w:r>
      <w:r>
        <w:rPr>
          <w:rFonts w:cs="Arial"/>
          <w:bCs/>
        </w:rPr>
        <w:t>s, which would have exacerbated the shortage of equity finance, especially to underrepresented regions across the UK</w:t>
      </w:r>
      <w:r w:rsidRPr="005A657B">
        <w:rPr>
          <w:rFonts w:cs="Arial"/>
          <w:bCs/>
        </w:rPr>
        <w:t xml:space="preserve">. </w:t>
      </w:r>
      <w:r>
        <w:rPr>
          <w:rFonts w:cs="Arial"/>
          <w:bCs/>
        </w:rPr>
        <w:t>T</w:t>
      </w:r>
      <w:r w:rsidRPr="005A657B">
        <w:rPr>
          <w:rFonts w:cs="Arial"/>
          <w:bCs/>
        </w:rPr>
        <w:t>he Government</w:t>
      </w:r>
      <w:r>
        <w:rPr>
          <w:rFonts w:cs="Arial"/>
          <w:bCs/>
        </w:rPr>
        <w:t xml:space="preserve"> did however</w:t>
      </w:r>
      <w:r w:rsidRPr="005A657B">
        <w:rPr>
          <w:rFonts w:cs="Arial"/>
          <w:bCs/>
        </w:rPr>
        <w:t xml:space="preserve"> launch several Covid-19 support schemes</w:t>
      </w:r>
      <w:r>
        <w:rPr>
          <w:rFonts w:cs="Arial"/>
          <w:bCs/>
        </w:rPr>
        <w:t xml:space="preserve"> (Future Fund, CBILs, BBLs, Furlough, etc.) which would have eased the pressure on early-stage firms, especially across the regions, which in a business-as-usual scenario would have found equity investment markets relatively thin compared to those based in London and the </w:t>
      </w:r>
      <w:proofErr w:type="gramStart"/>
      <w:r>
        <w:rPr>
          <w:rFonts w:cs="Arial"/>
          <w:bCs/>
        </w:rPr>
        <w:t>South East</w:t>
      </w:r>
      <w:proofErr w:type="gramEnd"/>
      <w:r w:rsidRPr="005A657B">
        <w:rPr>
          <w:rFonts w:cs="Arial"/>
          <w:bCs/>
        </w:rPr>
        <w:t>.</w:t>
      </w:r>
    </w:p>
    <w:p w14:paraId="3CA32CBD" w14:textId="77777777" w:rsidR="00442DA1" w:rsidRDefault="00442DA1" w:rsidP="00442DA1">
      <w:pPr>
        <w:rPr>
          <w:rFonts w:cs="Arial"/>
        </w:rPr>
      </w:pPr>
      <w:r>
        <w:rPr>
          <w:rFonts w:cs="Arial"/>
        </w:rPr>
        <w:t>Turning to the equity market structure in the UK, a</w:t>
      </w:r>
      <w:r w:rsidRPr="00612E8F">
        <w:rPr>
          <w:rFonts w:cs="Arial"/>
        </w:rPr>
        <w:t xml:space="preserve">ccess to finance in the UK is unevenly distributed across regions, resulting in inconsistent opportunities for businesses. The concentration of equity angels in London, the </w:t>
      </w:r>
      <w:proofErr w:type="gramStart"/>
      <w:r w:rsidRPr="00612E8F">
        <w:rPr>
          <w:rFonts w:cs="Arial"/>
        </w:rPr>
        <w:t>South East</w:t>
      </w:r>
      <w:proofErr w:type="gramEnd"/>
      <w:r w:rsidRPr="00612E8F">
        <w:rPr>
          <w:rFonts w:cs="Arial"/>
        </w:rPr>
        <w:t xml:space="preserve">, and established clusters like Oxford and Cambridge has left many regions without access to their benefits. </w:t>
      </w:r>
    </w:p>
    <w:p w14:paraId="5AF821D4" w14:textId="59D22589" w:rsidR="00442DA1" w:rsidRDefault="00442DA1" w:rsidP="00442DA1">
      <w:pPr>
        <w:rPr>
          <w:rFonts w:cs="Arial"/>
        </w:rPr>
      </w:pPr>
      <w:r>
        <w:rPr>
          <w:rFonts w:cs="Arial"/>
        </w:rPr>
        <w:t>The RAP scheme</w:t>
      </w:r>
      <w:r w:rsidRPr="00612E8F">
        <w:rPr>
          <w:rFonts w:cs="Arial"/>
        </w:rPr>
        <w:t xml:space="preserve"> </w:t>
      </w:r>
      <w:r>
        <w:rPr>
          <w:rFonts w:cs="Arial"/>
        </w:rPr>
        <w:t>was designed to have a strong impact in</w:t>
      </w:r>
      <w:r w:rsidRPr="00612E8F">
        <w:rPr>
          <w:rFonts w:cs="Arial"/>
        </w:rPr>
        <w:t xml:space="preserve"> fostering </w:t>
      </w:r>
      <w:r>
        <w:rPr>
          <w:rFonts w:cs="Arial"/>
        </w:rPr>
        <w:t>an</w:t>
      </w:r>
      <w:r w:rsidRPr="00612E8F">
        <w:rPr>
          <w:rFonts w:cs="Arial"/>
        </w:rPr>
        <w:t xml:space="preserve"> </w:t>
      </w:r>
      <w:r w:rsidR="00807BA0" w:rsidRPr="00612E8F">
        <w:rPr>
          <w:rFonts w:cs="Arial"/>
        </w:rPr>
        <w:t>equity ecosystem</w:t>
      </w:r>
      <w:r w:rsidRPr="00612E8F">
        <w:rPr>
          <w:rFonts w:cs="Arial"/>
        </w:rPr>
        <w:t xml:space="preserve"> and supporting early-stage businesses seeking smaller investment sizes, particularly in science and technology sectors. </w:t>
      </w:r>
      <w:r>
        <w:rPr>
          <w:rFonts w:cs="Arial"/>
        </w:rPr>
        <w:t>Angel</w:t>
      </w:r>
      <w:r w:rsidRPr="00612E8F">
        <w:rPr>
          <w:rFonts w:cs="Arial"/>
        </w:rPr>
        <w:t xml:space="preserve"> funding</w:t>
      </w:r>
      <w:r>
        <w:rPr>
          <w:rFonts w:cs="Arial"/>
        </w:rPr>
        <w:t xml:space="preserve"> and reducing regional disparities</w:t>
      </w:r>
      <w:r w:rsidRPr="00612E8F">
        <w:rPr>
          <w:rFonts w:cs="Arial"/>
        </w:rPr>
        <w:t xml:space="preserve">, </w:t>
      </w:r>
      <w:r>
        <w:rPr>
          <w:rFonts w:cs="Arial"/>
        </w:rPr>
        <w:t>can help the</w:t>
      </w:r>
      <w:r w:rsidRPr="00612E8F">
        <w:rPr>
          <w:rFonts w:cs="Arial"/>
        </w:rPr>
        <w:t xml:space="preserve"> UK </w:t>
      </w:r>
      <w:r>
        <w:rPr>
          <w:rFonts w:cs="Arial"/>
        </w:rPr>
        <w:t xml:space="preserve">nurture </w:t>
      </w:r>
      <w:r w:rsidRPr="00612E8F">
        <w:rPr>
          <w:rFonts w:cs="Arial"/>
        </w:rPr>
        <w:t xml:space="preserve">innovative industries like Biotech, </w:t>
      </w:r>
      <w:proofErr w:type="spellStart"/>
      <w:r w:rsidRPr="00612E8F">
        <w:rPr>
          <w:rFonts w:cs="Arial"/>
        </w:rPr>
        <w:t>Deeptech</w:t>
      </w:r>
      <w:proofErr w:type="spellEnd"/>
      <w:r w:rsidRPr="00612E8F">
        <w:rPr>
          <w:rFonts w:cs="Arial"/>
        </w:rPr>
        <w:t>, and Clean Renewable Energy, sustaining its position as a global technology hub and stimulating economic growth.</w:t>
      </w:r>
    </w:p>
    <w:p w14:paraId="3108DBB3" w14:textId="77777777" w:rsidR="00807BA0" w:rsidRPr="0089204B" w:rsidRDefault="00807BA0" w:rsidP="00442DA1">
      <w:pPr>
        <w:rPr>
          <w:rFonts w:cs="Arial"/>
        </w:rPr>
      </w:pPr>
    </w:p>
    <w:p w14:paraId="7C36B3AE" w14:textId="77777777" w:rsidR="00442DA1" w:rsidRDefault="00442DA1" w:rsidP="00442DA1">
      <w:pPr>
        <w:pStyle w:val="Heading2"/>
      </w:pPr>
      <w:bookmarkStart w:id="53" w:name="_Toc144830548"/>
      <w:bookmarkStart w:id="54" w:name="_Toc165482212"/>
      <w:bookmarkStart w:id="55" w:name="_Toc165497175"/>
      <w:r>
        <w:lastRenderedPageBreak/>
        <w:t>3.4</w:t>
      </w:r>
      <w:r w:rsidRPr="00C14B16">
        <w:t xml:space="preserve"> Methodology</w:t>
      </w:r>
      <w:bookmarkEnd w:id="53"/>
      <w:bookmarkEnd w:id="54"/>
      <w:bookmarkEnd w:id="55"/>
    </w:p>
    <w:p w14:paraId="3BF60630" w14:textId="6777F020" w:rsidR="00964AAA" w:rsidRDefault="7B3E175E" w:rsidP="006F56A7">
      <w:r>
        <w:t xml:space="preserve">Early evidence about the Programme’s approach to implementation and outcomes are collected based on monitoring information (MI), desk research, in-depth interviews, and </w:t>
      </w:r>
      <w:r w:rsidR="794124C0">
        <w:t xml:space="preserve"> </w:t>
      </w:r>
      <w:r w:rsidR="794124C0" w:rsidRPr="00D8407C">
        <w:t>econometric impact modelling</w:t>
      </w:r>
      <w:r w:rsidR="00A1137D">
        <w:rPr>
          <w:rStyle w:val="FootnoteReference"/>
        </w:rPr>
        <w:footnoteReference w:id="17"/>
      </w:r>
      <w:r w:rsidR="794124C0" w:rsidRPr="00D8407C">
        <w:t xml:space="preserve">, which is outlined in detail in </w:t>
      </w:r>
      <w:r w:rsidR="00965CEE" w:rsidRPr="001372C4">
        <w:fldChar w:fldCharType="begin"/>
      </w:r>
      <w:r w:rsidR="00965CEE" w:rsidRPr="001372C4">
        <w:instrText xml:space="preserve"> REF _Ref136445268 \h </w:instrText>
      </w:r>
      <w:r w:rsidR="00965CEE" w:rsidRPr="00D8407C">
        <w:instrText xml:space="preserve"> \* MERGEFORMAT </w:instrText>
      </w:r>
      <w:r w:rsidR="00965CEE" w:rsidRPr="001372C4">
        <w:fldChar w:fldCharType="separate"/>
      </w:r>
      <w:r w:rsidR="00BC412E" w:rsidRPr="00F34274">
        <w:t xml:space="preserve">Annex G: </w:t>
      </w:r>
      <w:r w:rsidR="00965CEE" w:rsidRPr="001372C4">
        <w:fldChar w:fldCharType="end"/>
      </w:r>
      <w:r w:rsidR="25D703C0">
        <w:t xml:space="preserve"> </w:t>
      </w:r>
      <w:r w:rsidR="794124C0" w:rsidRPr="00D8407C">
        <w:t xml:space="preserve">and summarised in </w:t>
      </w:r>
      <w:r w:rsidR="00BA1784">
        <w:fldChar w:fldCharType="begin"/>
      </w:r>
      <w:r w:rsidR="00BA1784">
        <w:instrText xml:space="preserve"> REF _Ref136353562 \h </w:instrText>
      </w:r>
      <w:r w:rsidR="00BA1784">
        <w:fldChar w:fldCharType="separate"/>
      </w:r>
      <w:r w:rsidR="00BC412E">
        <w:t xml:space="preserve">Figure </w:t>
      </w:r>
      <w:r w:rsidR="00BC412E">
        <w:rPr>
          <w:noProof/>
        </w:rPr>
        <w:t>2</w:t>
      </w:r>
      <w:r w:rsidR="00BA1784">
        <w:fldChar w:fldCharType="end"/>
      </w:r>
      <w:r w:rsidR="00BA1784">
        <w:t xml:space="preserve"> </w:t>
      </w:r>
      <w:r w:rsidR="794124C0" w:rsidRPr="00D8407C">
        <w:t>below. The</w:t>
      </w:r>
      <w:r w:rsidR="71ADD7B9">
        <w:t xml:space="preserve"> in-depth</w:t>
      </w:r>
      <w:r w:rsidR="794124C0" w:rsidRPr="00D8407C">
        <w:t xml:space="preserve"> interview</w:t>
      </w:r>
      <w:r w:rsidR="71ADD7B9">
        <w:t>s were conducted with</w:t>
      </w:r>
      <w:r w:rsidR="38458FBC">
        <w:t>:</w:t>
      </w:r>
    </w:p>
    <w:p w14:paraId="757BBFB9" w14:textId="49C5A0AB" w:rsidR="00A17B36" w:rsidRDefault="38458FBC" w:rsidP="00491364">
      <w:pPr>
        <w:pStyle w:val="ListBullet2"/>
        <w:numPr>
          <w:ilvl w:val="0"/>
          <w:numId w:val="27"/>
        </w:numPr>
      </w:pPr>
      <w:r w:rsidRPr="00D8407C">
        <w:rPr>
          <w:b/>
        </w:rPr>
        <w:t>3</w:t>
      </w:r>
      <w:r>
        <w:t xml:space="preserve"> interviews with </w:t>
      </w:r>
      <w:r w:rsidRPr="00D8407C">
        <w:rPr>
          <w:b/>
        </w:rPr>
        <w:t>policy stakeholders</w:t>
      </w:r>
      <w:r>
        <w:t xml:space="preserve"> from relevant departments (</w:t>
      </w:r>
      <w:r w:rsidR="71ADD7B9">
        <w:t>e.g.,</w:t>
      </w:r>
      <w:r>
        <w:t xml:space="preserve"> BEIS</w:t>
      </w:r>
      <w:r w:rsidR="001372C4">
        <w:rPr>
          <w:rStyle w:val="FootnoteReference"/>
        </w:rPr>
        <w:footnoteReference w:id="18"/>
      </w:r>
      <w:r>
        <w:t xml:space="preserve"> and HMT)</w:t>
      </w:r>
    </w:p>
    <w:p w14:paraId="381F0A88" w14:textId="652D8A31" w:rsidR="00A17B36" w:rsidRDefault="00A17B36" w:rsidP="00491364">
      <w:pPr>
        <w:pStyle w:val="ListBullet2"/>
        <w:numPr>
          <w:ilvl w:val="0"/>
          <w:numId w:val="27"/>
        </w:numPr>
      </w:pPr>
      <w:r w:rsidRPr="00D8407C">
        <w:rPr>
          <w:b/>
        </w:rPr>
        <w:t>3</w:t>
      </w:r>
      <w:r>
        <w:t xml:space="preserve"> interviews with </w:t>
      </w:r>
      <w:r w:rsidRPr="00D8407C">
        <w:rPr>
          <w:b/>
        </w:rPr>
        <w:t>industry body members</w:t>
      </w:r>
      <w:r>
        <w:t xml:space="preserve"> from organisations such as the UK Business Angels Association (UKBAA) </w:t>
      </w:r>
    </w:p>
    <w:p w14:paraId="1F1B633A" w14:textId="7971392F" w:rsidR="00A17B36" w:rsidRDefault="00A17B36" w:rsidP="00491364">
      <w:pPr>
        <w:pStyle w:val="ListBullet2"/>
        <w:numPr>
          <w:ilvl w:val="0"/>
          <w:numId w:val="27"/>
        </w:numPr>
      </w:pPr>
      <w:r w:rsidRPr="00D8407C">
        <w:rPr>
          <w:b/>
        </w:rPr>
        <w:t>5</w:t>
      </w:r>
      <w:r>
        <w:t xml:space="preserve"> interviews with key stakeholders from the </w:t>
      </w:r>
      <w:r w:rsidRPr="00D8407C">
        <w:rPr>
          <w:b/>
        </w:rPr>
        <w:t xml:space="preserve">British Business Bank and </w:t>
      </w:r>
      <w:r w:rsidR="008E24AD">
        <w:rPr>
          <w:b/>
        </w:rPr>
        <w:t>British Business Investments</w:t>
      </w:r>
      <w:r>
        <w:t xml:space="preserve"> (including members of the RAP delivery / management team)</w:t>
      </w:r>
    </w:p>
    <w:p w14:paraId="48A277DD" w14:textId="5A80B54D" w:rsidR="00A17B36" w:rsidRDefault="00A17B36" w:rsidP="00491364">
      <w:pPr>
        <w:pStyle w:val="ListBullet2"/>
        <w:numPr>
          <w:ilvl w:val="0"/>
          <w:numId w:val="27"/>
        </w:numPr>
      </w:pPr>
      <w:r w:rsidRPr="00D8407C">
        <w:rPr>
          <w:b/>
        </w:rPr>
        <w:t>11</w:t>
      </w:r>
      <w:r>
        <w:t xml:space="preserve"> interviews with </w:t>
      </w:r>
      <w:r w:rsidR="000B1EEF">
        <w:t xml:space="preserve">representatives </w:t>
      </w:r>
      <w:r w:rsidR="001372C4">
        <w:t xml:space="preserve">from the </w:t>
      </w:r>
      <w:r w:rsidR="001372C4" w:rsidRPr="00D8407C">
        <w:rPr>
          <w:b/>
          <w:bCs/>
        </w:rPr>
        <w:t>RAP Partners</w:t>
      </w:r>
      <w:r w:rsidR="001372C4">
        <w:t xml:space="preserve"> (11 out of 12 RAP Partners)</w:t>
      </w:r>
      <w:r>
        <w:t xml:space="preserve"> </w:t>
      </w:r>
    </w:p>
    <w:p w14:paraId="46A69FD7" w14:textId="5B933E62" w:rsidR="003253C6" w:rsidRPr="003253C6" w:rsidRDefault="003253C6" w:rsidP="00491364">
      <w:pPr>
        <w:pStyle w:val="ListBullet2"/>
        <w:numPr>
          <w:ilvl w:val="0"/>
          <w:numId w:val="27"/>
        </w:numPr>
      </w:pPr>
      <w:r w:rsidRPr="00D8407C">
        <w:rPr>
          <w:b/>
          <w:bCs/>
        </w:rPr>
        <w:t>2</w:t>
      </w:r>
      <w:r w:rsidR="00A17B36" w:rsidRPr="003253C6">
        <w:t xml:space="preserve"> interviews with </w:t>
      </w:r>
      <w:r w:rsidR="00A17B36" w:rsidRPr="00D8407C">
        <w:rPr>
          <w:b/>
        </w:rPr>
        <w:t>unsuccessful applicants</w:t>
      </w:r>
      <w:r w:rsidR="00A17B36" w:rsidRPr="003253C6">
        <w:t xml:space="preserve"> to the RAP scheme</w:t>
      </w:r>
    </w:p>
    <w:p w14:paraId="53DD701E" w14:textId="2698484F" w:rsidR="00A17B36" w:rsidRPr="00D8407C" w:rsidRDefault="3536A3BF" w:rsidP="00491364">
      <w:pPr>
        <w:pStyle w:val="ListBullet2"/>
        <w:numPr>
          <w:ilvl w:val="0"/>
          <w:numId w:val="27"/>
        </w:numPr>
      </w:pPr>
      <w:r w:rsidRPr="00D8407C">
        <w:rPr>
          <w:b/>
          <w:bCs/>
        </w:rPr>
        <w:t>8</w:t>
      </w:r>
      <w:r w:rsidR="38458FBC" w:rsidRPr="003253C6">
        <w:t xml:space="preserve"> interviews</w:t>
      </w:r>
      <w:r w:rsidR="38458FBC">
        <w:t xml:space="preserve"> with </w:t>
      </w:r>
      <w:r w:rsidR="38458FBC" w:rsidRPr="00D8407C">
        <w:rPr>
          <w:b/>
        </w:rPr>
        <w:t xml:space="preserve">non-applicant </w:t>
      </w:r>
      <w:r w:rsidR="51DA6670">
        <w:rPr>
          <w:b/>
        </w:rPr>
        <w:t>a</w:t>
      </w:r>
      <w:r w:rsidR="38458FBC" w:rsidRPr="00D8407C">
        <w:rPr>
          <w:b/>
        </w:rPr>
        <w:t>ngels</w:t>
      </w:r>
      <w:r w:rsidR="001372C4">
        <w:rPr>
          <w:rStyle w:val="FootnoteReference"/>
          <w:b/>
        </w:rPr>
        <w:footnoteReference w:id="19"/>
      </w:r>
      <w:r w:rsidR="38458FBC">
        <w:t xml:space="preserve"> </w:t>
      </w:r>
    </w:p>
    <w:p w14:paraId="2E93BAD1" w14:textId="46505B6F" w:rsidR="0043047B" w:rsidRDefault="2406F797" w:rsidP="00992F74">
      <w:r w:rsidRPr="00D8407C">
        <w:t xml:space="preserve">Monitoring data </w:t>
      </w:r>
      <w:r>
        <w:t xml:space="preserve">on quarterly reports </w:t>
      </w:r>
      <w:r w:rsidRPr="00D8407C">
        <w:t xml:space="preserve">was available for all 372 </w:t>
      </w:r>
      <w:r w:rsidRPr="007F3CCA">
        <w:t>firm</w:t>
      </w:r>
      <w:r w:rsidRPr="00D8407C">
        <w:t xml:space="preserve">s funded in </w:t>
      </w:r>
      <w:r w:rsidRPr="007F3CCA">
        <w:t xml:space="preserve">2020, </w:t>
      </w:r>
      <w:r w:rsidRPr="00D8407C">
        <w:t xml:space="preserve">2021, and </w:t>
      </w:r>
      <w:r w:rsidRPr="007F3CCA">
        <w:t>by</w:t>
      </w:r>
      <w:r w:rsidRPr="00D8407C">
        <w:t xml:space="preserve"> June (Q2) 2022. Data from </w:t>
      </w:r>
      <w:proofErr w:type="spellStart"/>
      <w:r w:rsidRPr="00D8407C">
        <w:t>Beauhurst</w:t>
      </w:r>
      <w:proofErr w:type="spellEnd"/>
      <w:r w:rsidRPr="00D8407C">
        <w:t xml:space="preserve"> and</w:t>
      </w:r>
      <w:r>
        <w:t xml:space="preserve"> the</w:t>
      </w:r>
      <w:r w:rsidRPr="00BA1784">
        <w:t xml:space="preserve"> Inter-Departmental Business Register</w:t>
      </w:r>
      <w:r w:rsidRPr="00D8407C">
        <w:t xml:space="preserve"> </w:t>
      </w:r>
      <w:r>
        <w:t>(</w:t>
      </w:r>
      <w:r w:rsidRPr="00D8407C">
        <w:t>IDBR</w:t>
      </w:r>
      <w:r>
        <w:t>)</w:t>
      </w:r>
      <w:r w:rsidRPr="00D8407C">
        <w:t xml:space="preserve"> was used to profile these </w:t>
      </w:r>
      <w:r>
        <w:t>firm</w:t>
      </w:r>
      <w:r w:rsidRPr="00D8407C">
        <w:t xml:space="preserve">s and draw a comparison group </w:t>
      </w:r>
      <w:r>
        <w:t xml:space="preserve">that enables </w:t>
      </w:r>
      <w:r w:rsidRPr="00D8407C">
        <w:t>compar</w:t>
      </w:r>
      <w:r>
        <w:t>ing</w:t>
      </w:r>
      <w:r w:rsidRPr="00D8407C">
        <w:t xml:space="preserve"> differences in performance.</w:t>
      </w:r>
      <w:r>
        <w:t xml:space="preserve"> To note that the IDBR data </w:t>
      </w:r>
      <w:r w:rsidRPr="001D6E2E">
        <w:t>or BSD for turnover and employment is updated from a range of different ONS sources including some surveys conducted every two years</w:t>
      </w:r>
      <w:r>
        <w:t xml:space="preserve">. </w:t>
      </w:r>
      <w:bookmarkStart w:id="56" w:name="_Hlk145922135"/>
      <w:r>
        <w:t xml:space="preserve">There could be a maximum </w:t>
      </w:r>
      <w:r w:rsidR="00807BA0">
        <w:t>two-year</w:t>
      </w:r>
      <w:r>
        <w:t xml:space="preserve"> lag in the employment and turnover data presented from the IDBR data which should be considered.</w:t>
      </w:r>
      <w:r w:rsidRPr="00340A7C">
        <w:rPr>
          <w:rStyle w:val="FootnoteReference"/>
        </w:rPr>
        <w:t xml:space="preserve"> </w:t>
      </w:r>
      <w:r w:rsidR="0043047B">
        <w:rPr>
          <w:rStyle w:val="FootnoteReference"/>
        </w:rPr>
        <w:footnoteReference w:id="20"/>
      </w:r>
      <w:r w:rsidRPr="00D8407C">
        <w:t xml:space="preserve"> </w:t>
      </w:r>
      <w:bookmarkEnd w:id="56"/>
      <w:r w:rsidRPr="00D8407C">
        <w:t xml:space="preserve">This was possible for a sub-set of the total sample </w:t>
      </w:r>
      <w:r>
        <w:t xml:space="preserve">of treated firms </w:t>
      </w:r>
      <w:r w:rsidRPr="00D8407C">
        <w:t xml:space="preserve">which includes </w:t>
      </w:r>
      <w:r>
        <w:t>19</w:t>
      </w:r>
      <w:r w:rsidRPr="00D8407C">
        <w:t xml:space="preserve"> </w:t>
      </w:r>
      <w:r>
        <w:t>firm</w:t>
      </w:r>
      <w:r w:rsidRPr="00D8407C">
        <w:t xml:space="preserve">s in London and </w:t>
      </w:r>
      <w:r>
        <w:t>65</w:t>
      </w:r>
      <w:r w:rsidRPr="00D8407C">
        <w:t xml:space="preserve"> </w:t>
      </w:r>
      <w:r>
        <w:t>firm</w:t>
      </w:r>
      <w:r w:rsidRPr="00D8407C">
        <w:t>s in other regions</w:t>
      </w:r>
      <w:r>
        <w:t xml:space="preserve"> (or 25 in London and the </w:t>
      </w:r>
      <w:proofErr w:type="gramStart"/>
      <w:r>
        <w:t>South East</w:t>
      </w:r>
      <w:proofErr w:type="gramEnd"/>
      <w:r>
        <w:t xml:space="preserve"> and 59 in the regions outside of London and the South East)</w:t>
      </w:r>
      <w:r w:rsidRPr="00D8407C">
        <w:t xml:space="preserve">. </w:t>
      </w:r>
      <w:r w:rsidR="0043047B">
        <w:fldChar w:fldCharType="begin"/>
      </w:r>
      <w:r w:rsidR="0043047B">
        <w:instrText xml:space="preserve"> REF _Ref136353562 \h </w:instrText>
      </w:r>
      <w:r w:rsidR="0043047B">
        <w:fldChar w:fldCharType="separate"/>
      </w:r>
      <w:r w:rsidR="00BC412E">
        <w:t xml:space="preserve">Figure </w:t>
      </w:r>
      <w:r w:rsidR="00BC412E">
        <w:rPr>
          <w:noProof/>
        </w:rPr>
        <w:t>2</w:t>
      </w:r>
      <w:r w:rsidR="0043047B">
        <w:fldChar w:fldCharType="end"/>
      </w:r>
      <w:r>
        <w:t xml:space="preserve"> below summarises the methodology used and cross references the chapters where evidence is presented.</w:t>
      </w:r>
    </w:p>
    <w:p w14:paraId="1CDB1E2A" w14:textId="77777777" w:rsidR="00807BA0" w:rsidRDefault="00807BA0" w:rsidP="00992F74"/>
    <w:p w14:paraId="78F5E701" w14:textId="067DA2CC" w:rsidR="00785E4A" w:rsidRDefault="0DAD98BD" w:rsidP="00992F74">
      <w:r>
        <w:lastRenderedPageBreak/>
        <w:t>The qualitative research</w:t>
      </w:r>
      <w:r w:rsidR="006F4F87">
        <w:rPr>
          <w:rStyle w:val="FootnoteReference"/>
        </w:rPr>
        <w:footnoteReference w:id="21"/>
      </w:r>
      <w:r>
        <w:t xml:space="preserve"> was completed in three steps:</w:t>
      </w:r>
    </w:p>
    <w:p w14:paraId="67BF3E03" w14:textId="77777777" w:rsidR="00785E4A" w:rsidRPr="00CB71BF" w:rsidRDefault="00785E4A" w:rsidP="00491364">
      <w:pPr>
        <w:pStyle w:val="ListParagraph"/>
        <w:numPr>
          <w:ilvl w:val="0"/>
          <w:numId w:val="62"/>
        </w:numPr>
        <w:rPr>
          <w:rFonts w:asciiTheme="minorHAnsi" w:eastAsiaTheme="minorHAnsi" w:hAnsiTheme="minorHAnsi" w:cstheme="minorBidi"/>
          <w:sz w:val="24"/>
        </w:rPr>
      </w:pPr>
      <w:r w:rsidRPr="00CB71BF">
        <w:rPr>
          <w:rFonts w:asciiTheme="minorHAnsi" w:eastAsiaTheme="minorHAnsi" w:hAnsiTheme="minorHAnsi" w:cstheme="minorBidi"/>
          <w:sz w:val="24"/>
        </w:rPr>
        <w:t>Data frame development</w:t>
      </w:r>
    </w:p>
    <w:p w14:paraId="06E791F2" w14:textId="77777777" w:rsidR="00785E4A" w:rsidRPr="00CB71BF" w:rsidRDefault="00785E4A" w:rsidP="00491364">
      <w:pPr>
        <w:pStyle w:val="ListParagraph"/>
        <w:numPr>
          <w:ilvl w:val="0"/>
          <w:numId w:val="62"/>
        </w:numPr>
        <w:rPr>
          <w:rFonts w:asciiTheme="minorHAnsi" w:eastAsiaTheme="minorHAnsi" w:hAnsiTheme="minorHAnsi" w:cstheme="minorBidi"/>
          <w:sz w:val="24"/>
        </w:rPr>
      </w:pPr>
      <w:r w:rsidRPr="00CB71BF">
        <w:rPr>
          <w:rFonts w:asciiTheme="minorHAnsi" w:eastAsiaTheme="minorHAnsi" w:hAnsiTheme="minorHAnsi" w:cstheme="minorBidi"/>
          <w:sz w:val="24"/>
        </w:rPr>
        <w:t>Matching modelling</w:t>
      </w:r>
    </w:p>
    <w:p w14:paraId="287ECBF5" w14:textId="44BC74CB" w:rsidR="00785E4A" w:rsidRPr="00CB71BF" w:rsidRDefault="00A60A85" w:rsidP="00491364">
      <w:pPr>
        <w:pStyle w:val="ListParagraph"/>
        <w:numPr>
          <w:ilvl w:val="0"/>
          <w:numId w:val="62"/>
        </w:numPr>
        <w:rPr>
          <w:rFonts w:asciiTheme="minorHAnsi" w:eastAsiaTheme="minorHAnsi" w:hAnsiTheme="minorHAnsi" w:cstheme="minorBidi"/>
          <w:sz w:val="24"/>
        </w:rPr>
      </w:pPr>
      <w:r>
        <w:rPr>
          <w:rFonts w:asciiTheme="minorHAnsi" w:eastAsiaTheme="minorHAnsi" w:hAnsiTheme="minorHAnsi" w:cstheme="minorBidi"/>
          <w:sz w:val="24"/>
        </w:rPr>
        <w:t>Econometric</w:t>
      </w:r>
      <w:r w:rsidR="00785E4A" w:rsidRPr="00CB71BF">
        <w:rPr>
          <w:rFonts w:asciiTheme="minorHAnsi" w:eastAsiaTheme="minorHAnsi" w:hAnsiTheme="minorHAnsi" w:cstheme="minorBidi"/>
          <w:sz w:val="24"/>
        </w:rPr>
        <w:t xml:space="preserve"> modelling</w:t>
      </w:r>
    </w:p>
    <w:p w14:paraId="7A1CB4D8" w14:textId="77777777" w:rsidR="0043047B" w:rsidRDefault="0043047B" w:rsidP="0043047B">
      <w:r>
        <w:t xml:space="preserve">Data frame development involved sourcing data from various databases (IDBR, </w:t>
      </w:r>
      <w:proofErr w:type="spellStart"/>
      <w:r>
        <w:t>Beauhurst</w:t>
      </w:r>
      <w:proofErr w:type="spellEnd"/>
      <w:r>
        <w:t>, RSM Tracker and directly from the Bank) and consolidating the data into one large data frame to run the impact modelling. This included applying database filters (streamline the search for counterfactual firms with similar characteristics), cleaning data, testing sample representativeness to the population of RAP funded firms and matching data across databases.</w:t>
      </w:r>
    </w:p>
    <w:p w14:paraId="3A52B855" w14:textId="1FBBAB6F" w:rsidR="0043047B" w:rsidRDefault="0043047B" w:rsidP="0043047B">
      <w:r>
        <w:t xml:space="preserve">Once the data frame had been developed, a matching exercise was undertaken to statistically refine the counterfactual sample, based on a set of firm characteristics, to the representative RAP funded firms. The resulting matching exercise reduced the sample considerably as firms were removed that fell outside of the </w:t>
      </w:r>
      <w:proofErr w:type="spellStart"/>
      <w:r>
        <w:t>caliper</w:t>
      </w:r>
      <w:proofErr w:type="spellEnd"/>
      <w:r>
        <w:t xml:space="preserve"> ranges according to the characteristics used for the matching. See </w:t>
      </w:r>
      <w:r>
        <w:fldChar w:fldCharType="begin"/>
      </w:r>
      <w:r>
        <w:instrText xml:space="preserve"> REF _Ref136353562 \h </w:instrText>
      </w:r>
      <w:r>
        <w:fldChar w:fldCharType="separate"/>
      </w:r>
      <w:r w:rsidR="00BC412E">
        <w:t xml:space="preserve">Figure </w:t>
      </w:r>
      <w:r w:rsidR="00BC412E">
        <w:rPr>
          <w:noProof/>
        </w:rPr>
        <w:t>2</w:t>
      </w:r>
      <w:r>
        <w:fldChar w:fldCharType="end"/>
      </w:r>
      <w:r>
        <w:t xml:space="preserve"> below for sample sizes at each stage.</w:t>
      </w:r>
    </w:p>
    <w:p w14:paraId="7CD8FCEF" w14:textId="24AEE69A" w:rsidR="00992F74" w:rsidRDefault="0043047B" w:rsidP="0043047B">
      <w:r>
        <w:t>Econometric modelling techniques (</w:t>
      </w:r>
      <w:proofErr w:type="spellStart"/>
      <w:r>
        <w:t>DiD</w:t>
      </w:r>
      <w:proofErr w:type="spellEnd"/>
      <w:r>
        <w:t>/ DiDiD) were then applied to the matched data set to estimate the RAP specific impact on fundraisings, both at a national and regional level of impact</w:t>
      </w:r>
      <w:r w:rsidR="00F837F7">
        <w:t xml:space="preserve">. </w:t>
      </w:r>
      <w:r w:rsidR="00785E4A">
        <w:t xml:space="preserve">  </w:t>
      </w:r>
    </w:p>
    <w:p w14:paraId="2B6C52D6" w14:textId="3919B83D" w:rsidR="00992F74" w:rsidRDefault="00992F74" w:rsidP="00D8407C">
      <w:pPr>
        <w:pStyle w:val="Caption"/>
        <w:keepNext/>
      </w:pPr>
      <w:bookmarkStart w:id="58" w:name="_Ref136353562"/>
      <w:bookmarkStart w:id="59" w:name="_Ref135820884"/>
      <w:r>
        <w:t xml:space="preserve">Figure </w:t>
      </w:r>
      <w:r>
        <w:fldChar w:fldCharType="begin"/>
      </w:r>
      <w:r>
        <w:instrText>SEQ Figure \* ARABIC</w:instrText>
      </w:r>
      <w:r>
        <w:fldChar w:fldCharType="separate"/>
      </w:r>
      <w:r w:rsidR="00BC412E">
        <w:rPr>
          <w:noProof/>
        </w:rPr>
        <w:t>2</w:t>
      </w:r>
      <w:r>
        <w:fldChar w:fldCharType="end"/>
      </w:r>
      <w:bookmarkEnd w:id="58"/>
      <w:r w:rsidR="00CF05F6">
        <w:t>:</w:t>
      </w:r>
      <w:r>
        <w:t xml:space="preserve"> Overview of the methodology</w:t>
      </w:r>
      <w:bookmarkEnd w:id="59"/>
      <w:r w:rsidR="00972193">
        <w:t>:</w:t>
      </w:r>
    </w:p>
    <w:p w14:paraId="188389A7" w14:textId="1D20F1A0" w:rsidR="00074E00" w:rsidRPr="00C57218" w:rsidRDefault="00D44E2F" w:rsidP="00D8407C">
      <w:r>
        <w:rPr>
          <w:noProof/>
        </w:rPr>
        <w:drawing>
          <wp:inline distT="0" distB="0" distL="0" distR="0" wp14:anchorId="48BEA97A" wp14:editId="1862D1DD">
            <wp:extent cx="6607629" cy="2013585"/>
            <wp:effectExtent l="0" t="0" r="0" b="0"/>
            <wp:docPr id="313443651" name="Picture 2" descr="Figure 2 provides an overview of the methodology used to evaluate the Regional Angels Programme. It showcases the mix of quantitative and qualitative research approaches, including monitoring information, desk research, in-depth interviews, and economic impact modelling. The figure also cross-references cha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3651" name="Picture 2" descr="Figure 2 provides an overview of the methodology used to evaluate the Regional Angels Programme. It showcases the mix of quantitative and qualitative research approaches, including monitoring information, desk research, in-depth interviews, and economic impact modelling. The figure also cross-references chapte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7526" cy="2040980"/>
                    </a:xfrm>
                    <a:prstGeom prst="rect">
                      <a:avLst/>
                    </a:prstGeom>
                    <a:noFill/>
                  </pic:spPr>
                </pic:pic>
              </a:graphicData>
            </a:graphic>
          </wp:inline>
        </w:drawing>
      </w:r>
    </w:p>
    <w:p w14:paraId="014F02D2" w14:textId="4ACCE839" w:rsidR="006F62BE" w:rsidRPr="006F56A7" w:rsidRDefault="00F5304D">
      <w:pPr>
        <w:pStyle w:val="Heading1"/>
      </w:pPr>
      <w:bookmarkStart w:id="60" w:name="_Ref96712394"/>
      <w:bookmarkStart w:id="61" w:name="_Ref96712400"/>
      <w:bookmarkStart w:id="62" w:name="_Toc1181045972"/>
      <w:bookmarkStart w:id="63" w:name="_Toc165482213"/>
      <w:bookmarkStart w:id="64" w:name="_Toc165497176"/>
      <w:r>
        <w:lastRenderedPageBreak/>
        <w:t>4</w:t>
      </w:r>
      <w:r w:rsidR="005C66D5" w:rsidRPr="006F56A7">
        <w:t xml:space="preserve">. </w:t>
      </w:r>
      <w:bookmarkStart w:id="65" w:name="_Ref96712430"/>
      <w:bookmarkStart w:id="66" w:name="_Ref98769514"/>
      <w:bookmarkStart w:id="67" w:name="_Toc2057803320"/>
      <w:bookmarkStart w:id="68" w:name="_Hlk107955516"/>
      <w:bookmarkEnd w:id="60"/>
      <w:bookmarkEnd w:id="61"/>
      <w:bookmarkEnd w:id="62"/>
      <w:r w:rsidR="00C14B16" w:rsidRPr="006F56A7">
        <w:t>The need for intervention</w:t>
      </w:r>
      <w:bookmarkEnd w:id="63"/>
      <w:bookmarkEnd w:id="64"/>
    </w:p>
    <w:p w14:paraId="4B19C7AE" w14:textId="77777777" w:rsidR="0043047B" w:rsidRPr="0043047B" w:rsidRDefault="0043047B" w:rsidP="00B16629">
      <w:pPr>
        <w:pStyle w:val="Heading2"/>
      </w:pPr>
      <w:bookmarkStart w:id="69" w:name="_Toc144830550"/>
      <w:bookmarkStart w:id="70" w:name="_Toc165482214"/>
      <w:bookmarkStart w:id="71" w:name="_Toc165497177"/>
      <w:r w:rsidRPr="0043047B">
        <w:t>4.1 Key Findings</w:t>
      </w:r>
      <w:bookmarkEnd w:id="69"/>
      <w:bookmarkEnd w:id="70"/>
      <w:bookmarkEnd w:id="71"/>
    </w:p>
    <w:p w14:paraId="370E2E50" w14:textId="77777777" w:rsidR="0043047B" w:rsidRPr="0043047B" w:rsidRDefault="2406F797" w:rsidP="00491364">
      <w:pPr>
        <w:numPr>
          <w:ilvl w:val="0"/>
          <w:numId w:val="28"/>
        </w:numPr>
        <w:contextualSpacing/>
      </w:pPr>
      <w:r w:rsidRPr="0043047B">
        <w:t xml:space="preserve">Regional inequalities confirmed with further research throughout the literature and the latest data extracts – there exists an uneven concentration of business angels (34% in London and 22% in the </w:t>
      </w:r>
      <w:proofErr w:type="gramStart"/>
      <w:r w:rsidRPr="0043047B">
        <w:t>South East</w:t>
      </w:r>
      <w:proofErr w:type="gramEnd"/>
      <w:r w:rsidRPr="0043047B">
        <w:t xml:space="preserve"> of both VC and angel investors)</w:t>
      </w:r>
      <w:r w:rsidR="0043047B" w:rsidRPr="0043047B">
        <w:rPr>
          <w:vertAlign w:val="superscript"/>
        </w:rPr>
        <w:footnoteReference w:id="22"/>
      </w:r>
      <w:r w:rsidRPr="0043047B">
        <w:t xml:space="preserve"> and business angel deals in London and the South East.</w:t>
      </w:r>
    </w:p>
    <w:p w14:paraId="36138436" w14:textId="77777777" w:rsidR="0043047B" w:rsidRPr="0043047B" w:rsidRDefault="0043047B" w:rsidP="00491364">
      <w:pPr>
        <w:numPr>
          <w:ilvl w:val="0"/>
          <w:numId w:val="28"/>
        </w:numPr>
        <w:contextualSpacing/>
      </w:pPr>
      <w:r w:rsidRPr="0043047B">
        <w:t xml:space="preserve">Policy stakeholders supported this research, highlighting clear regional inequalities and the lack of a defined angel ecosystem in some regions. </w:t>
      </w:r>
    </w:p>
    <w:p w14:paraId="25C3DA98" w14:textId="77777777" w:rsidR="0043047B" w:rsidRPr="0043047B" w:rsidRDefault="0043047B" w:rsidP="00491364">
      <w:pPr>
        <w:numPr>
          <w:ilvl w:val="0"/>
          <w:numId w:val="28"/>
        </w:numPr>
        <w:contextualSpacing/>
      </w:pPr>
      <w:r w:rsidRPr="0043047B">
        <w:t xml:space="preserve">Policy stakeholders reported a lack of wide-scale government intervention in the angel investment ecosystem, with interventions such as the Angel </w:t>
      </w:r>
      <w:proofErr w:type="spellStart"/>
      <w:r w:rsidRPr="0043047B">
        <w:t>CoFund</w:t>
      </w:r>
      <w:proofErr w:type="spellEnd"/>
      <w:r w:rsidRPr="0043047B">
        <w:t xml:space="preserve"> not contributing sufficiently to the development of the regional angel investment ecosystem – in line with the wider objective of the government’s levelling up agenda.</w:t>
      </w:r>
    </w:p>
    <w:p w14:paraId="65A5BDED" w14:textId="691A15AD" w:rsidR="0043047B" w:rsidRPr="0043047B" w:rsidRDefault="0043047B" w:rsidP="00491364">
      <w:pPr>
        <w:numPr>
          <w:ilvl w:val="0"/>
          <w:numId w:val="28"/>
        </w:numPr>
        <w:contextualSpacing/>
      </w:pPr>
      <w:r w:rsidRPr="0043047B">
        <w:t>Stakeholders noted the importance of angel investment to the overall health of the UK investment landscape as it acts as a ‘</w:t>
      </w:r>
      <w:r w:rsidR="00807BA0" w:rsidRPr="0043047B">
        <w:t>starting point</w:t>
      </w:r>
      <w:r w:rsidRPr="0043047B">
        <w:t xml:space="preserve">’ for later investment. </w:t>
      </w:r>
    </w:p>
    <w:p w14:paraId="22741C98" w14:textId="77777777" w:rsidR="0043047B" w:rsidRPr="0043047B" w:rsidRDefault="0043047B" w:rsidP="00B16629">
      <w:pPr>
        <w:pStyle w:val="Heading2"/>
      </w:pPr>
      <w:bookmarkStart w:id="72" w:name="_Hlk135663452"/>
      <w:bookmarkStart w:id="73" w:name="_Toc144830551"/>
      <w:bookmarkStart w:id="74" w:name="_Toc165482215"/>
      <w:bookmarkStart w:id="75" w:name="_Toc165497178"/>
      <w:r w:rsidRPr="0043047B">
        <w:t>4.2 Regional inequalities in the angel investment ecosystem</w:t>
      </w:r>
      <w:bookmarkEnd w:id="72"/>
      <w:bookmarkEnd w:id="73"/>
      <w:bookmarkEnd w:id="74"/>
      <w:bookmarkEnd w:id="75"/>
    </w:p>
    <w:p w14:paraId="030A6D08" w14:textId="1624DE17" w:rsidR="0054651A" w:rsidRDefault="2406F797" w:rsidP="0043047B">
      <w:pPr>
        <w:rPr>
          <w:rFonts w:cstheme="minorHAnsi"/>
        </w:rPr>
      </w:pPr>
      <w:r w:rsidRPr="0043047B">
        <w:t xml:space="preserve">British Business Bank research highlighted that most UK angels were located in London and the </w:t>
      </w:r>
      <w:proofErr w:type="gramStart"/>
      <w:r w:rsidRPr="0043047B">
        <w:t>South East</w:t>
      </w:r>
      <w:proofErr w:type="gramEnd"/>
      <w:r w:rsidRPr="0043047B">
        <w:t xml:space="preserve"> (57%), with a substantial majority of them (80%) making at least one investment in London</w:t>
      </w:r>
      <w:r w:rsidR="0043047B" w:rsidRPr="00FC1F26">
        <w:rPr>
          <w:vertAlign w:val="superscript"/>
        </w:rPr>
        <w:footnoteReference w:id="23"/>
      </w:r>
      <w:r w:rsidRPr="0043047B">
        <w:t xml:space="preserve">. Angels based outside this region were also attracted to investing in London, with 63% of them making at least one investment in London (as shown in </w:t>
      </w:r>
      <w:r w:rsidR="0043047B" w:rsidRPr="0043047B">
        <w:fldChar w:fldCharType="begin"/>
      </w:r>
      <w:r w:rsidR="0043047B" w:rsidRPr="0043047B">
        <w:instrText xml:space="preserve"> REF _Ref136353691 \h </w:instrText>
      </w:r>
      <w:r w:rsidR="0043047B">
        <w:instrText xml:space="preserve"> \* MERGEFORMAT </w:instrText>
      </w:r>
      <w:r w:rsidR="0043047B" w:rsidRPr="0043047B">
        <w:fldChar w:fldCharType="separate"/>
      </w:r>
      <w:r w:rsidR="00BC412E">
        <w:t>Figure 3</w:t>
      </w:r>
      <w:r w:rsidR="0043047B" w:rsidRPr="0043047B">
        <w:fldChar w:fldCharType="end"/>
      </w:r>
      <w:r w:rsidRPr="0043047B">
        <w:t xml:space="preserve">). Research indicates that early-stage finance is hugely skewed in terms of its spatial distribution, not just in the UK but in most other major economies such as the US, China, </w:t>
      </w:r>
      <w:proofErr w:type="gramStart"/>
      <w:r w:rsidRPr="0043047B">
        <w:t>Canada</w:t>
      </w:r>
      <w:proofErr w:type="gramEnd"/>
      <w:r w:rsidRPr="0043047B">
        <w:t xml:space="preserve"> and Germany (Fritsch and Schilder, 2008</w:t>
      </w:r>
      <w:r w:rsidR="0043047B" w:rsidRPr="0043047B">
        <w:footnoteReference w:id="24"/>
      </w:r>
      <w:r w:rsidRPr="0043047B">
        <w:t>; Chen et al, 2010</w:t>
      </w:r>
      <w:r w:rsidR="0043047B" w:rsidRPr="00FC1F26">
        <w:rPr>
          <w:vertAlign w:val="superscript"/>
        </w:rPr>
        <w:footnoteReference w:id="25"/>
      </w:r>
      <w:r w:rsidRPr="0043047B">
        <w:t>; Harrison et al,</w:t>
      </w:r>
      <w:r w:rsidR="06895A3F" w:rsidRPr="00F170C8">
        <w:rPr>
          <w:rFonts w:cstheme="minorHAnsi"/>
        </w:rPr>
        <w:t xml:space="preserve"> </w:t>
      </w:r>
      <w:r w:rsidRPr="00F170C8">
        <w:rPr>
          <w:rFonts w:cstheme="minorHAnsi"/>
        </w:rPr>
        <w:lastRenderedPageBreak/>
        <w:t>2020</w:t>
      </w:r>
      <w:r w:rsidR="0043047B">
        <w:rPr>
          <w:rStyle w:val="FootnoteReference"/>
          <w:rFonts w:cstheme="minorHAnsi"/>
        </w:rPr>
        <w:footnoteReference w:id="26"/>
      </w:r>
      <w:r w:rsidRPr="00F170C8">
        <w:rPr>
          <w:rFonts w:cstheme="minorHAnsi"/>
        </w:rPr>
        <w:t xml:space="preserve">; </w:t>
      </w:r>
      <w:r w:rsidRPr="00F170C8">
        <w:rPr>
          <w:rFonts w:cstheme="minorHAnsi"/>
          <w:color w:val="222222"/>
          <w:shd w:val="clear" w:color="auto" w:fill="FFFFFF"/>
        </w:rPr>
        <w:t>McNaughton and Green, 1989</w:t>
      </w:r>
      <w:r w:rsidR="0043047B">
        <w:rPr>
          <w:rStyle w:val="FootnoteReference"/>
          <w:rFonts w:cstheme="minorHAnsi"/>
          <w:color w:val="222222"/>
          <w:shd w:val="clear" w:color="auto" w:fill="FFFFFF"/>
        </w:rPr>
        <w:footnoteReference w:id="27"/>
      </w:r>
      <w:r w:rsidRPr="00F170C8">
        <w:rPr>
          <w:rFonts w:cstheme="minorHAnsi"/>
        </w:rPr>
        <w:t>). Importantly, this acts as a major determinant of regional productivity differentials within these economies (Gardiner et al, 2012)</w:t>
      </w:r>
      <w:r w:rsidR="0043047B">
        <w:rPr>
          <w:rStyle w:val="FootnoteReference"/>
          <w:rFonts w:cstheme="minorHAnsi"/>
        </w:rPr>
        <w:footnoteReference w:id="28"/>
      </w:r>
      <w:r>
        <w:rPr>
          <w:rFonts w:cstheme="minorHAnsi"/>
        </w:rPr>
        <w:t>.</w:t>
      </w:r>
    </w:p>
    <w:p w14:paraId="7435778A" w14:textId="3150EA83" w:rsidR="00666387" w:rsidRPr="00666387" w:rsidRDefault="006F56A7" w:rsidP="00F37380">
      <w:pPr>
        <w:pStyle w:val="Caption"/>
      </w:pPr>
      <w:bookmarkStart w:id="76" w:name="_Ref136353691"/>
      <w:r>
        <w:t xml:space="preserve">Figure </w:t>
      </w:r>
      <w:r>
        <w:fldChar w:fldCharType="begin"/>
      </w:r>
      <w:r>
        <w:instrText>SEQ Figure \* ARABIC</w:instrText>
      </w:r>
      <w:r>
        <w:fldChar w:fldCharType="separate"/>
      </w:r>
      <w:r w:rsidR="00BC412E">
        <w:rPr>
          <w:noProof/>
        </w:rPr>
        <w:t>3</w:t>
      </w:r>
      <w:r>
        <w:fldChar w:fldCharType="end"/>
      </w:r>
      <w:bookmarkEnd w:id="76"/>
      <w:r w:rsidR="00CF05F6">
        <w:t>:</w:t>
      </w:r>
      <w:r>
        <w:t xml:space="preserve"> </w:t>
      </w:r>
      <w:r w:rsidRPr="00CA43AF">
        <w:rPr>
          <w:rFonts w:cs="Arial"/>
        </w:rPr>
        <w:t xml:space="preserve">Number of business </w:t>
      </w:r>
      <w:r w:rsidR="003F610F">
        <w:rPr>
          <w:rFonts w:cs="Arial"/>
        </w:rPr>
        <w:t>a</w:t>
      </w:r>
      <w:r w:rsidRPr="00CA43AF">
        <w:rPr>
          <w:rFonts w:cs="Arial"/>
        </w:rPr>
        <w:t xml:space="preserve">ngels and business </w:t>
      </w:r>
      <w:r w:rsidR="003F610F">
        <w:rPr>
          <w:rFonts w:cs="Arial"/>
        </w:rPr>
        <w:t>a</w:t>
      </w:r>
      <w:r w:rsidRPr="00CA43AF">
        <w:rPr>
          <w:rFonts w:cs="Arial"/>
        </w:rPr>
        <w:t>ngels deals per region</w:t>
      </w:r>
      <w:r w:rsidR="000D1BB1">
        <w:rPr>
          <w:rFonts w:cs="Arial"/>
        </w:rPr>
        <w:t xml:space="preserve"> </w:t>
      </w:r>
      <w:r w:rsidRPr="00CA43AF">
        <w:rPr>
          <w:rFonts w:cs="Arial"/>
        </w:rPr>
        <w:t>- 2017</w:t>
      </w:r>
      <w:r>
        <w:rPr>
          <w:rFonts w:cs="Arial"/>
        </w:rPr>
        <w:t xml:space="preserve"> (pre-RAP)</w:t>
      </w:r>
      <w:r w:rsidR="00F37380" w:rsidRPr="00F37380">
        <w:rPr>
          <w:noProof/>
        </w:rPr>
        <w:drawing>
          <wp:inline distT="0" distB="0" distL="0" distR="0" wp14:anchorId="29C99290" wp14:editId="7A5B7345">
            <wp:extent cx="6188710" cy="3686810"/>
            <wp:effectExtent l="0" t="0" r="0" b="0"/>
            <wp:docPr id="205217396" name="Picture 1" descr="Figure 3 displays a Bar chart illustrating the number of business angels and business angel deals across various UK regions in 2017 (pre-RAP). London, South East, and Scotland have the highest activity, while an 'Unknown' category shows a significant number of deals with few 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396" name="Picture 1" descr="Figure 3 displays a Bar chart illustrating the number of business angels and business angel deals across various UK regions in 2017 (pre-RAP). London, South East, and Scotland have the highest activity, while an 'Unknown' category shows a significant number of deals with few angels."/>
                    <pic:cNvPicPr/>
                  </pic:nvPicPr>
                  <pic:blipFill>
                    <a:blip r:embed="rId38"/>
                    <a:stretch>
                      <a:fillRect/>
                    </a:stretch>
                  </pic:blipFill>
                  <pic:spPr>
                    <a:xfrm>
                      <a:off x="0" y="0"/>
                      <a:ext cx="6188710" cy="3686810"/>
                    </a:xfrm>
                    <a:prstGeom prst="rect">
                      <a:avLst/>
                    </a:prstGeom>
                  </pic:spPr>
                </pic:pic>
              </a:graphicData>
            </a:graphic>
          </wp:inline>
        </w:drawing>
      </w:r>
    </w:p>
    <w:p w14:paraId="5A34E183" w14:textId="2DAD9E5D" w:rsidR="006F56A7" w:rsidRPr="00D8407C" w:rsidRDefault="006F56A7" w:rsidP="005C7FE3">
      <w:pPr>
        <w:jc w:val="center"/>
        <w:rPr>
          <w:i/>
        </w:rPr>
      </w:pPr>
      <w:r w:rsidRPr="00D8407C">
        <w:rPr>
          <w:i/>
          <w:iCs/>
        </w:rPr>
        <w:t xml:space="preserve">Source: </w:t>
      </w:r>
      <w:hyperlink r:id="rId39" w:history="1">
        <w:r w:rsidR="00C34B72">
          <w:rPr>
            <w:rStyle w:val="Hyperlink"/>
            <w:i/>
            <w:iCs/>
          </w:rPr>
          <w:t>The UK Business Angels market report 2018</w:t>
        </w:r>
      </w:hyperlink>
    </w:p>
    <w:p w14:paraId="085FE956" w14:textId="77777777" w:rsidR="0043047B" w:rsidRDefault="0043047B" w:rsidP="0043047B">
      <w:r>
        <w:t xml:space="preserve">Findings from this research were supported by stakeholder views during interviews, with key policy and industry body personnel acknowledging this regional inequality and noting the need for intervention due to the underdeveloped nature of the angel ecosystem in many regions outside London and the </w:t>
      </w:r>
      <w:proofErr w:type="gramStart"/>
      <w:r>
        <w:t>South East</w:t>
      </w:r>
      <w:proofErr w:type="gramEnd"/>
      <w:r>
        <w:t>.</w:t>
      </w:r>
    </w:p>
    <w:p w14:paraId="23BACE0F" w14:textId="62875019" w:rsidR="00436816" w:rsidRPr="00D8407C" w:rsidRDefault="0043047B" w:rsidP="0043047B">
      <w:r>
        <w:t xml:space="preserve">A policy stakeholder involved in the conceptualisation of the Programme went as far as to state that the issue in certain regions was not the regional gap, but instead </w:t>
      </w:r>
      <w:r w:rsidRPr="00D8407C">
        <w:rPr>
          <w:b/>
          <w:bCs/>
          <w:i/>
          <w:iCs/>
        </w:rPr>
        <w:t xml:space="preserve">“the lack of a market at all”. </w:t>
      </w:r>
      <w:r>
        <w:t xml:space="preserve">It was agreed that an intervention was required to develop and foster the </w:t>
      </w:r>
      <w:r>
        <w:lastRenderedPageBreak/>
        <w:t>early-stage investment ecosystem in these regions by not only increasing the supply of investment, but also by professionalising the landscape.</w:t>
      </w:r>
      <w:r w:rsidR="00BD0C52">
        <w:t xml:space="preserve"> </w:t>
      </w:r>
    </w:p>
    <w:p w14:paraId="7B469BCF" w14:textId="39F31936" w:rsidR="006E7103" w:rsidRDefault="0043047B" w:rsidP="00436816">
      <w:r>
        <w:t xml:space="preserve">The importance of this intervention was further highlighted by stakeholders who recognised the </w:t>
      </w:r>
      <w:r w:rsidRPr="00D8407C">
        <w:rPr>
          <w:b/>
          <w:bCs/>
        </w:rPr>
        <w:t xml:space="preserve">critical role of </w:t>
      </w:r>
      <w:r>
        <w:rPr>
          <w:b/>
          <w:bCs/>
        </w:rPr>
        <w:t>a</w:t>
      </w:r>
      <w:r w:rsidRPr="00D8407C">
        <w:rPr>
          <w:b/>
          <w:bCs/>
        </w:rPr>
        <w:t>ngel investment in a healthy investment ecosystem</w:t>
      </w:r>
      <w:r>
        <w:t xml:space="preserve">, acknowledging angel investment as the </w:t>
      </w:r>
      <w:r w:rsidRPr="00D8407C">
        <w:rPr>
          <w:b/>
          <w:i/>
        </w:rPr>
        <w:t>“starting point”</w:t>
      </w:r>
      <w:r>
        <w:t xml:space="preserve"> for later-stage investment and therefore </w:t>
      </w:r>
      <w:r w:rsidRPr="006951A4">
        <w:t xml:space="preserve">crucial </w:t>
      </w:r>
      <w:r>
        <w:t>to</w:t>
      </w:r>
      <w:r w:rsidRPr="006951A4">
        <w:t xml:space="preserve"> the </w:t>
      </w:r>
      <w:r>
        <w:t xml:space="preserve">successful </w:t>
      </w:r>
      <w:r w:rsidRPr="006951A4">
        <w:t xml:space="preserve">development </w:t>
      </w:r>
      <w:r>
        <w:t>of UK companies and future of innovation and productivity.</w:t>
      </w:r>
      <w:r w:rsidR="00BA7BB4">
        <w:t xml:space="preserve"> </w:t>
      </w:r>
      <w:r w:rsidR="006E7103">
        <w:t xml:space="preserve"> </w:t>
      </w:r>
    </w:p>
    <w:p w14:paraId="29271BFB" w14:textId="77777777" w:rsidR="0043047B" w:rsidRDefault="0043047B" w:rsidP="0043047B">
      <w:pPr>
        <w:pStyle w:val="Heading2"/>
      </w:pPr>
      <w:bookmarkStart w:id="77" w:name="_Toc144830552"/>
      <w:bookmarkStart w:id="78" w:name="_Toc165482216"/>
      <w:bookmarkStart w:id="79" w:name="_Toc165497179"/>
      <w:r>
        <w:t>4.3 A lack of government intervention in the angel investment ecosystem</w:t>
      </w:r>
      <w:bookmarkEnd w:id="77"/>
      <w:bookmarkEnd w:id="78"/>
      <w:bookmarkEnd w:id="79"/>
    </w:p>
    <w:p w14:paraId="5C6942E0" w14:textId="2DC763A7" w:rsidR="0043047B" w:rsidRDefault="2406F797" w:rsidP="0043047B">
      <w:pPr>
        <w:rPr>
          <w:b/>
        </w:rPr>
      </w:pPr>
      <w:r>
        <w:t xml:space="preserve">Stakeholders highlighted the lack of wide-scale government intervention to support angel investment in the UK. One of the </w:t>
      </w:r>
      <w:proofErr w:type="gramStart"/>
      <w:r>
        <w:t>most commonly cited</w:t>
      </w:r>
      <w:proofErr w:type="gramEnd"/>
      <w:r>
        <w:t xml:space="preserve"> sources of government support for </w:t>
      </w:r>
      <w:r w:rsidR="00807BA0">
        <w:t>early-stage</w:t>
      </w:r>
      <w:r>
        <w:t xml:space="preserve"> firms cited by Partners are tax incentive schemes like EIS/SEIS which have shown increases in the quantum of investment in early-stage companies over time</w:t>
      </w:r>
      <w:r w:rsidR="0043047B">
        <w:rPr>
          <w:rStyle w:val="FootnoteReference"/>
        </w:rPr>
        <w:footnoteReference w:id="29"/>
      </w:r>
      <w:r>
        <w:t>. Most RAP funded Partners claimed to have benefitted from EIS/SEIS and suggested the RAP funding was complementary to this. Partners cited the biggest limitation with the SEIS scheme being the cap on investment amounts, although a few welcomed the government’s decision to increase the cap from £150,000 to £250,000</w:t>
      </w:r>
      <w:r w:rsidR="0043047B">
        <w:rPr>
          <w:rStyle w:val="FootnoteReference"/>
        </w:rPr>
        <w:footnoteReference w:id="30"/>
      </w:r>
      <w:r>
        <w:t xml:space="preserve">. Other tax-relief schemes include Social Investment Tax Relief (SITR) and the Venture Capital Trust (VCT) schemes. The </w:t>
      </w:r>
      <w:r w:rsidRPr="001C0CA8">
        <w:t xml:space="preserve">Angel </w:t>
      </w:r>
      <w:proofErr w:type="spellStart"/>
      <w:r w:rsidRPr="001C0CA8">
        <w:t>CoFund</w:t>
      </w:r>
      <w:proofErr w:type="spellEnd"/>
      <w:r>
        <w:t xml:space="preserve"> was cited as the strongest intervention aside from RAP in terms of supporting angel investment. However, stakeholders largely felt that these </w:t>
      </w:r>
      <w:r w:rsidRPr="00D8407C">
        <w:rPr>
          <w:b/>
          <w:bCs/>
        </w:rPr>
        <w:t>intervention</w:t>
      </w:r>
      <w:r>
        <w:rPr>
          <w:b/>
          <w:bCs/>
        </w:rPr>
        <w:t>s</w:t>
      </w:r>
      <w:r w:rsidRPr="00D8407C">
        <w:rPr>
          <w:b/>
          <w:bCs/>
        </w:rPr>
        <w:t xml:space="preserve"> prior to RAP had not </w:t>
      </w:r>
      <w:r>
        <w:rPr>
          <w:b/>
          <w:bCs/>
        </w:rPr>
        <w:t xml:space="preserve">had the required structural impact on the </w:t>
      </w:r>
      <w:r w:rsidRPr="1D262B7D">
        <w:rPr>
          <w:b/>
          <w:bCs/>
        </w:rPr>
        <w:t xml:space="preserve">regional </w:t>
      </w:r>
      <w:r>
        <w:rPr>
          <w:b/>
          <w:bCs/>
        </w:rPr>
        <w:t>angel investment ecosystem.</w:t>
      </w:r>
    </w:p>
    <w:p w14:paraId="3F86D0C9" w14:textId="4D376B48" w:rsidR="001C0CA8" w:rsidRDefault="0043047B" w:rsidP="0043047B">
      <w:r>
        <w:t xml:space="preserve">Whilst stakeholders spoke positively of the Angel </w:t>
      </w:r>
      <w:proofErr w:type="spellStart"/>
      <w:r>
        <w:t>CoFund</w:t>
      </w:r>
      <w:proofErr w:type="spellEnd"/>
      <w:r>
        <w:t xml:space="preserve">, they noted that its design does not allow it to influence the structure of the angel investment ecosystem as it is a </w:t>
      </w:r>
      <w:r w:rsidRPr="00D8407C">
        <w:rPr>
          <w:b/>
          <w:bCs/>
          <w:i/>
          <w:iCs/>
        </w:rPr>
        <w:t>“deal-by-deal”</w:t>
      </w:r>
      <w:r>
        <w:t xml:space="preserve"> Programme focused on co-investing alongside angels into specific firms rather than RAP which was designed to support the broader development and professionalisation of the angel investment ecosystem. An industry body stakeholder noted that the Angel </w:t>
      </w:r>
      <w:proofErr w:type="spellStart"/>
      <w:r>
        <w:t>CoFund’s</w:t>
      </w:r>
      <w:proofErr w:type="spellEnd"/>
      <w:r>
        <w:t xml:space="preserve"> emphasis on engaging with more experienced business angels further limits its </w:t>
      </w:r>
      <w:r>
        <w:lastRenderedPageBreak/>
        <w:t>influence on ecosystem development as angel groups in underserved regions tend to be more nascent.</w:t>
      </w:r>
      <w:r w:rsidR="003C1985">
        <w:t xml:space="preserve"> </w:t>
      </w:r>
    </w:p>
    <w:p w14:paraId="32F9F13C" w14:textId="44FA9824" w:rsidR="000036C9" w:rsidRDefault="0043047B" w:rsidP="00436816">
      <w:r>
        <w:t>This further demonstrates the need for RAP due to the lack of intervention taking place with sufficient scale to address such distinct regional inequalities across the UK – as well as the underserved tranche of nascent investors.</w:t>
      </w:r>
      <w:r w:rsidR="00A125D2">
        <w:t xml:space="preserve"> </w:t>
      </w:r>
    </w:p>
    <w:p w14:paraId="7649F420" w14:textId="77777777" w:rsidR="0043047B" w:rsidRDefault="0043047B" w:rsidP="0043047B">
      <w:pPr>
        <w:pStyle w:val="Heading2"/>
      </w:pPr>
      <w:bookmarkStart w:id="80" w:name="_Toc144830553"/>
      <w:bookmarkStart w:id="81" w:name="_Toc165482217"/>
      <w:bookmarkStart w:id="82" w:name="_Toc165497180"/>
      <w:r>
        <w:t xml:space="preserve">4.4 </w:t>
      </w:r>
      <w:r w:rsidRPr="00D8407C">
        <w:t>Assessment of the merits and disadvantages of the RAP model</w:t>
      </w:r>
      <w:bookmarkEnd w:id="80"/>
      <w:bookmarkEnd w:id="81"/>
      <w:bookmarkEnd w:id="82"/>
    </w:p>
    <w:p w14:paraId="0E2756CE" w14:textId="66399733" w:rsidR="0043047B" w:rsidRDefault="0043047B" w:rsidP="0043047B">
      <w:r>
        <w:t>The RAP was developed following the BPC which identified a gap in funding supply across underrepresented regions across the UK. In terms of other schemes offered for small businesses, the model for the RAP is unique with limited/ no substitutable scheme. Some schemes are region specific, such as the “</w:t>
      </w:r>
      <w:r w:rsidRPr="00653F73">
        <w:t xml:space="preserve">Investment Fund </w:t>
      </w:r>
      <w:r w:rsidR="00697194">
        <w:t>–</w:t>
      </w:r>
      <w:r w:rsidRPr="00653F73">
        <w:t xml:space="preserve"> North of England</w:t>
      </w:r>
      <w:r>
        <w:t xml:space="preserve">” which is only available for firms based in </w:t>
      </w:r>
      <w:r w:rsidRPr="00653F73">
        <w:t>the Northwest, Yorkshire, the Humber, and Tees Valley.</w:t>
      </w:r>
      <w:r>
        <w:t xml:space="preserve"> Other schemes, such as the Future Fund, were in response to market shocks (Covid-19) where there was concern that viable early-stage business survival was at risk.</w:t>
      </w:r>
      <w:r w:rsidRPr="00653F73">
        <w:t xml:space="preserve"> </w:t>
      </w:r>
      <w:r w:rsidR="003D2049">
        <w:t xml:space="preserve">Annex F </w:t>
      </w:r>
      <w:r>
        <w:t xml:space="preserve">provides a non-exhaustive list of other schemes that may share some similarities to the RAP but are modelled differently depending on the required aim the scheme is trying to address. The Angel </w:t>
      </w:r>
      <w:proofErr w:type="spellStart"/>
      <w:r>
        <w:t>CoFund</w:t>
      </w:r>
      <w:proofErr w:type="spellEnd"/>
      <w:r>
        <w:t xml:space="preserve"> model shares similarities in terms of structure with the RAP, however, this scheme did not have an explicit focus on the regional underrepresentation of angel investment.</w:t>
      </w:r>
    </w:p>
    <w:p w14:paraId="0466C17C" w14:textId="1639D4F6" w:rsidR="004B28A6" w:rsidRDefault="0043047B" w:rsidP="0043047B">
      <w:r>
        <w:t xml:space="preserve">Below we have listed some schemes </w:t>
      </w:r>
      <w:proofErr w:type="gramStart"/>
      <w:r>
        <w:t>similar to</w:t>
      </w:r>
      <w:proofErr w:type="gramEnd"/>
      <w:r>
        <w:t xml:space="preserve"> the RAP for a comparison.</w:t>
      </w:r>
    </w:p>
    <w:p w14:paraId="6A0B7A12" w14:textId="77777777" w:rsidR="00AE1E15" w:rsidRDefault="00AE1E15" w:rsidP="0043047B"/>
    <w:p w14:paraId="055B0A57" w14:textId="77777777" w:rsidR="00AE1E15" w:rsidRDefault="00AE1E15" w:rsidP="0043047B"/>
    <w:p w14:paraId="245A9110" w14:textId="77777777" w:rsidR="00AE1E15" w:rsidRDefault="00AE1E15" w:rsidP="0043047B"/>
    <w:p w14:paraId="49975B53" w14:textId="77777777" w:rsidR="00AE1E15" w:rsidRDefault="00AE1E15" w:rsidP="0043047B"/>
    <w:p w14:paraId="1E0767EA" w14:textId="77777777" w:rsidR="00AE1E15" w:rsidRDefault="00AE1E15" w:rsidP="0043047B"/>
    <w:p w14:paraId="71590E7E" w14:textId="2E807BFB" w:rsidR="003C06F0" w:rsidRDefault="003C06F0" w:rsidP="003C06F0">
      <w:pPr>
        <w:pStyle w:val="Caption"/>
        <w:keepNext/>
      </w:pPr>
      <w:r>
        <w:lastRenderedPageBreak/>
        <w:t xml:space="preserve">Table </w:t>
      </w:r>
      <w:r w:rsidR="002728D8">
        <w:fldChar w:fldCharType="begin"/>
      </w:r>
      <w:r w:rsidR="002728D8">
        <w:instrText xml:space="preserve"> SEQ Table \* ARABIC </w:instrText>
      </w:r>
      <w:r w:rsidR="002728D8">
        <w:fldChar w:fldCharType="separate"/>
      </w:r>
      <w:r w:rsidR="00BC412E">
        <w:rPr>
          <w:noProof/>
        </w:rPr>
        <w:t>4</w:t>
      </w:r>
      <w:r w:rsidR="002728D8">
        <w:rPr>
          <w:noProof/>
        </w:rPr>
        <w:fldChar w:fldCharType="end"/>
      </w:r>
      <w:r>
        <w:t xml:space="preserve">: </w:t>
      </w:r>
      <w:r w:rsidRPr="001C0A38">
        <w:t>Finance schemes comparison</w:t>
      </w:r>
    </w:p>
    <w:tbl>
      <w:tblPr>
        <w:tblStyle w:val="PlainTable21"/>
        <w:tblW w:w="0" w:type="auto"/>
        <w:tblBorders>
          <w:top w:val="single" w:sz="4" w:space="0" w:color="142855" w:themeColor="text2"/>
          <w:bottom w:val="single" w:sz="4" w:space="0" w:color="auto"/>
          <w:insideH w:val="single" w:sz="4" w:space="0" w:color="142855" w:themeColor="text2"/>
        </w:tblBorders>
        <w:tblLook w:val="04A0" w:firstRow="1" w:lastRow="0" w:firstColumn="1" w:lastColumn="0" w:noHBand="0" w:noVBand="1"/>
      </w:tblPr>
      <w:tblGrid>
        <w:gridCol w:w="1672"/>
        <w:gridCol w:w="1773"/>
        <w:gridCol w:w="1673"/>
        <w:gridCol w:w="1701"/>
        <w:gridCol w:w="1327"/>
        <w:gridCol w:w="1600"/>
      </w:tblGrid>
      <w:tr w:rsidR="006E7764" w14:paraId="1412629F" w14:textId="47B880C2" w:rsidTr="00AE1E15">
        <w:trPr>
          <w:cnfStyle w:val="100000000000" w:firstRow="1" w:lastRow="0" w:firstColumn="0" w:lastColumn="0" w:oddVBand="0" w:evenVBand="0" w:oddHBand="0"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1672" w:type="dxa"/>
          </w:tcPr>
          <w:p w14:paraId="38F1532F" w14:textId="7BA44420" w:rsidR="001E2558" w:rsidRPr="0051091B" w:rsidRDefault="001E2558" w:rsidP="00957DB2">
            <w:pPr>
              <w:rPr>
                <w:color w:val="142855" w:themeColor="text2"/>
              </w:rPr>
            </w:pPr>
            <w:r w:rsidRPr="4457CD75">
              <w:rPr>
                <w:color w:val="142855" w:themeColor="text2"/>
              </w:rPr>
              <w:t>Scheme</w:t>
            </w:r>
          </w:p>
        </w:tc>
        <w:tc>
          <w:tcPr>
            <w:tcW w:w="1773" w:type="dxa"/>
          </w:tcPr>
          <w:p w14:paraId="1D110C97" w14:textId="4078E560" w:rsidR="001E2558" w:rsidRPr="006377F5" w:rsidRDefault="001E2558" w:rsidP="4457CD75">
            <w:pPr>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Product/ Instrument</w:t>
            </w:r>
          </w:p>
        </w:tc>
        <w:tc>
          <w:tcPr>
            <w:tcW w:w="1673" w:type="dxa"/>
          </w:tcPr>
          <w:p w14:paraId="321CC084" w14:textId="466BCAD6" w:rsidR="001E2558" w:rsidRPr="0051091B" w:rsidRDefault="001E2558" w:rsidP="4457CD75">
            <w:pPr>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Scheme owner(s)</w:t>
            </w:r>
          </w:p>
        </w:tc>
        <w:tc>
          <w:tcPr>
            <w:tcW w:w="1701" w:type="dxa"/>
          </w:tcPr>
          <w:p w14:paraId="3C8BBD64" w14:textId="53520ECC" w:rsidR="001E2558" w:rsidRPr="0051091B" w:rsidRDefault="001E2558" w:rsidP="4457CD75">
            <w:pPr>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 xml:space="preserve">Finance amount </w:t>
            </w:r>
            <w:r w:rsidR="00807C73" w:rsidRPr="4457CD75">
              <w:rPr>
                <w:color w:val="142855" w:themeColor="text2"/>
              </w:rPr>
              <w:t>per investment round</w:t>
            </w:r>
            <w:r w:rsidRPr="4457CD75">
              <w:rPr>
                <w:color w:val="142855" w:themeColor="text2"/>
              </w:rPr>
              <w:t xml:space="preserve"> (GBP)</w:t>
            </w:r>
          </w:p>
        </w:tc>
        <w:tc>
          <w:tcPr>
            <w:tcW w:w="1327" w:type="dxa"/>
          </w:tcPr>
          <w:p w14:paraId="3DB2A44A" w14:textId="2B6472CD" w:rsidR="00D218D8" w:rsidRDefault="00D218D8" w:rsidP="4457CD75">
            <w:pPr>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Regional focus</w:t>
            </w:r>
          </w:p>
        </w:tc>
        <w:tc>
          <w:tcPr>
            <w:tcW w:w="1600" w:type="dxa"/>
          </w:tcPr>
          <w:p w14:paraId="66D9C3BF" w14:textId="6250EC8D" w:rsidR="00105316" w:rsidRDefault="00105316" w:rsidP="4457CD75">
            <w:pPr>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Investment recipient</w:t>
            </w:r>
          </w:p>
        </w:tc>
      </w:tr>
      <w:tr w:rsidR="006E7764" w14:paraId="4434A03B" w14:textId="77777777" w:rsidTr="00AE1E15">
        <w:trPr>
          <w:cnfStyle w:val="000000100000" w:firstRow="0" w:lastRow="0" w:firstColumn="0" w:lastColumn="0" w:oddVBand="0" w:evenVBand="0" w:oddHBand="1" w:evenHBand="0" w:firstRowFirstColumn="0" w:firstRowLastColumn="0" w:lastRowFirstColumn="0" w:lastRowLastColumn="0"/>
          <w:trHeight w:val="3087"/>
        </w:trPr>
        <w:tc>
          <w:tcPr>
            <w:cnfStyle w:val="001000000000" w:firstRow="0" w:lastRow="0" w:firstColumn="1" w:lastColumn="0" w:oddVBand="0" w:evenVBand="0" w:oddHBand="0" w:evenHBand="0" w:firstRowFirstColumn="0" w:firstRowLastColumn="0" w:lastRowFirstColumn="0" w:lastRowLastColumn="0"/>
            <w:tcW w:w="1672" w:type="dxa"/>
          </w:tcPr>
          <w:p w14:paraId="205E18FF" w14:textId="021CE2A8" w:rsidR="001E2558" w:rsidRPr="0051091B" w:rsidRDefault="001E2558" w:rsidP="00957DB2">
            <w:r>
              <w:t>Regional Angels Programme</w:t>
            </w:r>
          </w:p>
        </w:tc>
        <w:tc>
          <w:tcPr>
            <w:tcW w:w="1773" w:type="dxa"/>
          </w:tcPr>
          <w:p w14:paraId="54F1C10F" w14:textId="7CEA01B0" w:rsidR="001E2558" w:rsidRDefault="001E2558" w:rsidP="4457CD75">
            <w:pPr>
              <w:cnfStyle w:val="000000100000" w:firstRow="0" w:lastRow="0" w:firstColumn="0" w:lastColumn="0" w:oddVBand="0" w:evenVBand="0" w:oddHBand="1" w:evenHBand="0" w:firstRowFirstColumn="0" w:firstRowLastColumn="0" w:lastRowFirstColumn="0" w:lastRowLastColumn="0"/>
            </w:pPr>
            <w:r>
              <w:t>Equity/ Quasi-equity (e.g., CLN)</w:t>
            </w:r>
          </w:p>
        </w:tc>
        <w:tc>
          <w:tcPr>
            <w:tcW w:w="1673" w:type="dxa"/>
          </w:tcPr>
          <w:p w14:paraId="59882ECB" w14:textId="1972C1B1" w:rsidR="001E2558" w:rsidRPr="0051091B" w:rsidRDefault="001E2558" w:rsidP="4457CD75">
            <w:pPr>
              <w:cnfStyle w:val="000000100000" w:firstRow="0" w:lastRow="0" w:firstColumn="0" w:lastColumn="0" w:oddVBand="0" w:evenVBand="0" w:oddHBand="1" w:evenHBand="0" w:firstRowFirstColumn="0" w:firstRowLastColumn="0" w:lastRowFirstColumn="0" w:lastRowLastColumn="0"/>
            </w:pPr>
            <w:r>
              <w:t>British Business Bank</w:t>
            </w:r>
          </w:p>
        </w:tc>
        <w:tc>
          <w:tcPr>
            <w:tcW w:w="1701" w:type="dxa"/>
          </w:tcPr>
          <w:p w14:paraId="207FAAF6" w14:textId="0A7C90D6" w:rsidR="001E2558" w:rsidRPr="0051091B" w:rsidRDefault="00807C73" w:rsidP="4457CD75">
            <w:pPr>
              <w:cnfStyle w:val="000000100000" w:firstRow="0" w:lastRow="0" w:firstColumn="0" w:lastColumn="0" w:oddVBand="0" w:evenVBand="0" w:oddHBand="1" w:evenHBand="0" w:firstRowFirstColumn="0" w:firstRowLastColumn="0" w:lastRowFirstColumn="0" w:lastRowLastColumn="0"/>
            </w:pPr>
            <w:r>
              <w:t>£100k - £1,500k</w:t>
            </w:r>
          </w:p>
        </w:tc>
        <w:tc>
          <w:tcPr>
            <w:tcW w:w="1327" w:type="dxa"/>
          </w:tcPr>
          <w:p w14:paraId="04BF0D6E" w14:textId="60A3FAB4" w:rsidR="00D218D8" w:rsidRDefault="00D218D8" w:rsidP="4457CD75">
            <w:pPr>
              <w:cnfStyle w:val="000000100000" w:firstRow="0" w:lastRow="0" w:firstColumn="0" w:lastColumn="0" w:oddVBand="0" w:evenVBand="0" w:oddHBand="1" w:evenHBand="0" w:firstRowFirstColumn="0" w:firstRowLastColumn="0" w:lastRowFirstColumn="0" w:lastRowLastColumn="0"/>
            </w:pPr>
            <w:r>
              <w:t>Yes</w:t>
            </w:r>
          </w:p>
        </w:tc>
        <w:tc>
          <w:tcPr>
            <w:tcW w:w="1600" w:type="dxa"/>
          </w:tcPr>
          <w:p w14:paraId="32F24140" w14:textId="71D999DE" w:rsidR="00D51E39" w:rsidRDefault="00D51E39" w:rsidP="4457CD75">
            <w:pPr>
              <w:cnfStyle w:val="000000100000" w:firstRow="0" w:lastRow="0" w:firstColumn="0" w:lastColumn="0" w:oddVBand="0" w:evenVBand="0" w:oddHBand="1" w:evenHBand="0" w:firstRowFirstColumn="0" w:firstRowLastColumn="0" w:lastRowFirstColumn="0" w:lastRowLastColumn="0"/>
            </w:pPr>
            <w:r>
              <w:t xml:space="preserve">Angel </w:t>
            </w:r>
            <w:r w:rsidR="00BC48C5">
              <w:t>i</w:t>
            </w:r>
            <w:r>
              <w:t>nvestor/ syndicate – they had discretion over where to invest.</w:t>
            </w:r>
          </w:p>
        </w:tc>
      </w:tr>
      <w:tr w:rsidR="006E7764" w14:paraId="3F9B629E" w14:textId="77777777" w:rsidTr="00AE1E15">
        <w:trPr>
          <w:trHeight w:val="2062"/>
        </w:trPr>
        <w:tc>
          <w:tcPr>
            <w:cnfStyle w:val="001000000000" w:firstRow="0" w:lastRow="0" w:firstColumn="1" w:lastColumn="0" w:oddVBand="0" w:evenVBand="0" w:oddHBand="0" w:evenHBand="0" w:firstRowFirstColumn="0" w:firstRowLastColumn="0" w:lastRowFirstColumn="0" w:lastRowLastColumn="0"/>
            <w:tcW w:w="1672" w:type="dxa"/>
          </w:tcPr>
          <w:p w14:paraId="119071EA" w14:textId="43F0D19C" w:rsidR="001E2558" w:rsidRPr="0051091B" w:rsidRDefault="001E2558" w:rsidP="00957DB2">
            <w:r>
              <w:t xml:space="preserve">Angel </w:t>
            </w:r>
            <w:proofErr w:type="spellStart"/>
            <w:r>
              <w:t>CoFund</w:t>
            </w:r>
            <w:proofErr w:type="spellEnd"/>
          </w:p>
        </w:tc>
        <w:tc>
          <w:tcPr>
            <w:tcW w:w="1773" w:type="dxa"/>
          </w:tcPr>
          <w:p w14:paraId="6D6EC6C4" w14:textId="370C3948" w:rsidR="001E2558" w:rsidRPr="00280974" w:rsidRDefault="001E2558" w:rsidP="4457CD75">
            <w:pPr>
              <w:cnfStyle w:val="000000000000" w:firstRow="0" w:lastRow="0" w:firstColumn="0" w:lastColumn="0" w:oddVBand="0" w:evenVBand="0" w:oddHBand="0" w:evenHBand="0" w:firstRowFirstColumn="0" w:firstRowLastColumn="0" w:lastRowFirstColumn="0" w:lastRowLastColumn="0"/>
            </w:pPr>
            <w:r>
              <w:t>Equity</w:t>
            </w:r>
          </w:p>
        </w:tc>
        <w:tc>
          <w:tcPr>
            <w:tcW w:w="1673" w:type="dxa"/>
          </w:tcPr>
          <w:p w14:paraId="4DCC4636" w14:textId="546E48D3" w:rsidR="001E2558" w:rsidRPr="0051091B" w:rsidRDefault="001E2558" w:rsidP="4457CD75">
            <w:pPr>
              <w:cnfStyle w:val="000000000000" w:firstRow="0" w:lastRow="0" w:firstColumn="0" w:lastColumn="0" w:oddVBand="0" w:evenVBand="0" w:oddHBand="0" w:evenHBand="0" w:firstRowFirstColumn="0" w:firstRowLastColumn="0" w:lastRowFirstColumn="0" w:lastRowLastColumn="0"/>
            </w:pPr>
            <w:r>
              <w:t>British Business Bank</w:t>
            </w:r>
          </w:p>
        </w:tc>
        <w:tc>
          <w:tcPr>
            <w:tcW w:w="1701" w:type="dxa"/>
          </w:tcPr>
          <w:p w14:paraId="3946F7FA" w14:textId="62FC3CEC" w:rsidR="001E2558" w:rsidRPr="0051091B" w:rsidRDefault="0035771B" w:rsidP="4457CD75">
            <w:pPr>
              <w:cnfStyle w:val="000000000000" w:firstRow="0" w:lastRow="0" w:firstColumn="0" w:lastColumn="0" w:oddVBand="0" w:evenVBand="0" w:oddHBand="0" w:evenHBand="0" w:firstRowFirstColumn="0" w:firstRowLastColumn="0" w:lastRowFirstColumn="0" w:lastRowLastColumn="0"/>
            </w:pPr>
            <w:r>
              <w:t>£100k - £1,000k</w:t>
            </w:r>
          </w:p>
        </w:tc>
        <w:tc>
          <w:tcPr>
            <w:tcW w:w="1327" w:type="dxa"/>
          </w:tcPr>
          <w:p w14:paraId="0F3F38D0" w14:textId="63E34812" w:rsidR="00D218D8" w:rsidRDefault="00D218D8" w:rsidP="4457CD75">
            <w:pPr>
              <w:cnfStyle w:val="000000000000" w:firstRow="0" w:lastRow="0" w:firstColumn="0" w:lastColumn="0" w:oddVBand="0" w:evenVBand="0" w:oddHBand="0" w:evenHBand="0" w:firstRowFirstColumn="0" w:firstRowLastColumn="0" w:lastRowFirstColumn="0" w:lastRowLastColumn="0"/>
            </w:pPr>
            <w:r>
              <w:t>Not explicitly defined</w:t>
            </w:r>
          </w:p>
        </w:tc>
        <w:tc>
          <w:tcPr>
            <w:tcW w:w="1600" w:type="dxa"/>
          </w:tcPr>
          <w:p w14:paraId="6F179B3F" w14:textId="08A6202C" w:rsidR="00D51E39" w:rsidRDefault="00D51E39" w:rsidP="4457CD75">
            <w:pPr>
              <w:cnfStyle w:val="000000000000" w:firstRow="0" w:lastRow="0" w:firstColumn="0" w:lastColumn="0" w:oddVBand="0" w:evenVBand="0" w:oddHBand="0" w:evenHBand="0" w:firstRowFirstColumn="0" w:firstRowLastColumn="0" w:lastRowFirstColumn="0" w:lastRowLastColumn="0"/>
            </w:pPr>
            <w:r>
              <w:t xml:space="preserve">Angel </w:t>
            </w:r>
            <w:r w:rsidR="00BC48C5">
              <w:t>i</w:t>
            </w:r>
            <w:r>
              <w:t>nvestor/ syndicate – they had discretion over where to invest.</w:t>
            </w:r>
          </w:p>
        </w:tc>
      </w:tr>
      <w:tr w:rsidR="006E7764" w14:paraId="01F44FDF" w14:textId="77777777" w:rsidTr="00AE1E15">
        <w:trPr>
          <w:cnfStyle w:val="000000100000" w:firstRow="0" w:lastRow="0" w:firstColumn="0" w:lastColumn="0" w:oddVBand="0" w:evenVBand="0" w:oddHBand="1" w:evenHBand="0" w:firstRowFirstColumn="0" w:firstRowLastColumn="0" w:lastRowFirstColumn="0" w:lastRowLastColumn="0"/>
          <w:trHeight w:val="2674"/>
        </w:trPr>
        <w:tc>
          <w:tcPr>
            <w:cnfStyle w:val="001000000000" w:firstRow="0" w:lastRow="0" w:firstColumn="1" w:lastColumn="0" w:oddVBand="0" w:evenVBand="0" w:oddHBand="0" w:evenHBand="0" w:firstRowFirstColumn="0" w:firstRowLastColumn="0" w:lastRowFirstColumn="0" w:lastRowLastColumn="0"/>
            <w:tcW w:w="1672" w:type="dxa"/>
          </w:tcPr>
          <w:p w14:paraId="2E9645E6" w14:textId="1EE8EDA8" w:rsidR="001E2558" w:rsidRPr="0051091B" w:rsidRDefault="001E2558" w:rsidP="00957DB2">
            <w:r>
              <w:t>Future Fund</w:t>
            </w:r>
          </w:p>
        </w:tc>
        <w:tc>
          <w:tcPr>
            <w:tcW w:w="1773" w:type="dxa"/>
          </w:tcPr>
          <w:p w14:paraId="5604550E" w14:textId="66CEB4F8" w:rsidR="001E2558" w:rsidRPr="0051091B" w:rsidRDefault="001E2558" w:rsidP="4457CD75">
            <w:pPr>
              <w:cnfStyle w:val="000000100000" w:firstRow="0" w:lastRow="0" w:firstColumn="0" w:lastColumn="0" w:oddVBand="0" w:evenVBand="0" w:oddHBand="1" w:evenHBand="0" w:firstRowFirstColumn="0" w:firstRowLastColumn="0" w:lastRowFirstColumn="0" w:lastRowLastColumn="0"/>
            </w:pPr>
            <w:r>
              <w:t>Quasi-equity (CLN)</w:t>
            </w:r>
          </w:p>
        </w:tc>
        <w:tc>
          <w:tcPr>
            <w:tcW w:w="1673" w:type="dxa"/>
          </w:tcPr>
          <w:p w14:paraId="7F3FE561" w14:textId="3356C074" w:rsidR="001E2558" w:rsidRPr="0051091B" w:rsidRDefault="001E2558" w:rsidP="4457CD75">
            <w:pPr>
              <w:cnfStyle w:val="000000100000" w:firstRow="0" w:lastRow="0" w:firstColumn="0" w:lastColumn="0" w:oddVBand="0" w:evenVBand="0" w:oddHBand="1" w:evenHBand="0" w:firstRowFirstColumn="0" w:firstRowLastColumn="0" w:lastRowFirstColumn="0" w:lastRowLastColumn="0"/>
            </w:pPr>
            <w:r>
              <w:t>British Business Bank</w:t>
            </w:r>
          </w:p>
        </w:tc>
        <w:tc>
          <w:tcPr>
            <w:tcW w:w="1701" w:type="dxa"/>
          </w:tcPr>
          <w:p w14:paraId="3CC43504" w14:textId="51908C49" w:rsidR="001E2558" w:rsidRPr="0051091B" w:rsidRDefault="00807C73" w:rsidP="4457CD75">
            <w:pPr>
              <w:cnfStyle w:val="000000100000" w:firstRow="0" w:lastRow="0" w:firstColumn="0" w:lastColumn="0" w:oddVBand="0" w:evenVBand="0" w:oddHBand="1" w:evenHBand="0" w:firstRowFirstColumn="0" w:firstRowLastColumn="0" w:lastRowFirstColumn="0" w:lastRowLastColumn="0"/>
            </w:pPr>
            <w:r>
              <w:t>£125k - £5,000k</w:t>
            </w:r>
          </w:p>
        </w:tc>
        <w:tc>
          <w:tcPr>
            <w:tcW w:w="1327" w:type="dxa"/>
          </w:tcPr>
          <w:p w14:paraId="2D2C9397" w14:textId="041EDCB3" w:rsidR="00D218D8" w:rsidRDefault="00D218D8" w:rsidP="4457CD75">
            <w:pPr>
              <w:cnfStyle w:val="000000100000" w:firstRow="0" w:lastRow="0" w:firstColumn="0" w:lastColumn="0" w:oddVBand="0" w:evenVBand="0" w:oddHBand="1" w:evenHBand="0" w:firstRowFirstColumn="0" w:firstRowLastColumn="0" w:lastRowFirstColumn="0" w:lastRowLastColumn="0"/>
            </w:pPr>
            <w:r>
              <w:t>Not explicitly defined</w:t>
            </w:r>
          </w:p>
        </w:tc>
        <w:tc>
          <w:tcPr>
            <w:tcW w:w="1600" w:type="dxa"/>
          </w:tcPr>
          <w:p w14:paraId="3977D28F" w14:textId="682CEAEF" w:rsidR="00D51E39" w:rsidRDefault="00D51E39" w:rsidP="4457CD75">
            <w:pPr>
              <w:cnfStyle w:val="000000100000" w:firstRow="0" w:lastRow="0" w:firstColumn="0" w:lastColumn="0" w:oddVBand="0" w:evenVBand="0" w:oddHBand="1" w:evenHBand="0" w:firstRowFirstColumn="0" w:firstRowLastColumn="0" w:lastRowFirstColumn="0" w:lastRowLastColumn="0"/>
            </w:pPr>
            <w:r>
              <w:t xml:space="preserve">Lead </w:t>
            </w:r>
            <w:r w:rsidR="00BC48C5">
              <w:t>i</w:t>
            </w:r>
            <w:r>
              <w:t>nvestor applies, but funding flows to businesses.</w:t>
            </w:r>
          </w:p>
        </w:tc>
      </w:tr>
      <w:tr w:rsidR="00B16629" w14:paraId="1BA2DDEA" w14:textId="77777777" w:rsidTr="00AE1E15">
        <w:trPr>
          <w:trHeight w:val="5561"/>
        </w:trPr>
        <w:tc>
          <w:tcPr>
            <w:cnfStyle w:val="001000000000" w:firstRow="0" w:lastRow="0" w:firstColumn="1" w:lastColumn="0" w:oddVBand="0" w:evenVBand="0" w:oddHBand="0" w:evenHBand="0" w:firstRowFirstColumn="0" w:firstRowLastColumn="0" w:lastRowFirstColumn="0" w:lastRowLastColumn="0"/>
            <w:tcW w:w="1672" w:type="dxa"/>
          </w:tcPr>
          <w:p w14:paraId="7B514B8D" w14:textId="71445729" w:rsidR="001E2558" w:rsidRPr="0051091B" w:rsidRDefault="001E2558" w:rsidP="00957DB2">
            <w:r w:rsidRPr="001E2558">
              <w:lastRenderedPageBreak/>
              <w:t>Investment Fund - North of England</w:t>
            </w:r>
          </w:p>
        </w:tc>
        <w:tc>
          <w:tcPr>
            <w:tcW w:w="1773" w:type="dxa"/>
          </w:tcPr>
          <w:p w14:paraId="78CC6657" w14:textId="0D0A6210" w:rsidR="001E2558" w:rsidRPr="0051091B" w:rsidRDefault="001E2558" w:rsidP="4457CD75">
            <w:pPr>
              <w:cnfStyle w:val="000000000000" w:firstRow="0" w:lastRow="0" w:firstColumn="0" w:lastColumn="0" w:oddVBand="0" w:evenVBand="0" w:oddHBand="0" w:evenHBand="0" w:firstRowFirstColumn="0" w:firstRowLastColumn="0" w:lastRowFirstColumn="0" w:lastRowLastColumn="0"/>
            </w:pPr>
            <w:r>
              <w:t>Microfinance, Equity or Loan</w:t>
            </w:r>
          </w:p>
        </w:tc>
        <w:tc>
          <w:tcPr>
            <w:tcW w:w="1673" w:type="dxa"/>
          </w:tcPr>
          <w:p w14:paraId="547F1D34" w14:textId="49A30FD1" w:rsidR="001E2558" w:rsidRPr="0051091B" w:rsidRDefault="001E2558" w:rsidP="4457CD75">
            <w:pPr>
              <w:cnfStyle w:val="000000000000" w:firstRow="0" w:lastRow="0" w:firstColumn="0" w:lastColumn="0" w:oddVBand="0" w:evenVBand="0" w:oddHBand="0" w:evenHBand="0" w:firstRowFirstColumn="0" w:firstRowLastColumn="0" w:lastRowFirstColumn="0" w:lastRowLastColumn="0"/>
            </w:pPr>
            <w:r w:rsidRPr="001E2558">
              <w:t>Northern Powerhouse Investment Fund</w:t>
            </w:r>
            <w:r>
              <w:t xml:space="preserve"> – delivered by British Business Bank</w:t>
            </w:r>
          </w:p>
        </w:tc>
        <w:tc>
          <w:tcPr>
            <w:tcW w:w="1701" w:type="dxa"/>
          </w:tcPr>
          <w:p w14:paraId="393454F3" w14:textId="77777777" w:rsidR="001E2558" w:rsidRDefault="001E2558" w:rsidP="4457CD75">
            <w:pPr>
              <w:cnfStyle w:val="000000000000" w:firstRow="0" w:lastRow="0" w:firstColumn="0" w:lastColumn="0" w:oddVBand="0" w:evenVBand="0" w:oddHBand="0" w:evenHBand="0" w:firstRowFirstColumn="0" w:firstRowLastColumn="0" w:lastRowFirstColumn="0" w:lastRowLastColumn="0"/>
            </w:pPr>
            <w:r>
              <w:t>Microfinance (£25k - £100k)</w:t>
            </w:r>
          </w:p>
          <w:p w14:paraId="176FAD4C" w14:textId="77777777" w:rsidR="001E2558" w:rsidRDefault="001E2558" w:rsidP="4457CD75">
            <w:pPr>
              <w:cnfStyle w:val="000000000000" w:firstRow="0" w:lastRow="0" w:firstColumn="0" w:lastColumn="0" w:oddVBand="0" w:evenVBand="0" w:oddHBand="0" w:evenHBand="0" w:firstRowFirstColumn="0" w:firstRowLastColumn="0" w:lastRowFirstColumn="0" w:lastRowLastColumn="0"/>
            </w:pPr>
            <w:r>
              <w:t>Loan (£100k - £750k)</w:t>
            </w:r>
          </w:p>
          <w:p w14:paraId="33794A81" w14:textId="5DCD9F36" w:rsidR="001E2558" w:rsidRPr="0051091B" w:rsidRDefault="001E2558" w:rsidP="4457CD75">
            <w:pPr>
              <w:cnfStyle w:val="000000000000" w:firstRow="0" w:lastRow="0" w:firstColumn="0" w:lastColumn="0" w:oddVBand="0" w:evenVBand="0" w:oddHBand="0" w:evenHBand="0" w:firstRowFirstColumn="0" w:firstRowLastColumn="0" w:lastRowFirstColumn="0" w:lastRowLastColumn="0"/>
            </w:pPr>
            <w:r>
              <w:t>Equity (£50k - £2,000k)</w:t>
            </w:r>
          </w:p>
        </w:tc>
        <w:tc>
          <w:tcPr>
            <w:tcW w:w="1327" w:type="dxa"/>
          </w:tcPr>
          <w:p w14:paraId="0524BCC9" w14:textId="24974D1F" w:rsidR="00D218D8" w:rsidRDefault="00D218D8" w:rsidP="4457CD75">
            <w:pPr>
              <w:cnfStyle w:val="000000000000" w:firstRow="0" w:lastRow="0" w:firstColumn="0" w:lastColumn="0" w:oddVBand="0" w:evenVBand="0" w:oddHBand="0" w:evenHBand="0" w:firstRowFirstColumn="0" w:firstRowLastColumn="0" w:lastRowFirstColumn="0" w:lastRowLastColumn="0"/>
            </w:pPr>
            <w:r>
              <w:t>Yes – North of England based firms only.</w:t>
            </w:r>
          </w:p>
        </w:tc>
        <w:tc>
          <w:tcPr>
            <w:tcW w:w="1600" w:type="dxa"/>
          </w:tcPr>
          <w:p w14:paraId="2F151523" w14:textId="4A89F420" w:rsidR="00D51E39" w:rsidRPr="00D51E39" w:rsidRDefault="00D51E39" w:rsidP="4457CD75">
            <w:pPr>
              <w:cnfStyle w:val="000000000000" w:firstRow="0" w:lastRow="0" w:firstColumn="0" w:lastColumn="0" w:oddVBand="0" w:evenVBand="0" w:oddHBand="0" w:evenHBand="0" w:firstRowFirstColumn="0" w:firstRowLastColumn="0" w:lastRowFirstColumn="0" w:lastRowLastColumn="0"/>
            </w:pPr>
            <w:r w:rsidRPr="00D51E39">
              <w:t>NPIF has appointed fund managers who are responsible for evaluating applications and allocating funds to businesses.</w:t>
            </w:r>
          </w:p>
        </w:tc>
      </w:tr>
    </w:tbl>
    <w:p w14:paraId="3D9E7101" w14:textId="5EAF89F4" w:rsidR="007623AE" w:rsidRDefault="007623AE" w:rsidP="000036C9">
      <w:pPr>
        <w:rPr>
          <w:rFonts w:cs="Arial"/>
        </w:rPr>
      </w:pPr>
    </w:p>
    <w:p w14:paraId="5BDB5F11" w14:textId="4AD91D8C" w:rsidR="002B03F6" w:rsidRDefault="2406F797" w:rsidP="0043047B">
      <w:pPr>
        <w:rPr>
          <w:rFonts w:cs="Arial"/>
        </w:rPr>
      </w:pPr>
      <w:r>
        <w:rPr>
          <w:rFonts w:cs="Arial"/>
        </w:rPr>
        <w:t xml:space="preserve">An example of a comparative scheme that was not regionally targeted is the range of </w:t>
      </w:r>
      <w:r w:rsidRPr="00A73C7B">
        <w:rPr>
          <w:rFonts w:cs="Arial"/>
        </w:rPr>
        <w:t>Covid-19 lending support programmes</w:t>
      </w:r>
      <w:r>
        <w:rPr>
          <w:rFonts w:cs="Arial"/>
        </w:rPr>
        <w:t xml:space="preserve"> and loan guarantee schemes introduced by the UK government to address the liquidity crisis firms may have faced during the pandemic. </w:t>
      </w:r>
      <w:r w:rsidR="00715152">
        <w:rPr>
          <w:rFonts w:cs="Arial"/>
        </w:rPr>
        <w:t>Recent studies</w:t>
      </w:r>
      <w:r>
        <w:rPr>
          <w:rFonts w:cs="Arial"/>
        </w:rPr>
        <w:t xml:space="preserve"> on these schemes </w:t>
      </w:r>
      <w:r w:rsidRPr="00A73C7B">
        <w:rPr>
          <w:rFonts w:cs="Arial"/>
        </w:rPr>
        <w:t xml:space="preserve">found that while </w:t>
      </w:r>
      <w:r>
        <w:rPr>
          <w:rFonts w:cs="Arial"/>
        </w:rPr>
        <w:t>they</w:t>
      </w:r>
      <w:r w:rsidRPr="00A73C7B">
        <w:rPr>
          <w:rFonts w:cs="Arial"/>
        </w:rPr>
        <w:t xml:space="preserve"> were national and unaligned with</w:t>
      </w:r>
      <w:r w:rsidR="577C47FE" w:rsidRPr="00A73C7B">
        <w:rPr>
          <w:rFonts w:cs="Arial"/>
        </w:rPr>
        <w:t xml:space="preserve"> </w:t>
      </w:r>
      <w:r w:rsidRPr="00A73C7B">
        <w:rPr>
          <w:rFonts w:cs="Arial"/>
        </w:rPr>
        <w:t>regional policy, firms in poorer regions</w:t>
      </w:r>
      <w:r>
        <w:rPr>
          <w:rFonts w:cs="Arial"/>
        </w:rPr>
        <w:t xml:space="preserve"> were favoured in terms of access to this finance</w:t>
      </w:r>
      <w:r w:rsidR="0043047B">
        <w:rPr>
          <w:rStyle w:val="FootnoteReference"/>
          <w:rFonts w:cs="Arial"/>
        </w:rPr>
        <w:footnoteReference w:id="31"/>
      </w:r>
      <w:r w:rsidRPr="00A73C7B">
        <w:rPr>
          <w:rFonts w:cs="Arial"/>
        </w:rPr>
        <w:t>.</w:t>
      </w:r>
      <w:r>
        <w:rPr>
          <w:rFonts w:cs="Arial"/>
        </w:rPr>
        <w:t xml:space="preserve"> </w:t>
      </w:r>
      <w:r w:rsidR="00464FC0">
        <w:rPr>
          <w:rFonts w:cs="Arial"/>
        </w:rPr>
        <w:t>Moreover, l</w:t>
      </w:r>
      <w:r w:rsidR="00715152">
        <w:rPr>
          <w:rFonts w:cs="Arial"/>
        </w:rPr>
        <w:t xml:space="preserve">oan guarantee schemes </w:t>
      </w:r>
      <w:r w:rsidR="00715152" w:rsidRPr="00715152">
        <w:rPr>
          <w:rFonts w:cs="Arial"/>
        </w:rPr>
        <w:t>provide</w:t>
      </w:r>
      <w:r w:rsidR="00715152">
        <w:rPr>
          <w:rFonts w:cs="Arial"/>
        </w:rPr>
        <w:t>d</w:t>
      </w:r>
      <w:r w:rsidR="00715152" w:rsidRPr="00715152">
        <w:rPr>
          <w:rFonts w:cs="Arial"/>
        </w:rPr>
        <w:t xml:space="preserve"> crucial support to smaller businesses outside the wealthy </w:t>
      </w:r>
      <w:proofErr w:type="gramStart"/>
      <w:r w:rsidR="00715152" w:rsidRPr="00715152">
        <w:rPr>
          <w:rFonts w:cs="Arial"/>
        </w:rPr>
        <w:t>South East</w:t>
      </w:r>
      <w:proofErr w:type="gramEnd"/>
      <w:r w:rsidR="00715152" w:rsidRPr="00715152">
        <w:rPr>
          <w:rFonts w:cs="Arial"/>
        </w:rPr>
        <w:t xml:space="preserve"> of England. Despite falling short of complete levelling up, this ensured the survival and continued operation of smaller businesses across the UK as the </w:t>
      </w:r>
      <w:r w:rsidR="00464FC0">
        <w:rPr>
          <w:rFonts w:cs="Arial"/>
        </w:rPr>
        <w:t>Covid</w:t>
      </w:r>
      <w:r w:rsidR="00715152" w:rsidRPr="00715152">
        <w:rPr>
          <w:rFonts w:cs="Arial"/>
        </w:rPr>
        <w:t xml:space="preserve">-19 crisis </w:t>
      </w:r>
      <w:r w:rsidR="00464FC0">
        <w:rPr>
          <w:rFonts w:cs="Arial"/>
        </w:rPr>
        <w:t>was diminishing</w:t>
      </w:r>
      <w:r w:rsidR="00464FC0">
        <w:rPr>
          <w:rStyle w:val="FootnoteReference"/>
          <w:rFonts w:cs="Arial"/>
        </w:rPr>
        <w:footnoteReference w:id="32"/>
      </w:r>
      <w:r w:rsidR="00715152" w:rsidRPr="00715152">
        <w:rPr>
          <w:rFonts w:cs="Arial"/>
        </w:rPr>
        <w:t>.</w:t>
      </w:r>
    </w:p>
    <w:p w14:paraId="685ADE0D" w14:textId="0A3CDC48" w:rsidR="0043047B" w:rsidRDefault="2406F797" w:rsidP="0043047B">
      <w:pPr>
        <w:rPr>
          <w:rFonts w:cs="Arial"/>
        </w:rPr>
      </w:pPr>
      <w:r>
        <w:rPr>
          <w:rFonts w:cs="Arial"/>
        </w:rPr>
        <w:t xml:space="preserve">While this doesn’t provide evidence against the need for regionally targeted programmes, there may be key lessons learned from the roll-out and delivery of the loan scheme that RAP could benefit from. </w:t>
      </w:r>
    </w:p>
    <w:p w14:paraId="5EB48480" w14:textId="77777777" w:rsidR="00AE1E15" w:rsidRDefault="00AE1E15" w:rsidP="0043047B">
      <w:pPr>
        <w:rPr>
          <w:rFonts w:cs="Arial"/>
        </w:rPr>
      </w:pPr>
    </w:p>
    <w:p w14:paraId="56ABC9CA" w14:textId="77777777" w:rsidR="00AE1E15" w:rsidRDefault="00AE1E15" w:rsidP="0043047B">
      <w:pPr>
        <w:rPr>
          <w:rFonts w:cs="Arial"/>
        </w:rPr>
      </w:pPr>
    </w:p>
    <w:p w14:paraId="01059735" w14:textId="4E4C0D6C" w:rsidR="0043047B" w:rsidRDefault="0043047B" w:rsidP="0043047B">
      <w:pPr>
        <w:rPr>
          <w:rFonts w:cs="Arial"/>
        </w:rPr>
      </w:pPr>
      <w:proofErr w:type="gramStart"/>
      <w:r>
        <w:rPr>
          <w:rFonts w:cs="Arial"/>
        </w:rPr>
        <w:lastRenderedPageBreak/>
        <w:t>A number of</w:t>
      </w:r>
      <w:proofErr w:type="gramEnd"/>
      <w:r>
        <w:rPr>
          <w:rFonts w:cs="Arial"/>
        </w:rPr>
        <w:t xml:space="preserve"> RAP funded firms benefitted from other British Business Bank schemes. </w:t>
      </w:r>
    </w:p>
    <w:p w14:paraId="4E8670BE" w14:textId="648422DB" w:rsidR="0043047B" w:rsidRPr="004C712F" w:rsidRDefault="0043047B" w:rsidP="00491364">
      <w:pPr>
        <w:pStyle w:val="ListParagraph"/>
        <w:numPr>
          <w:ilvl w:val="0"/>
          <w:numId w:val="29"/>
        </w:numPr>
        <w:spacing w:line="360" w:lineRule="auto"/>
        <w:ind w:left="360"/>
        <w:rPr>
          <w:rFonts w:cstheme="minorHAnsi"/>
          <w:szCs w:val="24"/>
        </w:rPr>
      </w:pPr>
      <w:r>
        <w:rPr>
          <w:rFonts w:asciiTheme="minorHAnsi" w:hAnsiTheme="minorHAnsi" w:cstheme="minorHAnsi"/>
          <w:sz w:val="24"/>
          <w:szCs w:val="24"/>
        </w:rPr>
        <w:t xml:space="preserve">The Angel </w:t>
      </w:r>
      <w:proofErr w:type="spellStart"/>
      <w:r>
        <w:rPr>
          <w:rFonts w:asciiTheme="minorHAnsi" w:hAnsiTheme="minorHAnsi" w:cstheme="minorHAnsi"/>
          <w:sz w:val="24"/>
          <w:szCs w:val="24"/>
        </w:rPr>
        <w:t>CoFund</w:t>
      </w:r>
      <w:proofErr w:type="spellEnd"/>
      <w:r>
        <w:rPr>
          <w:rFonts w:asciiTheme="minorHAnsi" w:hAnsiTheme="minorHAnsi" w:cstheme="minorHAnsi"/>
          <w:sz w:val="24"/>
          <w:szCs w:val="24"/>
        </w:rPr>
        <w:t xml:space="preserve"> scheme </w:t>
      </w:r>
      <w:r w:rsidRPr="006C1E88">
        <w:rPr>
          <w:rFonts w:asciiTheme="minorHAnsi" w:hAnsiTheme="minorHAnsi" w:cstheme="minorHAnsi"/>
          <w:sz w:val="24"/>
          <w:szCs w:val="24"/>
        </w:rPr>
        <w:t xml:space="preserve">invests alongside syndicates of business </w:t>
      </w:r>
      <w:r>
        <w:rPr>
          <w:rFonts w:asciiTheme="minorHAnsi" w:hAnsiTheme="minorHAnsi" w:cstheme="minorHAnsi"/>
          <w:sz w:val="24"/>
          <w:szCs w:val="24"/>
        </w:rPr>
        <w:t>a</w:t>
      </w:r>
      <w:r w:rsidRPr="006C1E88">
        <w:rPr>
          <w:rFonts w:asciiTheme="minorHAnsi" w:hAnsiTheme="minorHAnsi" w:cstheme="minorHAnsi"/>
          <w:sz w:val="24"/>
          <w:szCs w:val="24"/>
        </w:rPr>
        <w:t>ngels to support businesses with strong growth potential</w:t>
      </w:r>
      <w:r>
        <w:rPr>
          <w:rFonts w:asciiTheme="minorHAnsi" w:hAnsiTheme="minorHAnsi" w:cstheme="minorHAnsi"/>
          <w:sz w:val="24"/>
          <w:szCs w:val="24"/>
        </w:rPr>
        <w:t xml:space="preserve"> - a small proportion of RAP funded firms (1.9%) participated in this </w:t>
      </w:r>
      <w:r w:rsidR="00AE1E15">
        <w:rPr>
          <w:rFonts w:asciiTheme="minorHAnsi" w:hAnsiTheme="minorHAnsi" w:cstheme="minorHAnsi"/>
          <w:sz w:val="24"/>
          <w:szCs w:val="24"/>
        </w:rPr>
        <w:t>scheme.</w:t>
      </w:r>
    </w:p>
    <w:p w14:paraId="16A0147A" w14:textId="2D80BC03" w:rsidR="0043047B" w:rsidRPr="00D8407C" w:rsidRDefault="0043047B" w:rsidP="00491364">
      <w:pPr>
        <w:pStyle w:val="ListParagraph"/>
        <w:numPr>
          <w:ilvl w:val="0"/>
          <w:numId w:val="29"/>
        </w:numPr>
        <w:spacing w:line="360" w:lineRule="auto"/>
        <w:ind w:left="360"/>
        <w:rPr>
          <w:rFonts w:asciiTheme="minorHAnsi" w:hAnsiTheme="minorHAnsi" w:cstheme="minorHAnsi"/>
          <w:sz w:val="24"/>
          <w:szCs w:val="24"/>
        </w:rPr>
      </w:pPr>
      <w:r>
        <w:rPr>
          <w:rFonts w:asciiTheme="minorHAnsi" w:hAnsiTheme="minorHAnsi" w:cstheme="minorHAnsi"/>
          <w:sz w:val="24"/>
          <w:szCs w:val="24"/>
        </w:rPr>
        <w:t xml:space="preserve">The </w:t>
      </w:r>
      <w:r w:rsidRPr="006C1E88">
        <w:rPr>
          <w:rFonts w:asciiTheme="minorHAnsi" w:hAnsiTheme="minorHAnsi" w:cstheme="minorHAnsi"/>
          <w:sz w:val="24"/>
          <w:szCs w:val="24"/>
        </w:rPr>
        <w:t xml:space="preserve">Bounce Back Loan Scheme </w:t>
      </w:r>
      <w:r>
        <w:rPr>
          <w:rFonts w:asciiTheme="minorHAnsi" w:hAnsiTheme="minorHAnsi" w:cstheme="minorHAnsi"/>
          <w:sz w:val="24"/>
          <w:szCs w:val="24"/>
        </w:rPr>
        <w:t xml:space="preserve">(BBLS) </w:t>
      </w:r>
      <w:r w:rsidRPr="006C1E88">
        <w:rPr>
          <w:rFonts w:asciiTheme="minorHAnsi" w:hAnsiTheme="minorHAnsi" w:cstheme="minorHAnsi"/>
          <w:sz w:val="24"/>
          <w:szCs w:val="24"/>
        </w:rPr>
        <w:t xml:space="preserve">provided financial support to businesses across the UK that were losing revenue, and seeing their cashflow disrupted, </w:t>
      </w:r>
      <w:proofErr w:type="gramStart"/>
      <w:r w:rsidRPr="006C1E88">
        <w:rPr>
          <w:rFonts w:asciiTheme="minorHAnsi" w:hAnsiTheme="minorHAnsi" w:cstheme="minorHAnsi"/>
          <w:sz w:val="24"/>
          <w:szCs w:val="24"/>
        </w:rPr>
        <w:t>as a result of</w:t>
      </w:r>
      <w:proofErr w:type="gramEnd"/>
      <w:r w:rsidRPr="006C1E88">
        <w:rPr>
          <w:rFonts w:asciiTheme="minorHAnsi" w:hAnsiTheme="minorHAnsi" w:cstheme="minorHAnsi"/>
          <w:sz w:val="24"/>
          <w:szCs w:val="24"/>
        </w:rPr>
        <w:t xml:space="preserve"> the Covid-19 outbreak</w:t>
      </w:r>
      <w:r>
        <w:rPr>
          <w:rFonts w:asciiTheme="minorHAnsi" w:hAnsiTheme="minorHAnsi" w:cstheme="minorHAnsi"/>
          <w:sz w:val="24"/>
          <w:szCs w:val="24"/>
        </w:rPr>
        <w:t xml:space="preserve"> – around 40% of RAP funded firms have benefitted from this </w:t>
      </w:r>
      <w:r w:rsidR="00AE1E15">
        <w:rPr>
          <w:rFonts w:asciiTheme="minorHAnsi" w:hAnsiTheme="minorHAnsi" w:cstheme="minorHAnsi"/>
          <w:sz w:val="24"/>
          <w:szCs w:val="24"/>
        </w:rPr>
        <w:t>scheme.</w:t>
      </w:r>
    </w:p>
    <w:p w14:paraId="4477DB71" w14:textId="08B7A4ED" w:rsidR="0043047B" w:rsidRPr="0043047B" w:rsidRDefault="2406F797" w:rsidP="00491364">
      <w:pPr>
        <w:pStyle w:val="ListParagraph"/>
        <w:numPr>
          <w:ilvl w:val="0"/>
          <w:numId w:val="29"/>
        </w:numPr>
        <w:spacing w:line="360" w:lineRule="auto"/>
        <w:ind w:left="360"/>
        <w:rPr>
          <w:rFonts w:cstheme="minorHAnsi"/>
          <w:szCs w:val="24"/>
        </w:rPr>
      </w:pPr>
      <w:r w:rsidRPr="00D8407C">
        <w:rPr>
          <w:rFonts w:asciiTheme="minorHAnsi" w:hAnsiTheme="minorHAnsi" w:cstheme="minorHAnsi"/>
          <w:sz w:val="24"/>
          <w:szCs w:val="24"/>
        </w:rPr>
        <w:t xml:space="preserve">Coronavirus Business Interruption Loan Scheme (CBILS), which was designed to “provide financial support to smaller businesses across the UK that were losing revenue, and seeing their cashflow disrupted, as a result of the </w:t>
      </w:r>
      <w:r>
        <w:rPr>
          <w:rFonts w:asciiTheme="minorHAnsi" w:hAnsiTheme="minorHAnsi" w:cstheme="minorHAnsi"/>
          <w:sz w:val="24"/>
          <w:szCs w:val="24"/>
        </w:rPr>
        <w:t>Covid-19</w:t>
      </w:r>
      <w:r w:rsidRPr="00D8407C">
        <w:rPr>
          <w:rFonts w:asciiTheme="minorHAnsi" w:hAnsiTheme="minorHAnsi" w:cstheme="minorHAnsi"/>
          <w:sz w:val="24"/>
          <w:szCs w:val="24"/>
        </w:rPr>
        <w:t xml:space="preserve"> outbreak”</w:t>
      </w:r>
      <w:r w:rsidR="0043047B" w:rsidRPr="00D8407C">
        <w:rPr>
          <w:rStyle w:val="FootnoteReference"/>
          <w:rFonts w:asciiTheme="minorHAnsi" w:hAnsiTheme="minorHAnsi" w:cstheme="minorHAnsi"/>
          <w:sz w:val="24"/>
          <w:szCs w:val="24"/>
        </w:rPr>
        <w:footnoteReference w:id="33"/>
      </w:r>
      <w:r>
        <w:rPr>
          <w:rFonts w:asciiTheme="minorHAnsi" w:hAnsiTheme="minorHAnsi" w:cstheme="minorHAnsi"/>
          <w:sz w:val="24"/>
          <w:szCs w:val="24"/>
        </w:rPr>
        <w:t xml:space="preserve"> - b</w:t>
      </w:r>
      <w:r w:rsidRPr="00D8407C">
        <w:rPr>
          <w:rFonts w:asciiTheme="minorHAnsi" w:hAnsiTheme="minorHAnsi" w:cstheme="minorHAnsi"/>
          <w:sz w:val="24"/>
          <w:szCs w:val="24"/>
        </w:rPr>
        <w:t xml:space="preserve">ased on data available, </w:t>
      </w:r>
      <w:r>
        <w:rPr>
          <w:rFonts w:asciiTheme="minorHAnsi" w:hAnsiTheme="minorHAnsi" w:cstheme="minorHAnsi"/>
          <w:sz w:val="24"/>
          <w:szCs w:val="24"/>
        </w:rPr>
        <w:t>6.5</w:t>
      </w:r>
      <w:r w:rsidRPr="00D8407C">
        <w:rPr>
          <w:rFonts w:asciiTheme="minorHAnsi" w:hAnsiTheme="minorHAnsi" w:cstheme="minorHAnsi"/>
          <w:sz w:val="24"/>
          <w:szCs w:val="24"/>
        </w:rPr>
        <w:t xml:space="preserve">% </w:t>
      </w:r>
      <w:r>
        <w:rPr>
          <w:rFonts w:asciiTheme="minorHAnsi" w:hAnsiTheme="minorHAnsi" w:cstheme="minorHAnsi"/>
          <w:sz w:val="24"/>
          <w:szCs w:val="24"/>
        </w:rPr>
        <w:t xml:space="preserve">of RAP funded </w:t>
      </w:r>
      <w:r w:rsidRPr="00D8407C">
        <w:rPr>
          <w:rFonts w:asciiTheme="minorHAnsi" w:hAnsiTheme="minorHAnsi" w:cstheme="minorHAnsi"/>
          <w:sz w:val="24"/>
          <w:szCs w:val="24"/>
        </w:rPr>
        <w:t xml:space="preserve">firms benefitted from </w:t>
      </w:r>
      <w:r w:rsidR="00AE1E15" w:rsidRPr="00D8407C">
        <w:rPr>
          <w:rFonts w:asciiTheme="minorHAnsi" w:hAnsiTheme="minorHAnsi" w:cstheme="minorHAnsi"/>
          <w:sz w:val="24"/>
          <w:szCs w:val="24"/>
        </w:rPr>
        <w:t>this.</w:t>
      </w:r>
    </w:p>
    <w:p w14:paraId="5FF4C10A" w14:textId="75111B4C" w:rsidR="0043047B" w:rsidRPr="00AE1E15" w:rsidRDefault="0043047B" w:rsidP="00F63800">
      <w:pPr>
        <w:pStyle w:val="ListParagraph"/>
        <w:numPr>
          <w:ilvl w:val="0"/>
          <w:numId w:val="29"/>
        </w:numPr>
        <w:spacing w:line="360" w:lineRule="auto"/>
        <w:ind w:left="360"/>
        <w:rPr>
          <w:rFonts w:cstheme="minorHAnsi"/>
          <w:szCs w:val="24"/>
        </w:rPr>
      </w:pPr>
      <w:r w:rsidRPr="00AE1E15">
        <w:rPr>
          <w:rFonts w:asciiTheme="minorHAnsi" w:hAnsiTheme="minorHAnsi" w:cstheme="minorHAnsi"/>
          <w:sz w:val="24"/>
          <w:szCs w:val="24"/>
        </w:rPr>
        <w:t>The Future Fund was a scheme supporting innovative companies facing financial difficulties due to the Covid-19 outbreak. Based on data available, a small proportion of RAP funded firms (1.9%) participated in this scheme.</w:t>
      </w:r>
    </w:p>
    <w:p w14:paraId="5B42F057" w14:textId="2E9742BB" w:rsidR="005C7FE3" w:rsidRPr="005C7FE3" w:rsidRDefault="003C06F0" w:rsidP="00B0108F">
      <w:pPr>
        <w:pStyle w:val="Caption"/>
        <w:rPr>
          <w:iCs w:val="0"/>
        </w:rPr>
      </w:pPr>
      <w:r>
        <w:t xml:space="preserve">Table </w:t>
      </w:r>
      <w:r w:rsidR="002728D8">
        <w:fldChar w:fldCharType="begin"/>
      </w:r>
      <w:r w:rsidR="002728D8">
        <w:instrText xml:space="preserve"> SEQ Table \* ARABIC </w:instrText>
      </w:r>
      <w:r w:rsidR="002728D8">
        <w:fldChar w:fldCharType="separate"/>
      </w:r>
      <w:r w:rsidR="00BC412E">
        <w:rPr>
          <w:noProof/>
        </w:rPr>
        <w:t>5</w:t>
      </w:r>
      <w:r w:rsidR="002728D8">
        <w:rPr>
          <w:noProof/>
        </w:rPr>
        <w:fldChar w:fldCharType="end"/>
      </w:r>
      <w:r>
        <w:t xml:space="preserve">: </w:t>
      </w:r>
      <w:r w:rsidRPr="00986C53">
        <w:t>RAP funded firms’ participation in other schemes (N = 372)</w:t>
      </w:r>
    </w:p>
    <w:tbl>
      <w:tblPr>
        <w:tblStyle w:val="PlainTable21"/>
        <w:tblW w:w="0" w:type="auto"/>
        <w:tblLook w:val="04A0" w:firstRow="1" w:lastRow="0" w:firstColumn="1" w:lastColumn="0" w:noHBand="0" w:noVBand="1"/>
      </w:tblPr>
      <w:tblGrid>
        <w:gridCol w:w="1831"/>
        <w:gridCol w:w="2481"/>
        <w:gridCol w:w="2481"/>
      </w:tblGrid>
      <w:tr w:rsidR="0009018D" w14:paraId="42DF8B48" w14:textId="44A05CA3" w:rsidTr="00B0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142855" w:themeColor="text2"/>
              <w:bottom w:val="single" w:sz="4" w:space="0" w:color="142855" w:themeColor="text2"/>
            </w:tcBorders>
          </w:tcPr>
          <w:p w14:paraId="45A09600" w14:textId="7F91219F" w:rsidR="0009018D" w:rsidRPr="0051091B" w:rsidRDefault="0009018D" w:rsidP="00D8407C">
            <w:pPr>
              <w:pStyle w:val="Caption"/>
              <w:rPr>
                <w:color w:val="142855" w:themeColor="text2"/>
              </w:rPr>
            </w:pPr>
            <w:r w:rsidRPr="4457CD75">
              <w:rPr>
                <w:color w:val="142855" w:themeColor="text2"/>
              </w:rPr>
              <w:t>Scheme</w:t>
            </w:r>
          </w:p>
        </w:tc>
        <w:tc>
          <w:tcPr>
            <w:tcW w:w="2481" w:type="dxa"/>
            <w:tcBorders>
              <w:top w:val="single" w:sz="4" w:space="0" w:color="142855" w:themeColor="text2"/>
              <w:bottom w:val="single" w:sz="4" w:space="0" w:color="142855" w:themeColor="text2"/>
            </w:tcBorders>
          </w:tcPr>
          <w:p w14:paraId="3CA757FD" w14:textId="5B83E6D4" w:rsidR="0009018D" w:rsidRPr="006377F5" w:rsidRDefault="0009018D" w:rsidP="4457CD75">
            <w:pPr>
              <w:jc w:val="right"/>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 xml:space="preserve">% of RAP funded firms </w:t>
            </w:r>
          </w:p>
        </w:tc>
        <w:tc>
          <w:tcPr>
            <w:tcW w:w="2481" w:type="dxa"/>
            <w:tcBorders>
              <w:top w:val="single" w:sz="4" w:space="0" w:color="142855" w:themeColor="text2"/>
              <w:bottom w:val="single" w:sz="4" w:space="0" w:color="142855" w:themeColor="text2"/>
            </w:tcBorders>
          </w:tcPr>
          <w:p w14:paraId="570EB30E" w14:textId="07A0938E" w:rsidR="0009018D" w:rsidRDefault="0009018D" w:rsidP="4457CD75">
            <w:pPr>
              <w:jc w:val="right"/>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Number of firms</w:t>
            </w:r>
          </w:p>
        </w:tc>
      </w:tr>
      <w:tr w:rsidR="0009018D" w14:paraId="1D2FAB44" w14:textId="41E3AAE0" w:rsidTr="00B0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142855" w:themeColor="text2"/>
              <w:bottom w:val="single" w:sz="4" w:space="0" w:color="142855" w:themeColor="text2"/>
            </w:tcBorders>
          </w:tcPr>
          <w:p w14:paraId="714819B4" w14:textId="7A2DD37B" w:rsidR="0009018D" w:rsidRPr="0051091B" w:rsidRDefault="0009018D" w:rsidP="00957DB2">
            <w:r>
              <w:t xml:space="preserve">Angel </w:t>
            </w:r>
            <w:proofErr w:type="spellStart"/>
            <w:r>
              <w:t>CoFund</w:t>
            </w:r>
            <w:proofErr w:type="spellEnd"/>
          </w:p>
        </w:tc>
        <w:tc>
          <w:tcPr>
            <w:tcW w:w="2481" w:type="dxa"/>
            <w:tcBorders>
              <w:top w:val="single" w:sz="4" w:space="0" w:color="142855" w:themeColor="text2"/>
              <w:bottom w:val="single" w:sz="4" w:space="0" w:color="142855" w:themeColor="text2"/>
            </w:tcBorders>
          </w:tcPr>
          <w:p w14:paraId="760F0FB7" w14:textId="745C6BEA" w:rsidR="0009018D" w:rsidRPr="00280974" w:rsidRDefault="0009018D" w:rsidP="00957DB2">
            <w:pPr>
              <w:jc w:val="right"/>
              <w:cnfStyle w:val="000000100000" w:firstRow="0" w:lastRow="0" w:firstColumn="0" w:lastColumn="0" w:oddVBand="0" w:evenVBand="0" w:oddHBand="1" w:evenHBand="0" w:firstRowFirstColumn="0" w:firstRowLastColumn="0" w:lastRowFirstColumn="0" w:lastRowLastColumn="0"/>
            </w:pPr>
            <w:r>
              <w:t xml:space="preserve">1.9% </w:t>
            </w:r>
          </w:p>
        </w:tc>
        <w:tc>
          <w:tcPr>
            <w:tcW w:w="2481" w:type="dxa"/>
            <w:tcBorders>
              <w:top w:val="single" w:sz="4" w:space="0" w:color="142855" w:themeColor="text2"/>
              <w:bottom w:val="single" w:sz="4" w:space="0" w:color="142855" w:themeColor="text2"/>
            </w:tcBorders>
          </w:tcPr>
          <w:p w14:paraId="561F1F20" w14:textId="736D9CB6" w:rsidR="0009018D" w:rsidRDefault="0009018D" w:rsidP="00957DB2">
            <w:pPr>
              <w:jc w:val="right"/>
              <w:cnfStyle w:val="000000100000" w:firstRow="0" w:lastRow="0" w:firstColumn="0" w:lastColumn="0" w:oddVBand="0" w:evenVBand="0" w:oddHBand="1" w:evenHBand="0" w:firstRowFirstColumn="0" w:firstRowLastColumn="0" w:lastRowFirstColumn="0" w:lastRowLastColumn="0"/>
            </w:pPr>
            <w:r>
              <w:t>7</w:t>
            </w:r>
          </w:p>
        </w:tc>
      </w:tr>
      <w:tr w:rsidR="0009018D" w14:paraId="689271B9" w14:textId="4C662F8E" w:rsidTr="00B0108F">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142855" w:themeColor="text2"/>
              <w:bottom w:val="single" w:sz="4" w:space="0" w:color="142855" w:themeColor="text2"/>
            </w:tcBorders>
          </w:tcPr>
          <w:p w14:paraId="48CA09C6" w14:textId="4EE67716" w:rsidR="0009018D" w:rsidRPr="0051091B" w:rsidRDefault="004C712F" w:rsidP="00957DB2">
            <w:r>
              <w:t>BBLS</w:t>
            </w:r>
          </w:p>
        </w:tc>
        <w:tc>
          <w:tcPr>
            <w:tcW w:w="2481" w:type="dxa"/>
            <w:tcBorders>
              <w:top w:val="single" w:sz="4" w:space="0" w:color="142855" w:themeColor="text2"/>
              <w:bottom w:val="single" w:sz="4" w:space="0" w:color="142855" w:themeColor="text2"/>
            </w:tcBorders>
          </w:tcPr>
          <w:p w14:paraId="09E5C201" w14:textId="5D537755" w:rsidR="0009018D" w:rsidRPr="0051091B" w:rsidRDefault="0009018D" w:rsidP="00957DB2">
            <w:pPr>
              <w:jc w:val="right"/>
              <w:cnfStyle w:val="000000000000" w:firstRow="0" w:lastRow="0" w:firstColumn="0" w:lastColumn="0" w:oddVBand="0" w:evenVBand="0" w:oddHBand="0" w:evenHBand="0" w:firstRowFirstColumn="0" w:firstRowLastColumn="0" w:lastRowFirstColumn="0" w:lastRowLastColumn="0"/>
            </w:pPr>
            <w:r>
              <w:t>39.5%</w:t>
            </w:r>
          </w:p>
        </w:tc>
        <w:tc>
          <w:tcPr>
            <w:tcW w:w="2481" w:type="dxa"/>
            <w:tcBorders>
              <w:top w:val="single" w:sz="4" w:space="0" w:color="142855" w:themeColor="text2"/>
              <w:bottom w:val="single" w:sz="4" w:space="0" w:color="142855" w:themeColor="text2"/>
            </w:tcBorders>
          </w:tcPr>
          <w:p w14:paraId="073B473C" w14:textId="50DF75D8" w:rsidR="0009018D" w:rsidRPr="0051091B" w:rsidRDefault="0009018D" w:rsidP="00957DB2">
            <w:pPr>
              <w:jc w:val="right"/>
              <w:cnfStyle w:val="000000000000" w:firstRow="0" w:lastRow="0" w:firstColumn="0" w:lastColumn="0" w:oddVBand="0" w:evenVBand="0" w:oddHBand="0" w:evenHBand="0" w:firstRowFirstColumn="0" w:firstRowLastColumn="0" w:lastRowFirstColumn="0" w:lastRowLastColumn="0"/>
            </w:pPr>
            <w:r>
              <w:t>147</w:t>
            </w:r>
          </w:p>
        </w:tc>
      </w:tr>
      <w:tr w:rsidR="0009018D" w14:paraId="53F18713" w14:textId="48F40CA0" w:rsidTr="00B0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142855" w:themeColor="text2"/>
              <w:bottom w:val="single" w:sz="4" w:space="0" w:color="142855" w:themeColor="text2"/>
            </w:tcBorders>
          </w:tcPr>
          <w:p w14:paraId="5521AE6E" w14:textId="4F375B8F" w:rsidR="0009018D" w:rsidRPr="0051091B" w:rsidRDefault="004C712F" w:rsidP="00957DB2">
            <w:r>
              <w:t>CBILS</w:t>
            </w:r>
          </w:p>
        </w:tc>
        <w:tc>
          <w:tcPr>
            <w:tcW w:w="2481" w:type="dxa"/>
            <w:tcBorders>
              <w:top w:val="single" w:sz="4" w:space="0" w:color="142855" w:themeColor="text2"/>
              <w:bottom w:val="single" w:sz="4" w:space="0" w:color="142855" w:themeColor="text2"/>
            </w:tcBorders>
          </w:tcPr>
          <w:p w14:paraId="082DA534" w14:textId="468F99F7" w:rsidR="0009018D" w:rsidRPr="0051091B" w:rsidRDefault="00155D8F" w:rsidP="00957DB2">
            <w:pPr>
              <w:jc w:val="right"/>
              <w:cnfStyle w:val="000000100000" w:firstRow="0" w:lastRow="0" w:firstColumn="0" w:lastColumn="0" w:oddVBand="0" w:evenVBand="0" w:oddHBand="1" w:evenHBand="0" w:firstRowFirstColumn="0" w:firstRowLastColumn="0" w:lastRowFirstColumn="0" w:lastRowLastColumn="0"/>
            </w:pPr>
            <w:r>
              <w:t>6.5%</w:t>
            </w:r>
          </w:p>
        </w:tc>
        <w:tc>
          <w:tcPr>
            <w:tcW w:w="2481" w:type="dxa"/>
            <w:tcBorders>
              <w:top w:val="single" w:sz="4" w:space="0" w:color="142855" w:themeColor="text2"/>
              <w:bottom w:val="single" w:sz="4" w:space="0" w:color="142855" w:themeColor="text2"/>
            </w:tcBorders>
          </w:tcPr>
          <w:p w14:paraId="5595204E" w14:textId="77C91F5E" w:rsidR="0009018D" w:rsidRPr="0051091B" w:rsidRDefault="0009018D" w:rsidP="00957DB2">
            <w:pPr>
              <w:jc w:val="right"/>
              <w:cnfStyle w:val="000000100000" w:firstRow="0" w:lastRow="0" w:firstColumn="0" w:lastColumn="0" w:oddVBand="0" w:evenVBand="0" w:oddHBand="1" w:evenHBand="0" w:firstRowFirstColumn="0" w:firstRowLastColumn="0" w:lastRowFirstColumn="0" w:lastRowLastColumn="0"/>
            </w:pPr>
            <w:r>
              <w:t>24</w:t>
            </w:r>
          </w:p>
        </w:tc>
      </w:tr>
      <w:tr w:rsidR="0009018D" w14:paraId="028969A0" w14:textId="7AD7A90B" w:rsidTr="00B0108F">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142855" w:themeColor="text2"/>
              <w:bottom w:val="single" w:sz="4" w:space="0" w:color="142855" w:themeColor="text2"/>
            </w:tcBorders>
          </w:tcPr>
          <w:p w14:paraId="6745288B" w14:textId="649AA391" w:rsidR="0009018D" w:rsidRDefault="0009018D" w:rsidP="00957DB2">
            <w:r>
              <w:t>Future Fund</w:t>
            </w:r>
          </w:p>
        </w:tc>
        <w:tc>
          <w:tcPr>
            <w:tcW w:w="2481" w:type="dxa"/>
            <w:tcBorders>
              <w:top w:val="single" w:sz="4" w:space="0" w:color="142855" w:themeColor="text2"/>
              <w:bottom w:val="single" w:sz="4" w:space="0" w:color="142855" w:themeColor="text2"/>
            </w:tcBorders>
          </w:tcPr>
          <w:p w14:paraId="63315341" w14:textId="781564FD" w:rsidR="0009018D" w:rsidRPr="0051091B" w:rsidRDefault="0009018D" w:rsidP="00957DB2">
            <w:pPr>
              <w:jc w:val="right"/>
              <w:cnfStyle w:val="000000000000" w:firstRow="0" w:lastRow="0" w:firstColumn="0" w:lastColumn="0" w:oddVBand="0" w:evenVBand="0" w:oddHBand="0" w:evenHBand="0" w:firstRowFirstColumn="0" w:firstRowLastColumn="0" w:lastRowFirstColumn="0" w:lastRowLastColumn="0"/>
            </w:pPr>
            <w:r>
              <w:t>1.9%</w:t>
            </w:r>
          </w:p>
        </w:tc>
        <w:tc>
          <w:tcPr>
            <w:tcW w:w="2481" w:type="dxa"/>
            <w:tcBorders>
              <w:top w:val="single" w:sz="4" w:space="0" w:color="142855" w:themeColor="text2"/>
              <w:bottom w:val="single" w:sz="4" w:space="0" w:color="142855" w:themeColor="text2"/>
            </w:tcBorders>
          </w:tcPr>
          <w:p w14:paraId="3E7D043B" w14:textId="26BD4F36" w:rsidR="0009018D" w:rsidRPr="0051091B" w:rsidRDefault="0009018D" w:rsidP="00957DB2">
            <w:pPr>
              <w:jc w:val="right"/>
              <w:cnfStyle w:val="000000000000" w:firstRow="0" w:lastRow="0" w:firstColumn="0" w:lastColumn="0" w:oddVBand="0" w:evenVBand="0" w:oddHBand="0" w:evenHBand="0" w:firstRowFirstColumn="0" w:firstRowLastColumn="0" w:lastRowFirstColumn="0" w:lastRowLastColumn="0"/>
            </w:pPr>
            <w:r>
              <w:t>7</w:t>
            </w:r>
          </w:p>
        </w:tc>
      </w:tr>
    </w:tbl>
    <w:p w14:paraId="3BBCF5F1" w14:textId="57C0F247" w:rsidR="000036C9" w:rsidRDefault="00155D8F" w:rsidP="00B0108F">
      <w:r w:rsidRPr="00D8407C">
        <w:rPr>
          <w:i/>
          <w:color w:val="555674"/>
          <w:szCs w:val="18"/>
        </w:rPr>
        <w:t>Source: Data on other schemes provided by</w:t>
      </w:r>
      <w:r w:rsidR="00715163">
        <w:rPr>
          <w:i/>
          <w:color w:val="555674"/>
          <w:szCs w:val="18"/>
        </w:rPr>
        <w:t xml:space="preserve"> the</w:t>
      </w:r>
      <w:r w:rsidRPr="00D8407C">
        <w:rPr>
          <w:i/>
          <w:color w:val="555674"/>
          <w:szCs w:val="18"/>
        </w:rPr>
        <w:t xml:space="preserve"> B</w:t>
      </w:r>
      <w:r w:rsidR="00715163">
        <w:rPr>
          <w:i/>
          <w:color w:val="555674"/>
          <w:szCs w:val="18"/>
        </w:rPr>
        <w:t xml:space="preserve">ritish </w:t>
      </w:r>
      <w:r w:rsidRPr="00D8407C">
        <w:rPr>
          <w:i/>
          <w:color w:val="555674"/>
          <w:szCs w:val="18"/>
        </w:rPr>
        <w:t>B</w:t>
      </w:r>
      <w:r w:rsidR="00715163">
        <w:rPr>
          <w:i/>
          <w:color w:val="555674"/>
          <w:szCs w:val="18"/>
        </w:rPr>
        <w:t xml:space="preserve">usiness </w:t>
      </w:r>
      <w:r w:rsidRPr="00D8407C">
        <w:rPr>
          <w:i/>
          <w:color w:val="555674"/>
          <w:szCs w:val="18"/>
        </w:rPr>
        <w:t>B</w:t>
      </w:r>
      <w:r w:rsidR="00715163">
        <w:rPr>
          <w:i/>
          <w:color w:val="555674"/>
          <w:szCs w:val="18"/>
        </w:rPr>
        <w:t>ank</w:t>
      </w:r>
    </w:p>
    <w:p w14:paraId="37687BB8" w14:textId="6D176657" w:rsidR="00C57218" w:rsidRDefault="00C57218" w:rsidP="00C57218"/>
    <w:p w14:paraId="35BE132A" w14:textId="61D9224E" w:rsidR="0014531F" w:rsidRDefault="0014531F" w:rsidP="00C57218"/>
    <w:p w14:paraId="324D7FA0" w14:textId="77777777" w:rsidR="0014531F" w:rsidRDefault="0014531F" w:rsidP="00C57218"/>
    <w:p w14:paraId="4F2BF354" w14:textId="35871946" w:rsidR="006F62BE" w:rsidRDefault="006F62BE">
      <w:pPr>
        <w:pStyle w:val="Heading1"/>
      </w:pPr>
      <w:bookmarkStart w:id="83" w:name="_Toc165482218"/>
      <w:bookmarkStart w:id="84" w:name="_Toc165497181"/>
      <w:r>
        <w:lastRenderedPageBreak/>
        <w:t xml:space="preserve">5. </w:t>
      </w:r>
      <w:r w:rsidR="00C14B16" w:rsidRPr="00C14B16">
        <w:t>Rigorous application process improved professionalism</w:t>
      </w:r>
      <w:bookmarkEnd w:id="83"/>
      <w:bookmarkEnd w:id="84"/>
    </w:p>
    <w:p w14:paraId="1C6D539D" w14:textId="77777777" w:rsidR="0043047B" w:rsidRPr="0043047B" w:rsidRDefault="0043047B" w:rsidP="004C2C2E">
      <w:pPr>
        <w:pStyle w:val="Heading2"/>
      </w:pPr>
      <w:bookmarkStart w:id="85" w:name="_Toc144830555"/>
      <w:bookmarkStart w:id="86" w:name="_Toc165482219"/>
      <w:bookmarkStart w:id="87" w:name="_Toc165497182"/>
      <w:bookmarkStart w:id="88" w:name="_Hlk135656882"/>
      <w:bookmarkStart w:id="89" w:name="_Hlk135389324"/>
      <w:r w:rsidRPr="0043047B">
        <w:t>5.1 Key Findings</w:t>
      </w:r>
      <w:bookmarkEnd w:id="85"/>
      <w:bookmarkEnd w:id="86"/>
      <w:bookmarkEnd w:id="87"/>
    </w:p>
    <w:p w14:paraId="292D7D3C" w14:textId="064F52FD" w:rsidR="0043047B" w:rsidRPr="0043047B" w:rsidRDefault="0043047B" w:rsidP="00491364">
      <w:pPr>
        <w:numPr>
          <w:ilvl w:val="0"/>
          <w:numId w:val="30"/>
        </w:numPr>
        <w:contextualSpacing/>
      </w:pPr>
      <w:r w:rsidRPr="0043047B">
        <w:t>Angels/ syndicates (applicants) located in London were not excluded from participation.</w:t>
      </w:r>
    </w:p>
    <w:p w14:paraId="512A4069" w14:textId="77777777" w:rsidR="0043047B" w:rsidRPr="0043047B" w:rsidRDefault="0043047B" w:rsidP="00491364">
      <w:pPr>
        <w:numPr>
          <w:ilvl w:val="0"/>
          <w:numId w:val="30"/>
        </w:numPr>
        <w:contextualSpacing/>
      </w:pPr>
      <w:r w:rsidRPr="0043047B">
        <w:t xml:space="preserve">Applicants able to demonstrate that their strategy has an impact in underdeveloped regions were viewed favourably. </w:t>
      </w:r>
    </w:p>
    <w:p w14:paraId="5CF5DF46" w14:textId="77777777" w:rsidR="0043047B" w:rsidRPr="0043047B" w:rsidRDefault="0043047B" w:rsidP="00491364">
      <w:pPr>
        <w:numPr>
          <w:ilvl w:val="0"/>
          <w:numId w:val="30"/>
        </w:numPr>
        <w:contextualSpacing/>
      </w:pPr>
      <w:r w:rsidRPr="0043047B">
        <w:t>Applicants needed to demonstrate ability to leverage between 50% and 80% in co-funding, and it was expected that each investment would range from £100k to a maximum of £1.5m per investment round.</w:t>
      </w:r>
    </w:p>
    <w:p w14:paraId="5F83662E" w14:textId="77777777" w:rsidR="0043047B" w:rsidRPr="0043047B" w:rsidRDefault="0043047B" w:rsidP="00491364">
      <w:pPr>
        <w:numPr>
          <w:ilvl w:val="0"/>
          <w:numId w:val="30"/>
        </w:numPr>
        <w:contextualSpacing/>
      </w:pPr>
      <w:r w:rsidRPr="0043047B">
        <w:t>Requirement for FCA regulation limited participation to more developed angel groups.</w:t>
      </w:r>
    </w:p>
    <w:p w14:paraId="4EF3E62D" w14:textId="77777777" w:rsidR="0043047B" w:rsidRPr="0043047B" w:rsidRDefault="0043047B" w:rsidP="00491364">
      <w:pPr>
        <w:numPr>
          <w:ilvl w:val="0"/>
          <w:numId w:val="31"/>
        </w:numPr>
        <w:ind w:left="360"/>
        <w:contextualSpacing/>
      </w:pPr>
      <w:r w:rsidRPr="0043047B">
        <w:t xml:space="preserve">Partners described the process as rigorous and time consuming, lasting over a year in some cases, but appropriate. </w:t>
      </w:r>
    </w:p>
    <w:p w14:paraId="7DD222A9" w14:textId="77777777" w:rsidR="0043047B" w:rsidRPr="0043047B" w:rsidRDefault="0043047B" w:rsidP="00491364">
      <w:pPr>
        <w:numPr>
          <w:ilvl w:val="0"/>
          <w:numId w:val="31"/>
        </w:numPr>
        <w:ind w:left="360"/>
        <w:contextualSpacing/>
      </w:pPr>
      <w:r w:rsidRPr="0043047B">
        <w:t>Partners noted positive impacts of this process, improving their professionalism, and allowing them to develop their due diligence processes.</w:t>
      </w:r>
    </w:p>
    <w:p w14:paraId="0188B731" w14:textId="77777777" w:rsidR="0043047B" w:rsidRPr="0043047B" w:rsidRDefault="0043047B" w:rsidP="00B16629">
      <w:pPr>
        <w:pStyle w:val="Heading2"/>
      </w:pPr>
      <w:bookmarkStart w:id="90" w:name="_Toc144830556"/>
      <w:bookmarkStart w:id="91" w:name="_Toc165482220"/>
      <w:bookmarkStart w:id="92" w:name="_Toc165497183"/>
      <w:r w:rsidRPr="0043047B">
        <w:t>5.2 Programme design and implementation</w:t>
      </w:r>
      <w:bookmarkEnd w:id="90"/>
      <w:bookmarkEnd w:id="91"/>
      <w:bookmarkEnd w:id="92"/>
    </w:p>
    <w:p w14:paraId="559C4071" w14:textId="63B57EAE" w:rsidR="00EA4ED9" w:rsidRDefault="0043047B" w:rsidP="0043047B">
      <w:r w:rsidRPr="0043047B">
        <w:fldChar w:fldCharType="begin"/>
      </w:r>
      <w:r w:rsidRPr="0043047B">
        <w:instrText xml:space="preserve"> REF _Ref135821101 \h </w:instrText>
      </w:r>
      <w:r w:rsidRPr="0043047B">
        <w:fldChar w:fldCharType="separate"/>
      </w:r>
      <w:r w:rsidR="00BC412E">
        <w:t xml:space="preserve">Figure </w:t>
      </w:r>
      <w:r w:rsidR="00BC412E">
        <w:rPr>
          <w:noProof/>
        </w:rPr>
        <w:t>4</w:t>
      </w:r>
      <w:r w:rsidR="00BC412E" w:rsidRPr="00CF05F6">
        <w:t>:</w:t>
      </w:r>
      <w:r w:rsidR="00BC412E">
        <w:t xml:space="preserve"> Overview of RAP </w:t>
      </w:r>
      <w:proofErr w:type="spellStart"/>
      <w:r w:rsidR="00BC412E">
        <w:t>stakeholders</w:t>
      </w:r>
      <w:r w:rsidRPr="0043047B">
        <w:fldChar w:fldCharType="end"/>
      </w:r>
      <w:r w:rsidRPr="0043047B">
        <w:t>outlines</w:t>
      </w:r>
      <w:proofErr w:type="spellEnd"/>
      <w:r w:rsidRPr="0043047B">
        <w:t xml:space="preserve"> the key stakeholders involved in design, </w:t>
      </w:r>
      <w:r w:rsidR="00AE1E15" w:rsidRPr="0043047B">
        <w:t>development,</w:t>
      </w:r>
      <w:r w:rsidRPr="0043047B">
        <w:t xml:space="preserve"> and delivery of the Programme. As shown in the methodology, consultations were carried out with representatives from key stakeholder groups.</w:t>
      </w:r>
    </w:p>
    <w:p w14:paraId="00BF1C7E" w14:textId="522317F2" w:rsidR="00FA5134" w:rsidRDefault="00FA5134" w:rsidP="00EA4ED9"/>
    <w:p w14:paraId="275A6D4A" w14:textId="05CFBACE" w:rsidR="00FA5134" w:rsidRDefault="00FA5134" w:rsidP="00EA4ED9"/>
    <w:p w14:paraId="0D3E2CB5" w14:textId="69A2BEF6" w:rsidR="00FA5134" w:rsidRDefault="00FA5134" w:rsidP="00EA4ED9"/>
    <w:p w14:paraId="2384C11B" w14:textId="175A449A" w:rsidR="00FA5134" w:rsidRDefault="00FA5134" w:rsidP="00EA4ED9"/>
    <w:p w14:paraId="7D0694D1" w14:textId="0C733AF6" w:rsidR="00FA5134" w:rsidRDefault="00FA5134" w:rsidP="00EA4ED9"/>
    <w:p w14:paraId="3BA9A910" w14:textId="454BA122" w:rsidR="00FA5134" w:rsidRDefault="00FA5134" w:rsidP="00EA4ED9"/>
    <w:p w14:paraId="017165E7" w14:textId="77777777" w:rsidR="00FA5134" w:rsidRDefault="00FA5134" w:rsidP="00EA4ED9"/>
    <w:p w14:paraId="453839E1" w14:textId="41223DC2" w:rsidR="00D52D0E" w:rsidRDefault="00D52D0E" w:rsidP="00216031">
      <w:pPr>
        <w:pStyle w:val="Caption"/>
      </w:pPr>
      <w:bookmarkStart w:id="93" w:name="_Ref135821101"/>
      <w:r>
        <w:lastRenderedPageBreak/>
        <w:t xml:space="preserve">Figure </w:t>
      </w:r>
      <w:r>
        <w:fldChar w:fldCharType="begin"/>
      </w:r>
      <w:r>
        <w:instrText>SEQ Figure \* ARABIC</w:instrText>
      </w:r>
      <w:r>
        <w:fldChar w:fldCharType="separate"/>
      </w:r>
      <w:r w:rsidR="00BC412E">
        <w:rPr>
          <w:noProof/>
        </w:rPr>
        <w:t>4</w:t>
      </w:r>
      <w:r>
        <w:fldChar w:fldCharType="end"/>
      </w:r>
      <w:r w:rsidR="00CF05F6" w:rsidRPr="00CF05F6">
        <w:t>:</w:t>
      </w:r>
      <w:r>
        <w:t xml:space="preserve"> Overview of RAP </w:t>
      </w:r>
      <w:proofErr w:type="gramStart"/>
      <w:r>
        <w:t>stakeholders</w:t>
      </w:r>
      <w:bookmarkEnd w:id="93"/>
      <w:proofErr w:type="gramEnd"/>
    </w:p>
    <w:p w14:paraId="7E94EB98" w14:textId="0AC583A9" w:rsidR="00D52D0E" w:rsidRDefault="00074E00" w:rsidP="005C7FE3">
      <w:pPr>
        <w:jc w:val="center"/>
      </w:pPr>
      <w:r>
        <w:rPr>
          <w:noProof/>
        </w:rPr>
        <w:drawing>
          <wp:inline distT="0" distB="0" distL="0" distR="0" wp14:anchorId="5658A523" wp14:editId="10370757">
            <wp:extent cx="6188710" cy="2879090"/>
            <wp:effectExtent l="0" t="0" r="2540" b="0"/>
            <wp:docPr id="11495494" name="Picture 11495494" descr="Figure 4 presents a visual overview of the key stakeholders involved in the design, development, and delivery of the Regional Angels Programme (RAP). The figure categorises these stakeholders into different groups and shows how they interact within the context of the programme. This aligns with the methodology section, where consultations with representatives from these stakeholder groups ar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94" name="Picture 11495494" descr="Figure 4 presents a visual overview of the key stakeholders involved in the design, development, and delivery of the Regional Angels Programme (RAP). The figure categorises these stakeholders into different groups and shows how they interact within the context of the programme. This aligns with the methodology section, where consultations with representatives from these stakeholder groups are describ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2879090"/>
                    </a:xfrm>
                    <a:prstGeom prst="rect">
                      <a:avLst/>
                    </a:prstGeom>
                  </pic:spPr>
                </pic:pic>
              </a:graphicData>
            </a:graphic>
          </wp:inline>
        </w:drawing>
      </w:r>
    </w:p>
    <w:p w14:paraId="02470682" w14:textId="677A811D" w:rsidR="00D52D0E" w:rsidRPr="00D8407C" w:rsidRDefault="00D52D0E" w:rsidP="00EA4ED9">
      <w:pPr>
        <w:rPr>
          <w:i/>
          <w:iCs/>
        </w:rPr>
      </w:pPr>
      <w:r w:rsidRPr="003F610D">
        <w:rPr>
          <w:i/>
          <w:color w:val="555674"/>
        </w:rPr>
        <w:t>Source: RSM, British Business Bank</w:t>
      </w:r>
    </w:p>
    <w:p w14:paraId="6456B964" w14:textId="571C48A3" w:rsidR="0043047B" w:rsidRDefault="2406F797" w:rsidP="0043047B">
      <w:pPr>
        <w:rPr>
          <w:color w:val="000000"/>
          <w:szCs w:val="24"/>
        </w:rPr>
      </w:pPr>
      <w:r>
        <w:t xml:space="preserve">The British Business Investments assessment team </w:t>
      </w:r>
      <w:r w:rsidRPr="00AA5A67">
        <w:rPr>
          <w:szCs w:val="24"/>
        </w:rPr>
        <w:t xml:space="preserve">selects proposals from </w:t>
      </w:r>
      <w:r>
        <w:rPr>
          <w:szCs w:val="24"/>
        </w:rPr>
        <w:t>P</w:t>
      </w:r>
      <w:r w:rsidRPr="00AA5A67">
        <w:rPr>
          <w:szCs w:val="24"/>
        </w:rPr>
        <w:t>artners based on a review against eight criteria</w:t>
      </w:r>
      <w:r>
        <w:rPr>
          <w:szCs w:val="24"/>
        </w:rPr>
        <w:t>.</w:t>
      </w:r>
      <w:r w:rsidR="0043047B" w:rsidRPr="00AA5A67">
        <w:rPr>
          <w:rStyle w:val="FootnoteReference"/>
          <w:szCs w:val="24"/>
        </w:rPr>
        <w:footnoteReference w:id="34"/>
      </w:r>
      <w:r w:rsidRPr="00AA5A67">
        <w:rPr>
          <w:szCs w:val="24"/>
        </w:rPr>
        <w:t xml:space="preserve"> Applicants need to demonstrate </w:t>
      </w:r>
      <w:r w:rsidRPr="00E40A8A">
        <w:rPr>
          <w:color w:val="000000"/>
          <w:szCs w:val="24"/>
        </w:rPr>
        <w:t>ability to provide and/or facilitate early-stage equity investment in smaller businesses.</w:t>
      </w:r>
      <w:r w:rsidRPr="00AA5A67">
        <w:rPr>
          <w:szCs w:val="24"/>
        </w:rPr>
        <w:t xml:space="preserve"> Applicants located in London are not excluded from the </w:t>
      </w:r>
      <w:r>
        <w:rPr>
          <w:szCs w:val="24"/>
        </w:rPr>
        <w:t>P</w:t>
      </w:r>
      <w:r w:rsidRPr="00AA5A67">
        <w:rPr>
          <w:szCs w:val="24"/>
        </w:rPr>
        <w:t xml:space="preserve">rogramme, however, those that </w:t>
      </w:r>
      <w:r w:rsidRPr="00D8407C">
        <w:rPr>
          <w:b/>
          <w:i/>
          <w:szCs w:val="24"/>
        </w:rPr>
        <w:t>“can demonstrate that the target market they operate in is in areas of the UK that are currently underrepresented in the provision of such funding, will be viewed favourably</w:t>
      </w:r>
      <w:r w:rsidRPr="00D8407C">
        <w:rPr>
          <w:b/>
          <w:bCs/>
          <w:i/>
          <w:iCs/>
          <w:color w:val="000000"/>
          <w:szCs w:val="24"/>
        </w:rPr>
        <w:t>”</w:t>
      </w:r>
      <w:r>
        <w:rPr>
          <w:color w:val="000000"/>
          <w:szCs w:val="24"/>
        </w:rPr>
        <w:t>.</w:t>
      </w:r>
      <w:r w:rsidR="0043047B" w:rsidRPr="00E40A8A">
        <w:rPr>
          <w:rStyle w:val="FootnoteReference"/>
          <w:color w:val="000000"/>
          <w:szCs w:val="24"/>
        </w:rPr>
        <w:footnoteReference w:id="35"/>
      </w:r>
    </w:p>
    <w:p w14:paraId="5EE1C6F8" w14:textId="77777777" w:rsidR="00AE1E15" w:rsidRDefault="00AE1E15" w:rsidP="0043047B">
      <w:pPr>
        <w:rPr>
          <w:color w:val="000000"/>
          <w:szCs w:val="24"/>
        </w:rPr>
      </w:pPr>
    </w:p>
    <w:p w14:paraId="5425CE21" w14:textId="77777777" w:rsidR="00AE1E15" w:rsidRDefault="00AE1E15" w:rsidP="0043047B">
      <w:pPr>
        <w:rPr>
          <w:color w:val="000000"/>
          <w:szCs w:val="24"/>
        </w:rPr>
      </w:pPr>
    </w:p>
    <w:p w14:paraId="431C8195" w14:textId="77777777" w:rsidR="00AE1E15" w:rsidRDefault="00AE1E15" w:rsidP="0043047B">
      <w:pPr>
        <w:rPr>
          <w:color w:val="000000"/>
          <w:szCs w:val="24"/>
        </w:rPr>
      </w:pPr>
    </w:p>
    <w:p w14:paraId="2AFAE121" w14:textId="77777777" w:rsidR="00AE1E15" w:rsidRDefault="00AE1E15" w:rsidP="0043047B">
      <w:pPr>
        <w:rPr>
          <w:color w:val="000000"/>
          <w:szCs w:val="24"/>
        </w:rPr>
      </w:pPr>
    </w:p>
    <w:p w14:paraId="699B0D2B" w14:textId="77777777" w:rsidR="00AE1E15" w:rsidRDefault="00AE1E15" w:rsidP="0043047B">
      <w:pPr>
        <w:rPr>
          <w:color w:val="000000"/>
          <w:szCs w:val="24"/>
        </w:rPr>
      </w:pPr>
    </w:p>
    <w:p w14:paraId="6A7B30C5" w14:textId="77777777" w:rsidR="00AE1E15" w:rsidRDefault="00AE1E15" w:rsidP="0043047B">
      <w:pPr>
        <w:rPr>
          <w:color w:val="000000"/>
          <w:szCs w:val="24"/>
        </w:rPr>
      </w:pPr>
    </w:p>
    <w:p w14:paraId="68CE7D4A" w14:textId="34A7D71F" w:rsidR="00FC31A9" w:rsidRPr="007A3595" w:rsidRDefault="001160F2" w:rsidP="000F00D5">
      <w:pPr>
        <w:pBdr>
          <w:top w:val="single" w:sz="4" w:space="1" w:color="142855"/>
          <w:left w:val="single" w:sz="4" w:space="4" w:color="142855"/>
          <w:bottom w:val="single" w:sz="4" w:space="1" w:color="142855"/>
          <w:right w:val="single" w:sz="4" w:space="4" w:color="142855"/>
        </w:pBdr>
        <w:shd w:val="clear" w:color="auto" w:fill="AFCAD2"/>
        <w:rPr>
          <w:b/>
          <w:bCs/>
          <w:color w:val="142855"/>
        </w:rPr>
      </w:pPr>
      <w:r w:rsidRPr="001160F2">
        <w:rPr>
          <w:b/>
          <w:bCs/>
          <w:color w:val="142855"/>
        </w:rPr>
        <w:lastRenderedPageBreak/>
        <w:t>Case study C: Investment Director, RAP Partner B</w:t>
      </w:r>
      <w:r w:rsidR="00FC31A9" w:rsidRPr="007A3595">
        <w:rPr>
          <w:b/>
          <w:bCs/>
          <w:color w:val="142855"/>
        </w:rPr>
        <w:t xml:space="preserve"> </w:t>
      </w:r>
    </w:p>
    <w:p w14:paraId="6BCB700F" w14:textId="55DB2D9F" w:rsidR="009F6C5C" w:rsidRPr="009F6C5C" w:rsidRDefault="009F6C5C" w:rsidP="000F00D5">
      <w:pPr>
        <w:pBdr>
          <w:top w:val="single" w:sz="4" w:space="1" w:color="142855"/>
          <w:left w:val="single" w:sz="4" w:space="4" w:color="142855"/>
          <w:bottom w:val="single" w:sz="4" w:space="1" w:color="142855"/>
          <w:right w:val="single" w:sz="4" w:space="4" w:color="142855"/>
        </w:pBdr>
        <w:shd w:val="clear" w:color="auto" w:fill="AFCAD2"/>
      </w:pPr>
      <w:r w:rsidRPr="009F6C5C">
        <w:t xml:space="preserve">Partner B was introduced to the programme via the UK Business Angels Association (UKBAA), and senior members of the fund approached the RAP team directly to propose involvement in the scheme. When asked to identify the reason for their interest, the investment director noted a synergistic fit with the RAP scheme due to its focus on targeting underserved regions in the UK and increasing the quantum of investment available to business </w:t>
      </w:r>
      <w:r w:rsidR="00BC48C5">
        <w:t>a</w:t>
      </w:r>
      <w:r w:rsidRPr="009F6C5C">
        <w:t xml:space="preserve">ngels (as shown below). </w:t>
      </w:r>
    </w:p>
    <w:p w14:paraId="778740B3" w14:textId="5472210D" w:rsidR="00631604" w:rsidRPr="007A3595" w:rsidRDefault="009F6C5C" w:rsidP="000F00D5">
      <w:pPr>
        <w:pBdr>
          <w:top w:val="single" w:sz="4" w:space="1" w:color="142855"/>
          <w:left w:val="single" w:sz="4" w:space="4" w:color="142855"/>
          <w:bottom w:val="single" w:sz="4" w:space="1" w:color="142855"/>
          <w:right w:val="single" w:sz="4" w:space="4" w:color="142855"/>
        </w:pBdr>
        <w:shd w:val="clear" w:color="auto" w:fill="AFCAD2"/>
        <w:jc w:val="center"/>
        <w:rPr>
          <w:b/>
          <w:bCs/>
          <w:i/>
          <w:iCs/>
        </w:rPr>
      </w:pPr>
      <w:r w:rsidRPr="007A3595">
        <w:rPr>
          <w:b/>
          <w:bCs/>
          <w:i/>
          <w:iCs/>
        </w:rPr>
        <w:t>“The objectives of the programme</w:t>
      </w:r>
      <w:r w:rsidR="00631604" w:rsidRPr="007A3595">
        <w:rPr>
          <w:b/>
          <w:i/>
        </w:rPr>
        <w:t xml:space="preserve"> mirrored our objectives of investing in a far-flung </w:t>
      </w:r>
      <w:r w:rsidRPr="007A3595">
        <w:rPr>
          <w:b/>
          <w:bCs/>
          <w:i/>
          <w:iCs/>
        </w:rPr>
        <w:t>region</w:t>
      </w:r>
      <w:r w:rsidR="00631604" w:rsidRPr="007A3595">
        <w:rPr>
          <w:b/>
          <w:i/>
        </w:rPr>
        <w:t xml:space="preserve"> of the UK and enabling business </w:t>
      </w:r>
      <w:r w:rsidR="00BC48C5" w:rsidRPr="007A3595">
        <w:rPr>
          <w:b/>
          <w:i/>
        </w:rPr>
        <w:t>a</w:t>
      </w:r>
      <w:r w:rsidR="00631604" w:rsidRPr="007A3595">
        <w:rPr>
          <w:b/>
          <w:i/>
        </w:rPr>
        <w:t xml:space="preserve">ngels to raise larger investment rounds.” </w:t>
      </w:r>
    </w:p>
    <w:p w14:paraId="10B44C6E" w14:textId="77777777" w:rsidR="001160F2" w:rsidRDefault="762487F1" w:rsidP="001160F2">
      <w:r w:rsidRPr="00E40A8A">
        <w:rPr>
          <w:color w:val="000000"/>
          <w:szCs w:val="24"/>
        </w:rPr>
        <w:t xml:space="preserve">Applicants need to demonstrate ability to </w:t>
      </w:r>
      <w:r w:rsidRPr="00D8407C">
        <w:rPr>
          <w:b/>
          <w:color w:val="000000"/>
          <w:szCs w:val="24"/>
        </w:rPr>
        <w:t>leverage between 50% and 80% in co-funding</w:t>
      </w:r>
      <w:r w:rsidRPr="00E40A8A">
        <w:rPr>
          <w:color w:val="000000"/>
          <w:szCs w:val="24"/>
        </w:rPr>
        <w:t xml:space="preserve">. Proposals that can demonstrate integration of </w:t>
      </w:r>
      <w:r w:rsidRPr="00D8407C">
        <w:rPr>
          <w:b/>
          <w:color w:val="000000"/>
          <w:szCs w:val="24"/>
        </w:rPr>
        <w:t>ESG factors</w:t>
      </w:r>
      <w:r w:rsidR="001160F2">
        <w:rPr>
          <w:rStyle w:val="FootnoteReference"/>
          <w:b/>
          <w:bCs/>
          <w:color w:val="000000"/>
          <w:szCs w:val="24"/>
        </w:rPr>
        <w:footnoteReference w:id="36"/>
      </w:r>
      <w:r w:rsidRPr="00E40A8A">
        <w:rPr>
          <w:color w:val="000000"/>
          <w:szCs w:val="24"/>
        </w:rPr>
        <w:t xml:space="preserve"> into the investment process are viewed favourably. </w:t>
      </w:r>
      <w:r>
        <w:rPr>
          <w:color w:val="000000"/>
          <w:szCs w:val="24"/>
        </w:rPr>
        <w:t>The selection criteria have no sector or industry focus</w:t>
      </w:r>
      <w:r>
        <w:rPr>
          <w:rFonts w:cs="Arial"/>
        </w:rPr>
        <w:t xml:space="preserve">, and funding </w:t>
      </w:r>
      <w:r w:rsidRPr="00AA5A67">
        <w:rPr>
          <w:rFonts w:cs="Arial"/>
        </w:rPr>
        <w:t xml:space="preserve">is deployed by successful applicants with the expectation that each </w:t>
      </w:r>
      <w:r w:rsidRPr="00D8407C">
        <w:rPr>
          <w:rFonts w:cs="Arial"/>
          <w:b/>
        </w:rPr>
        <w:t>investment would range from £100,000 to a maximum of £1,500,000</w:t>
      </w:r>
      <w:r w:rsidR="001160F2" w:rsidRPr="00E40A8A">
        <w:rPr>
          <w:rStyle w:val="FootnoteReference"/>
          <w:rFonts w:cs="Arial"/>
        </w:rPr>
        <w:footnoteReference w:id="37"/>
      </w:r>
      <w:r>
        <w:rPr>
          <w:rFonts w:cs="Arial"/>
          <w:b/>
          <w:bCs/>
        </w:rPr>
        <w:t xml:space="preserve"> per investment round.</w:t>
      </w:r>
    </w:p>
    <w:p w14:paraId="6FE4DAF2" w14:textId="77777777" w:rsidR="001160F2" w:rsidRDefault="001160F2" w:rsidP="001160F2">
      <w:r>
        <w:t xml:space="preserve">The requirement for applicants to possess all relevant </w:t>
      </w:r>
      <w:r w:rsidRPr="00D8407C">
        <w:rPr>
          <w:b/>
          <w:bCs/>
        </w:rPr>
        <w:t>FCA permissions/ regulations formed a core part of the eligibility criteria</w:t>
      </w:r>
      <w:r>
        <w:t xml:space="preserve"> referenced above. Stakeholders noted that this was a required element of the Programme due to the need to implement clear due diligence frameworks when providing significant amounts of public funding to private organisations.</w:t>
      </w:r>
    </w:p>
    <w:p w14:paraId="06832533" w14:textId="7ABAEA60" w:rsidR="0007274E" w:rsidRDefault="001160F2" w:rsidP="00EA4ED9">
      <w:r>
        <w:t xml:space="preserve">However, key policy and industry stakeholders highlighted the </w:t>
      </w:r>
      <w:r w:rsidRPr="00D8407C">
        <w:rPr>
          <w:b/>
          <w:bCs/>
        </w:rPr>
        <w:t xml:space="preserve">limiting nature of this requirement </w:t>
      </w:r>
      <w:r>
        <w:rPr>
          <w:b/>
          <w:bCs/>
        </w:rPr>
        <w:t xml:space="preserve">for FCA regulation </w:t>
      </w:r>
      <w:r w:rsidRPr="00CF0EFB">
        <w:t xml:space="preserve">on the type of </w:t>
      </w:r>
      <w:r>
        <w:t>a</w:t>
      </w:r>
      <w:r w:rsidRPr="00CF0EFB">
        <w:t xml:space="preserve">ngel groups that </w:t>
      </w:r>
      <w:proofErr w:type="gramStart"/>
      <w:r w:rsidRPr="00CF0EFB">
        <w:t>are able to</w:t>
      </w:r>
      <w:proofErr w:type="gramEnd"/>
      <w:r w:rsidRPr="00CF0EFB">
        <w:t xml:space="preserve"> participate. </w:t>
      </w:r>
      <w:r>
        <w:t xml:space="preserve">Stakeholders noted that more </w:t>
      </w:r>
      <w:r w:rsidRPr="00D8407C">
        <w:rPr>
          <w:b/>
          <w:bCs/>
        </w:rPr>
        <w:t>traditional</w:t>
      </w:r>
      <w:r>
        <w:t xml:space="preserve"> angel groups, as well as those that are </w:t>
      </w:r>
      <w:r w:rsidRPr="00D8407C">
        <w:rPr>
          <w:b/>
          <w:bCs/>
        </w:rPr>
        <w:t>less developed</w:t>
      </w:r>
      <w:r>
        <w:t xml:space="preserve"> or focused on </w:t>
      </w:r>
      <w:r w:rsidRPr="00D8407C">
        <w:rPr>
          <w:b/>
          <w:bCs/>
        </w:rPr>
        <w:t>niche investment strategies</w:t>
      </w:r>
      <w:r>
        <w:t xml:space="preserve">, are </w:t>
      </w:r>
      <w:r w:rsidRPr="00D8407C">
        <w:rPr>
          <w:b/>
          <w:bCs/>
        </w:rPr>
        <w:t>far less likely to have these permissions</w:t>
      </w:r>
      <w:r>
        <w:t xml:space="preserve"> than more developed, institutional groups. </w:t>
      </w:r>
    </w:p>
    <w:p w14:paraId="24CE6BE6" w14:textId="77777777" w:rsidR="00AE1E15" w:rsidRDefault="00AE1E15" w:rsidP="00EA4ED9"/>
    <w:p w14:paraId="1D7551A1" w14:textId="77777777" w:rsidR="00AE1E15" w:rsidRDefault="00AE1E15" w:rsidP="00EA4ED9"/>
    <w:p w14:paraId="1F2C6E9B" w14:textId="77777777" w:rsidR="00AE1E15" w:rsidRDefault="00AE1E15" w:rsidP="00EA4ED9"/>
    <w:p w14:paraId="6F979B53" w14:textId="40F69E9E" w:rsidR="00FC31A9" w:rsidRPr="007A3595" w:rsidRDefault="001160F2" w:rsidP="000F00D5">
      <w:pPr>
        <w:pBdr>
          <w:top w:val="single" w:sz="4" w:space="1" w:color="142855"/>
          <w:left w:val="single" w:sz="4" w:space="4" w:color="142855"/>
          <w:bottom w:val="single" w:sz="4" w:space="1" w:color="142855"/>
          <w:right w:val="single" w:sz="4" w:space="4" w:color="142855"/>
        </w:pBdr>
        <w:shd w:val="clear" w:color="auto" w:fill="AFCAD2"/>
        <w:rPr>
          <w:color w:val="142855"/>
        </w:rPr>
      </w:pPr>
      <w:r w:rsidRPr="001160F2">
        <w:rPr>
          <w:b/>
          <w:bCs/>
          <w:color w:val="142855"/>
        </w:rPr>
        <w:lastRenderedPageBreak/>
        <w:t>Case study A: Non-applicant angel</w:t>
      </w:r>
      <w:r w:rsidR="00FC31A9" w:rsidRPr="007A3595">
        <w:rPr>
          <w:color w:val="142855"/>
        </w:rPr>
        <w:t xml:space="preserve"> </w:t>
      </w:r>
    </w:p>
    <w:p w14:paraId="47ABFF38" w14:textId="1144F7E0" w:rsidR="00F322E8" w:rsidRDefault="00F322E8" w:rsidP="000F00D5">
      <w:pPr>
        <w:pBdr>
          <w:top w:val="single" w:sz="4" w:space="1" w:color="142855"/>
          <w:left w:val="single" w:sz="4" w:space="4" w:color="142855"/>
          <w:bottom w:val="single" w:sz="4" w:space="1" w:color="142855"/>
          <w:right w:val="single" w:sz="4" w:space="4" w:color="142855"/>
        </w:pBdr>
        <w:shd w:val="clear" w:color="auto" w:fill="AFCAD2"/>
      </w:pPr>
      <w:r>
        <w:t>The syndicate was established in 2021 as a co-investment tool to support investment into innovation and creativity-based sectors providing capital for early</w:t>
      </w:r>
      <w:r w:rsidR="004329E5">
        <w:t>-</w:t>
      </w:r>
      <w:r>
        <w:t>stage female and diverse founders…</w:t>
      </w:r>
    </w:p>
    <w:p w14:paraId="4605403A" w14:textId="29DF7542" w:rsidR="0007274E" w:rsidRDefault="00F322E8" w:rsidP="000F00D5">
      <w:pPr>
        <w:pBdr>
          <w:top w:val="single" w:sz="4" w:space="1" w:color="142855"/>
          <w:left w:val="single" w:sz="4" w:space="4" w:color="142855"/>
          <w:bottom w:val="single" w:sz="4" w:space="1" w:color="142855"/>
          <w:right w:val="single" w:sz="4" w:space="4" w:color="142855"/>
        </w:pBdr>
        <w:shd w:val="clear" w:color="auto" w:fill="AFCAD2"/>
      </w:pPr>
      <w:r>
        <w:t>…</w:t>
      </w:r>
      <w:r w:rsidR="0007274E">
        <w:t xml:space="preserve">The syndicate managers noted that they have been aware of the RAP scheme since its </w:t>
      </w:r>
      <w:r w:rsidR="00564A82">
        <w:t>launch but</w:t>
      </w:r>
      <w:r w:rsidR="0007274E">
        <w:t xml:space="preserve"> were not ready to apply as they were in the inception phase. The syndicate has communicated with the RAP </w:t>
      </w:r>
      <w:r w:rsidR="00AE1E15">
        <w:t>team but</w:t>
      </w:r>
      <w:r w:rsidR="0007274E">
        <w:t xml:space="preserve"> were informed that their structure did not meet critical application criteria / checkpoints (e.g.</w:t>
      </w:r>
      <w:r w:rsidR="00564A82">
        <w:t>,</w:t>
      </w:r>
      <w:r w:rsidR="0007274E">
        <w:t xml:space="preserve"> FCA regulation). </w:t>
      </w:r>
    </w:p>
    <w:p w14:paraId="00F12C0E" w14:textId="77777777" w:rsidR="001160F2" w:rsidRPr="00CF0EFB" w:rsidRDefault="001160F2" w:rsidP="001160F2">
      <w:pPr>
        <w:rPr>
          <w:color w:val="FF0000"/>
        </w:rPr>
      </w:pPr>
      <w:r>
        <w:t>As a result of this, questions were raised around the Programme’s ability to support more nascent angel groups that do not have the required permissions. This is a particularly important point to consider when assessing the Programme as one of its core objectives is to professionalise the angel investment landscape, with some stakeholders questioning whether this can be achieved if such limitations are placed on angel groups arguably most in need of support.</w:t>
      </w:r>
    </w:p>
    <w:p w14:paraId="3F33D8AC" w14:textId="33FA5D9B" w:rsidR="001160F2" w:rsidRDefault="001160F2" w:rsidP="001160F2">
      <w:pPr>
        <w:rPr>
          <w:b/>
          <w:bCs/>
        </w:rPr>
      </w:pPr>
      <w:r w:rsidRPr="00D8407C">
        <w:t xml:space="preserve">When interviewed, the RAP team acknowledged this limitation as part of the </w:t>
      </w:r>
      <w:r>
        <w:t>Programme</w:t>
      </w:r>
      <w:r w:rsidRPr="00D8407C">
        <w:t xml:space="preserve"> and, whilst maintaining that such regulatory requirements are important due to the involvement of </w:t>
      </w:r>
      <w:r>
        <w:t>significant</w:t>
      </w:r>
      <w:r w:rsidRPr="00D8407C">
        <w:t xml:space="preserve"> public </w:t>
      </w:r>
      <w:r>
        <w:t>funding</w:t>
      </w:r>
      <w:r w:rsidRPr="00D8407C">
        <w:t xml:space="preserve">, </w:t>
      </w:r>
      <w:r w:rsidRPr="00D8407C">
        <w:rPr>
          <w:b/>
          <w:bCs/>
        </w:rPr>
        <w:t xml:space="preserve">recognised the need to become more inclusive of these </w:t>
      </w:r>
      <w:r>
        <w:rPr>
          <w:b/>
          <w:bCs/>
        </w:rPr>
        <w:t>a</w:t>
      </w:r>
      <w:r w:rsidRPr="00D8407C">
        <w:rPr>
          <w:b/>
          <w:bCs/>
        </w:rPr>
        <w:t>ngel groups.</w:t>
      </w:r>
      <w:r>
        <w:rPr>
          <w:b/>
          <w:bCs/>
        </w:rPr>
        <w:t xml:space="preserve"> </w:t>
      </w:r>
      <w:r w:rsidRPr="00D8407C">
        <w:t xml:space="preserve">As a result, the team has introduced a ‘workaround’ for </w:t>
      </w:r>
      <w:r>
        <w:t>a</w:t>
      </w:r>
      <w:r w:rsidRPr="00D8407C">
        <w:t xml:space="preserve">ngels without these permissions allowing them to </w:t>
      </w:r>
      <w:r w:rsidRPr="00830ED0">
        <w:rPr>
          <w:b/>
          <w:bCs/>
        </w:rPr>
        <w:t xml:space="preserve">apply for the </w:t>
      </w:r>
      <w:r>
        <w:rPr>
          <w:b/>
          <w:bCs/>
        </w:rPr>
        <w:t>Programme</w:t>
      </w:r>
      <w:r w:rsidRPr="00830ED0">
        <w:rPr>
          <w:b/>
          <w:bCs/>
        </w:rPr>
        <w:t xml:space="preserve"> </w:t>
      </w:r>
      <w:r w:rsidR="006D0DCC">
        <w:rPr>
          <w:b/>
          <w:bCs/>
        </w:rPr>
        <w:t>as</w:t>
      </w:r>
      <w:r w:rsidR="006D0DCC" w:rsidRPr="00830ED0">
        <w:rPr>
          <w:b/>
          <w:bCs/>
        </w:rPr>
        <w:t xml:space="preserve"> </w:t>
      </w:r>
      <w:r w:rsidRPr="00830ED0">
        <w:rPr>
          <w:b/>
          <w:bCs/>
        </w:rPr>
        <w:t>an appointed representative</w:t>
      </w:r>
      <w:r w:rsidRPr="00D8407C">
        <w:t xml:space="preserve"> </w:t>
      </w:r>
      <w:r w:rsidR="006D0DCC">
        <w:t>of a directly authorised and</w:t>
      </w:r>
      <w:r w:rsidR="006D0DCC" w:rsidRPr="00D8407C">
        <w:t xml:space="preserve"> regulated</w:t>
      </w:r>
      <w:r w:rsidR="006D0DCC">
        <w:t xml:space="preserve"> entity</w:t>
      </w:r>
      <w:r w:rsidR="006D0DCC" w:rsidRPr="00D8407C">
        <w:t>.</w:t>
      </w:r>
      <w:r w:rsidR="006D0DCC">
        <w:t xml:space="preserve"> </w:t>
      </w:r>
      <w:r>
        <w:t xml:space="preserve">The rationale for this is to enable angel groups that have a good track record to be able to invest in underrepresented regions or target specific types of investment (e.g., investing in women-led or BAME-led businesses) to access RAP funding. </w:t>
      </w:r>
    </w:p>
    <w:p w14:paraId="2B0B5286" w14:textId="59F4BCE6" w:rsidR="001160F2" w:rsidRDefault="001160F2" w:rsidP="001160F2">
      <w:r w:rsidRPr="00D8407C">
        <w:t xml:space="preserve">Whilst this limitation remains present, and questions around the </w:t>
      </w:r>
      <w:r>
        <w:t>Programme</w:t>
      </w:r>
      <w:r w:rsidRPr="00D8407C">
        <w:t xml:space="preserve">’s ability to achieve core objectives are still relevant, this highlights </w:t>
      </w:r>
      <w:r>
        <w:t>the RAP team’s</w:t>
      </w:r>
      <w:r w:rsidRPr="00D8407C">
        <w:t xml:space="preserve"> efforts to broaden the </w:t>
      </w:r>
      <w:r>
        <w:t>reach</w:t>
      </w:r>
      <w:r w:rsidRPr="00D8407C">
        <w:t xml:space="preserve"> of the </w:t>
      </w:r>
      <w:r>
        <w:t>Programme and its flexible approach</w:t>
      </w:r>
      <w:r w:rsidRPr="00D8407C">
        <w:t>.</w:t>
      </w:r>
    </w:p>
    <w:p w14:paraId="721AE59A" w14:textId="77777777" w:rsidR="00AE1E15" w:rsidRDefault="00AE1E15" w:rsidP="001160F2"/>
    <w:p w14:paraId="1E631F6B" w14:textId="77777777" w:rsidR="00AE1E15" w:rsidRDefault="00AE1E15" w:rsidP="001160F2"/>
    <w:p w14:paraId="64455E33" w14:textId="77777777" w:rsidR="00AE1E15" w:rsidRPr="00D8407C" w:rsidRDefault="00AE1E15" w:rsidP="001160F2"/>
    <w:p w14:paraId="44B2E1A8" w14:textId="543BB1ED" w:rsidR="00FC31A9" w:rsidRPr="007A3595" w:rsidRDefault="001160F2" w:rsidP="000F00D5">
      <w:pPr>
        <w:pBdr>
          <w:top w:val="single" w:sz="4" w:space="1" w:color="142855"/>
          <w:left w:val="single" w:sz="4" w:space="4" w:color="142855"/>
          <w:bottom w:val="single" w:sz="4" w:space="1" w:color="142855"/>
          <w:right w:val="single" w:sz="4" w:space="4" w:color="142855"/>
        </w:pBdr>
        <w:shd w:val="clear" w:color="auto" w:fill="AFCAD2"/>
        <w:rPr>
          <w:color w:val="142855"/>
        </w:rPr>
      </w:pPr>
      <w:r w:rsidRPr="001160F2">
        <w:rPr>
          <w:b/>
          <w:bCs/>
          <w:color w:val="142855"/>
        </w:rPr>
        <w:lastRenderedPageBreak/>
        <w:t xml:space="preserve">Case study A: Non-applicant angel </w:t>
      </w:r>
    </w:p>
    <w:p w14:paraId="1F6364EB" w14:textId="626C9155" w:rsidR="006377F5" w:rsidRPr="00D8407C" w:rsidRDefault="00FA6E73" w:rsidP="000F00D5">
      <w:pPr>
        <w:pBdr>
          <w:top w:val="single" w:sz="4" w:space="1" w:color="142855"/>
          <w:left w:val="single" w:sz="4" w:space="4" w:color="142855"/>
          <w:bottom w:val="single" w:sz="4" w:space="1" w:color="142855"/>
          <w:right w:val="single" w:sz="4" w:space="4" w:color="142855"/>
        </w:pBdr>
        <w:shd w:val="clear" w:color="auto" w:fill="AFCAD2"/>
        <w:rPr>
          <w:b/>
          <w:bCs/>
          <w:i/>
          <w:iCs/>
        </w:rPr>
      </w:pPr>
      <w:r>
        <w:t>…they have since had positive engagement with the RAP team, with members of the team offering guidance on how the syndicate can navigate the onboarding process to address structural issues (e.g.</w:t>
      </w:r>
      <w:r w:rsidR="00564A82">
        <w:t>,</w:t>
      </w:r>
      <w:r>
        <w:t xml:space="preserve"> applying alongside a regulated </w:t>
      </w:r>
      <w:r w:rsidR="008E24AD">
        <w:t>P</w:t>
      </w:r>
      <w:r>
        <w:t xml:space="preserve">artner that can counteract the regulatory / structural limitations). This highlights the RAP team’s focus on supporting more nascent </w:t>
      </w:r>
      <w:r w:rsidR="00577097">
        <w:t>a</w:t>
      </w:r>
      <w:r>
        <w:t xml:space="preserve">ngel syndicates despite the inclusion of regulatory requirements in the RAP criteria, with the syndicate managers acknowledging the RAP team has a </w:t>
      </w:r>
      <w:r w:rsidRPr="007A3595">
        <w:rPr>
          <w:b/>
          <w:bCs/>
          <w:i/>
          <w:iCs/>
        </w:rPr>
        <w:t xml:space="preserve">“clear focus on how they can support further diversity in their investment strategy”. </w:t>
      </w:r>
    </w:p>
    <w:p w14:paraId="0D2653C0" w14:textId="77777777" w:rsidR="001160F2" w:rsidRPr="006377F5" w:rsidRDefault="001160F2" w:rsidP="001160F2">
      <w:pPr>
        <w:pStyle w:val="Heading2"/>
      </w:pPr>
      <w:bookmarkStart w:id="94" w:name="_Toc144830557"/>
      <w:bookmarkStart w:id="95" w:name="_Toc165482221"/>
      <w:bookmarkStart w:id="96" w:name="_Toc165497184"/>
      <w:bookmarkEnd w:id="88"/>
      <w:r w:rsidRPr="006377F5">
        <w:t xml:space="preserve">5.3 Overview of the </w:t>
      </w:r>
      <w:r>
        <w:t>P</w:t>
      </w:r>
      <w:r w:rsidRPr="006377F5">
        <w:t>artners and geographic spread</w:t>
      </w:r>
      <w:bookmarkEnd w:id="94"/>
      <w:bookmarkEnd w:id="95"/>
      <w:bookmarkEnd w:id="96"/>
    </w:p>
    <w:p w14:paraId="1267B61C" w14:textId="23B0980B" w:rsidR="001160F2" w:rsidRDefault="4A81889F" w:rsidP="001160F2">
      <w:r>
        <w:t xml:space="preserve">12 </w:t>
      </w:r>
      <w:r w:rsidR="762487F1">
        <w:t xml:space="preserve">Partners were admitted onto the Programme, with these listed in </w:t>
      </w:r>
      <w:r w:rsidR="003C06F0">
        <w:fldChar w:fldCharType="begin"/>
      </w:r>
      <w:r w:rsidR="003C06F0">
        <w:instrText xml:space="preserve"> REF _Ref145072729 \h </w:instrText>
      </w:r>
      <w:r w:rsidR="003C06F0">
        <w:fldChar w:fldCharType="separate"/>
      </w:r>
      <w:r w:rsidR="00BC412E">
        <w:t xml:space="preserve">Table </w:t>
      </w:r>
      <w:r w:rsidR="00BC412E">
        <w:rPr>
          <w:noProof/>
        </w:rPr>
        <w:t>6</w:t>
      </w:r>
      <w:r w:rsidR="003C06F0">
        <w:fldChar w:fldCharType="end"/>
      </w:r>
      <w:r w:rsidR="19258AB4">
        <w:t xml:space="preserve"> </w:t>
      </w:r>
      <w:r w:rsidR="762487F1">
        <w:t xml:space="preserve">below. Recent additional syndicates that have drawn down finance include Archangels and Eos listed at the end. </w:t>
      </w:r>
      <w:r w:rsidR="5B65006D">
        <w:t>Two</w:t>
      </w:r>
      <w:r>
        <w:t xml:space="preserve"> have headquarters in London and </w:t>
      </w:r>
      <w:r w:rsidR="5B65006D">
        <w:t>one</w:t>
      </w:r>
      <w:r>
        <w:t xml:space="preserve"> other also ha</w:t>
      </w:r>
      <w:r w:rsidR="4222B00C">
        <w:t>s</w:t>
      </w:r>
      <w:r>
        <w:t xml:space="preserve"> a London representation. </w:t>
      </w:r>
      <w:r w:rsidR="762487F1">
        <w:t xml:space="preserve">This level of London representation is </w:t>
      </w:r>
      <w:r w:rsidR="7BC70CAE">
        <w:t xml:space="preserve">lower </w:t>
      </w:r>
      <w:r w:rsidR="762487F1">
        <w:t>to that of other Active Angel Networks in the UK</w:t>
      </w:r>
      <w:r w:rsidR="001160F2">
        <w:rPr>
          <w:rStyle w:val="FootnoteReference"/>
        </w:rPr>
        <w:footnoteReference w:id="38"/>
      </w:r>
      <w:r w:rsidR="762487F1">
        <w:t xml:space="preserve">. Not represented are Wales, The </w:t>
      </w:r>
      <w:proofErr w:type="gramStart"/>
      <w:r w:rsidR="762487F1">
        <w:t>North East</w:t>
      </w:r>
      <w:proofErr w:type="gramEnd"/>
      <w:r w:rsidR="762487F1">
        <w:t>, West Midlands, and the South East which could be a result of the criteria with which Angels/ syndicates were accepted onto the programme and there not being firms in those regions that could meet these criteria. Written evidence</w:t>
      </w:r>
      <w:r w:rsidR="001160F2">
        <w:rPr>
          <w:rStyle w:val="FootnoteReference"/>
        </w:rPr>
        <w:footnoteReference w:id="39"/>
      </w:r>
      <w:r w:rsidR="762487F1">
        <w:t xml:space="preserve"> submitted to the UK government by the UKBAA states that:</w:t>
      </w:r>
    </w:p>
    <w:p w14:paraId="2FC1FCFB" w14:textId="77777777" w:rsidR="001160F2" w:rsidRPr="00F719A1" w:rsidRDefault="001160F2" w:rsidP="001160F2">
      <w:pPr>
        <w:ind w:left="720"/>
        <w:rPr>
          <w:i/>
        </w:rPr>
      </w:pPr>
      <w:r w:rsidRPr="00F719A1">
        <w:rPr>
          <w:i/>
        </w:rPr>
        <w:t>“…</w:t>
      </w:r>
      <w:r>
        <w:rPr>
          <w:i/>
          <w:iCs/>
        </w:rPr>
        <w:t xml:space="preserve"> </w:t>
      </w:r>
      <w:r w:rsidRPr="00F719A1">
        <w:rPr>
          <w:i/>
        </w:rPr>
        <w:t>the current RAP parameters preclude many angel groups across the regions and devolved nations that do not have the experience, track record or relevant funding structures to take advantage of these co-investment funds.”</w:t>
      </w:r>
    </w:p>
    <w:p w14:paraId="66B2110E" w14:textId="59672D57" w:rsidR="008E6DE5" w:rsidRDefault="001160F2" w:rsidP="001160F2">
      <w:r>
        <w:t xml:space="preserve">These requirements are likely making it difficult for Angels/ Syndicates within unrepresented regions to show up due to them not fulfilling the criteria. However, these requirements as part of the application process are included </w:t>
      </w:r>
      <w:r w:rsidR="006D0DCC">
        <w:t xml:space="preserve">due to BBI’s commercial nature and </w:t>
      </w:r>
      <w:r>
        <w:t>to minimise the risk of failure and losses to taxpayer monies. The scheme was designed with this trade-off in mind. It must be noted that business supported by Angels/ Syndicates within these regions may not have met the minimum thresholds to access RAP finance.</w:t>
      </w:r>
    </w:p>
    <w:p w14:paraId="61772D1E" w14:textId="28649AD8" w:rsidR="00CB5D98" w:rsidRDefault="001160F2" w:rsidP="00CB5D98">
      <w:r w:rsidRPr="001160F2">
        <w:lastRenderedPageBreak/>
        <w:t xml:space="preserve">The </w:t>
      </w:r>
      <w:proofErr w:type="gramStart"/>
      <w:r w:rsidRPr="001160F2">
        <w:t>South East</w:t>
      </w:r>
      <w:proofErr w:type="gramEnd"/>
      <w:r w:rsidRPr="001160F2">
        <w:t xml:space="preserve"> region however, has a relatively larger degree of angel activity and deals which would have made applicants potentially less favoured if investments were focused in this area, similar to those Angels/ Syndicates investing in London.</w:t>
      </w:r>
    </w:p>
    <w:p w14:paraId="28ABABD0" w14:textId="5130C012" w:rsidR="006377F5" w:rsidRPr="00216031" w:rsidRDefault="003C06F0" w:rsidP="003C06F0">
      <w:pPr>
        <w:pStyle w:val="Caption"/>
      </w:pPr>
      <w:bookmarkStart w:id="97" w:name="_Ref145072729"/>
      <w:r>
        <w:t xml:space="preserve">Table </w:t>
      </w:r>
      <w:r w:rsidR="002728D8">
        <w:fldChar w:fldCharType="begin"/>
      </w:r>
      <w:r w:rsidR="002728D8">
        <w:instrText xml:space="preserve"> SEQ Table \* ARABIC </w:instrText>
      </w:r>
      <w:r w:rsidR="002728D8">
        <w:fldChar w:fldCharType="separate"/>
      </w:r>
      <w:r w:rsidR="00BC412E">
        <w:rPr>
          <w:noProof/>
        </w:rPr>
        <w:t>6</w:t>
      </w:r>
      <w:r w:rsidR="002728D8">
        <w:rPr>
          <w:noProof/>
        </w:rPr>
        <w:fldChar w:fldCharType="end"/>
      </w:r>
      <w:bookmarkEnd w:id="97"/>
      <w:r>
        <w:t xml:space="preserve">: </w:t>
      </w:r>
      <w:r w:rsidRPr="00EA2EBA">
        <w:t>RAP Partners by Region</w:t>
      </w:r>
    </w:p>
    <w:tbl>
      <w:tblPr>
        <w:tblStyle w:val="PlainTable21"/>
        <w:tblW w:w="9746" w:type="dxa"/>
        <w:tblLook w:val="04A0" w:firstRow="1" w:lastRow="0" w:firstColumn="1" w:lastColumn="0" w:noHBand="0" w:noVBand="1"/>
      </w:tblPr>
      <w:tblGrid>
        <w:gridCol w:w="2835"/>
        <w:gridCol w:w="2910"/>
        <w:gridCol w:w="4001"/>
      </w:tblGrid>
      <w:tr w:rsidR="002A6C1B" w14:paraId="50C21644" w14:textId="77777777" w:rsidTr="4C9380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5CEB0348" w14:textId="77777777" w:rsidR="006377F5" w:rsidRPr="0051091B" w:rsidRDefault="006377F5" w:rsidP="4457CD75">
            <w:pPr>
              <w:jc w:val="both"/>
              <w:rPr>
                <w:color w:val="142855" w:themeColor="text2"/>
              </w:rPr>
            </w:pPr>
            <w:r w:rsidRPr="4457CD75">
              <w:rPr>
                <w:color w:val="142855" w:themeColor="text2"/>
              </w:rPr>
              <w:t>Partner</w:t>
            </w:r>
          </w:p>
        </w:tc>
        <w:tc>
          <w:tcPr>
            <w:tcW w:w="2910" w:type="dxa"/>
            <w:tcBorders>
              <w:top w:val="single" w:sz="4" w:space="0" w:color="142855" w:themeColor="text2"/>
              <w:bottom w:val="single" w:sz="4" w:space="0" w:color="142855" w:themeColor="text2"/>
            </w:tcBorders>
          </w:tcPr>
          <w:p w14:paraId="3EE9CE41" w14:textId="77777777" w:rsidR="006377F5" w:rsidRPr="006377F5" w:rsidRDefault="006377F5" w:rsidP="4457CD75">
            <w:pPr>
              <w:jc w:val="both"/>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Head Office</w:t>
            </w:r>
          </w:p>
        </w:tc>
        <w:tc>
          <w:tcPr>
            <w:tcW w:w="4001" w:type="dxa"/>
            <w:tcBorders>
              <w:top w:val="single" w:sz="4" w:space="0" w:color="142855" w:themeColor="text2"/>
              <w:bottom w:val="single" w:sz="4" w:space="0" w:color="142855" w:themeColor="text2"/>
            </w:tcBorders>
          </w:tcPr>
          <w:p w14:paraId="2A9A5913" w14:textId="77777777" w:rsidR="006377F5" w:rsidRPr="0051091B" w:rsidRDefault="006377F5" w:rsidP="4457CD75">
            <w:pPr>
              <w:jc w:val="both"/>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Other UK Offices Geography</w:t>
            </w:r>
          </w:p>
        </w:tc>
      </w:tr>
      <w:tr w:rsidR="002A6C1B" w14:paraId="3695A3B3"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0E9E9EB2" w14:textId="77777777" w:rsidR="006377F5" w:rsidRPr="0051091B" w:rsidRDefault="006377F5" w:rsidP="00957DB2">
            <w:r w:rsidRPr="0051091B">
              <w:t>DSW Ventures</w:t>
            </w:r>
          </w:p>
        </w:tc>
        <w:tc>
          <w:tcPr>
            <w:tcW w:w="2910" w:type="dxa"/>
            <w:tcBorders>
              <w:top w:val="single" w:sz="4" w:space="0" w:color="142855" w:themeColor="text2"/>
              <w:bottom w:val="single" w:sz="4" w:space="0" w:color="142855" w:themeColor="text2"/>
            </w:tcBorders>
          </w:tcPr>
          <w:p w14:paraId="763AC7C9" w14:textId="66434249" w:rsidR="006377F5" w:rsidRDefault="006D0DCC" w:rsidP="4457CD75">
            <w:pPr>
              <w:cnfStyle w:val="000000100000" w:firstRow="0" w:lastRow="0" w:firstColumn="0" w:lastColumn="0" w:oddVBand="0" w:evenVBand="0" w:oddHBand="1" w:evenHBand="0" w:firstRowFirstColumn="0" w:firstRowLastColumn="0" w:lastRowFirstColumn="0" w:lastRowLastColumn="0"/>
            </w:pPr>
            <w:r>
              <w:t xml:space="preserve">Manchester </w:t>
            </w:r>
            <w:r w:rsidR="006377F5">
              <w:t>(</w:t>
            </w:r>
            <w:proofErr w:type="gramStart"/>
            <w:r w:rsidR="006377F5">
              <w:t>North West</w:t>
            </w:r>
            <w:proofErr w:type="gramEnd"/>
            <w:r w:rsidR="006377F5">
              <w:t>)</w:t>
            </w:r>
          </w:p>
        </w:tc>
        <w:tc>
          <w:tcPr>
            <w:tcW w:w="4001" w:type="dxa"/>
            <w:tcBorders>
              <w:top w:val="single" w:sz="4" w:space="0" w:color="142855" w:themeColor="text2"/>
              <w:bottom w:val="single" w:sz="4" w:space="0" w:color="142855" w:themeColor="text2"/>
            </w:tcBorders>
          </w:tcPr>
          <w:p w14:paraId="480F61E8" w14:textId="3D52E900"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p>
        </w:tc>
      </w:tr>
      <w:tr w:rsidR="006377F5" w14:paraId="31DF5E88" w14:textId="77777777" w:rsidTr="4C9380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585A1EC3" w14:textId="77777777" w:rsidR="006377F5" w:rsidRPr="0051091B" w:rsidRDefault="006377F5" w:rsidP="00957DB2">
            <w:proofErr w:type="spellStart"/>
            <w:r w:rsidRPr="0051091B">
              <w:t>Praetura</w:t>
            </w:r>
            <w:proofErr w:type="spellEnd"/>
          </w:p>
        </w:tc>
        <w:tc>
          <w:tcPr>
            <w:tcW w:w="2910" w:type="dxa"/>
            <w:tcBorders>
              <w:top w:val="single" w:sz="4" w:space="0" w:color="142855" w:themeColor="text2"/>
              <w:bottom w:val="single" w:sz="4" w:space="0" w:color="142855" w:themeColor="text2"/>
            </w:tcBorders>
          </w:tcPr>
          <w:p w14:paraId="145B1036" w14:textId="77777777" w:rsidR="006377F5" w:rsidRPr="00280974" w:rsidRDefault="006377F5" w:rsidP="4457CD75">
            <w:pPr>
              <w:cnfStyle w:val="000000000000" w:firstRow="0" w:lastRow="0" w:firstColumn="0" w:lastColumn="0" w:oddVBand="0" w:evenVBand="0" w:oddHBand="0" w:evenHBand="0" w:firstRowFirstColumn="0" w:firstRowLastColumn="0" w:lastRowFirstColumn="0" w:lastRowLastColumn="0"/>
            </w:pPr>
            <w:r>
              <w:t>Manchester (</w:t>
            </w:r>
            <w:proofErr w:type="gramStart"/>
            <w:r>
              <w:t>North West</w:t>
            </w:r>
            <w:proofErr w:type="gramEnd"/>
            <w:r>
              <w:t>)</w:t>
            </w:r>
          </w:p>
        </w:tc>
        <w:tc>
          <w:tcPr>
            <w:tcW w:w="4001" w:type="dxa"/>
            <w:tcBorders>
              <w:top w:val="single" w:sz="4" w:space="0" w:color="142855" w:themeColor="text2"/>
              <w:bottom w:val="single" w:sz="4" w:space="0" w:color="142855" w:themeColor="text2"/>
            </w:tcBorders>
          </w:tcPr>
          <w:p w14:paraId="04899447" w14:textId="07ECE9A5"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p>
        </w:tc>
      </w:tr>
      <w:tr w:rsidR="002A6C1B" w14:paraId="20CA089E"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794066AA" w14:textId="77777777" w:rsidR="006377F5" w:rsidRPr="0051091B" w:rsidRDefault="006377F5" w:rsidP="00957DB2">
            <w:proofErr w:type="spellStart"/>
            <w:r w:rsidRPr="0051091B">
              <w:t>Newable</w:t>
            </w:r>
            <w:proofErr w:type="spellEnd"/>
          </w:p>
        </w:tc>
        <w:tc>
          <w:tcPr>
            <w:tcW w:w="2910" w:type="dxa"/>
            <w:tcBorders>
              <w:top w:val="single" w:sz="4" w:space="0" w:color="142855" w:themeColor="text2"/>
              <w:bottom w:val="single" w:sz="4" w:space="0" w:color="142855" w:themeColor="text2"/>
            </w:tcBorders>
          </w:tcPr>
          <w:p w14:paraId="36AF809E" w14:textId="18C91B3B"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London</w:t>
            </w:r>
            <w:r w:rsidR="00750025">
              <w:t>/South-West</w:t>
            </w:r>
          </w:p>
        </w:tc>
        <w:tc>
          <w:tcPr>
            <w:tcW w:w="4001" w:type="dxa"/>
            <w:tcBorders>
              <w:top w:val="single" w:sz="4" w:space="0" w:color="142855" w:themeColor="text2"/>
              <w:bottom w:val="single" w:sz="4" w:space="0" w:color="142855" w:themeColor="text2"/>
            </w:tcBorders>
          </w:tcPr>
          <w:p w14:paraId="05E606CB"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t>N/A</w:t>
            </w:r>
          </w:p>
        </w:tc>
      </w:tr>
      <w:tr w:rsidR="006377F5" w14:paraId="14DD3590" w14:textId="77777777" w:rsidTr="4C9380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4CA4C96D" w14:textId="77777777" w:rsidR="006377F5" w:rsidRPr="0051091B" w:rsidRDefault="006377F5" w:rsidP="00957DB2">
            <w:r w:rsidRPr="0051091B">
              <w:t>Clarendon Fund Managers</w:t>
            </w:r>
          </w:p>
        </w:tc>
        <w:tc>
          <w:tcPr>
            <w:tcW w:w="2910" w:type="dxa"/>
            <w:tcBorders>
              <w:top w:val="single" w:sz="4" w:space="0" w:color="142855" w:themeColor="text2"/>
              <w:bottom w:val="single" w:sz="4" w:space="0" w:color="142855" w:themeColor="text2"/>
            </w:tcBorders>
          </w:tcPr>
          <w:p w14:paraId="68D02693"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rsidRPr="0051091B">
              <w:t>Belfast (Northern Ireland)</w:t>
            </w:r>
          </w:p>
        </w:tc>
        <w:tc>
          <w:tcPr>
            <w:tcW w:w="4001" w:type="dxa"/>
            <w:tcBorders>
              <w:top w:val="single" w:sz="4" w:space="0" w:color="142855" w:themeColor="text2"/>
              <w:bottom w:val="single" w:sz="4" w:space="0" w:color="142855" w:themeColor="text2"/>
            </w:tcBorders>
          </w:tcPr>
          <w:p w14:paraId="1464B64A"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rsidRPr="005F5A13">
              <w:t>N/A</w:t>
            </w:r>
          </w:p>
        </w:tc>
      </w:tr>
      <w:tr w:rsidR="002A6C1B" w14:paraId="75428B98"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215FCC47" w14:textId="77777777" w:rsidR="006377F5" w:rsidRPr="0051091B" w:rsidRDefault="006377F5" w:rsidP="00957DB2">
            <w:proofErr w:type="spellStart"/>
            <w:r w:rsidRPr="0051091B">
              <w:t>Deepbridge</w:t>
            </w:r>
            <w:proofErr w:type="spellEnd"/>
            <w:r w:rsidRPr="0051091B">
              <w:t xml:space="preserve"> Capital</w:t>
            </w:r>
          </w:p>
        </w:tc>
        <w:tc>
          <w:tcPr>
            <w:tcW w:w="2910" w:type="dxa"/>
            <w:tcBorders>
              <w:top w:val="single" w:sz="4" w:space="0" w:color="142855" w:themeColor="text2"/>
              <w:bottom w:val="single" w:sz="4" w:space="0" w:color="142855" w:themeColor="text2"/>
            </w:tcBorders>
          </w:tcPr>
          <w:p w14:paraId="732C8AF1"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Chester (</w:t>
            </w:r>
            <w:proofErr w:type="gramStart"/>
            <w:r w:rsidRPr="0051091B">
              <w:t>North West</w:t>
            </w:r>
            <w:proofErr w:type="gramEnd"/>
            <w:r w:rsidRPr="0051091B">
              <w:t>)</w:t>
            </w:r>
          </w:p>
        </w:tc>
        <w:tc>
          <w:tcPr>
            <w:tcW w:w="4001" w:type="dxa"/>
            <w:tcBorders>
              <w:top w:val="single" w:sz="4" w:space="0" w:color="142855" w:themeColor="text2"/>
              <w:bottom w:val="single" w:sz="4" w:space="0" w:color="142855" w:themeColor="text2"/>
            </w:tcBorders>
          </w:tcPr>
          <w:p w14:paraId="0EDB46E0"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London, Bristol (</w:t>
            </w:r>
            <w:proofErr w:type="gramStart"/>
            <w:r w:rsidRPr="0051091B">
              <w:t>South West</w:t>
            </w:r>
            <w:proofErr w:type="gramEnd"/>
            <w:r w:rsidRPr="0051091B">
              <w:t>), Edinburgh (Scotland)</w:t>
            </w:r>
          </w:p>
        </w:tc>
      </w:tr>
      <w:tr w:rsidR="006377F5" w14:paraId="6F748C97" w14:textId="77777777" w:rsidTr="4C9380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203123C4" w14:textId="77777777" w:rsidR="006377F5" w:rsidRPr="0051091B" w:rsidRDefault="006377F5" w:rsidP="00957DB2">
            <w:proofErr w:type="spellStart"/>
            <w:r w:rsidRPr="0051091B">
              <w:t>SyndicateRoom</w:t>
            </w:r>
            <w:proofErr w:type="spellEnd"/>
          </w:p>
        </w:tc>
        <w:tc>
          <w:tcPr>
            <w:tcW w:w="2910" w:type="dxa"/>
            <w:tcBorders>
              <w:top w:val="single" w:sz="4" w:space="0" w:color="142855" w:themeColor="text2"/>
              <w:bottom w:val="single" w:sz="4" w:space="0" w:color="142855" w:themeColor="text2"/>
            </w:tcBorders>
          </w:tcPr>
          <w:p w14:paraId="1835D96B"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rsidRPr="0051091B">
              <w:t>Cambridge (East of England)</w:t>
            </w:r>
          </w:p>
        </w:tc>
        <w:tc>
          <w:tcPr>
            <w:tcW w:w="4001" w:type="dxa"/>
            <w:tcBorders>
              <w:top w:val="single" w:sz="4" w:space="0" w:color="142855" w:themeColor="text2"/>
              <w:bottom w:val="single" w:sz="4" w:space="0" w:color="142855" w:themeColor="text2"/>
            </w:tcBorders>
          </w:tcPr>
          <w:p w14:paraId="64E28EB9"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t>N/A</w:t>
            </w:r>
          </w:p>
        </w:tc>
      </w:tr>
      <w:tr w:rsidR="002A6C1B" w14:paraId="1F36E32E"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6BCDE694" w14:textId="77777777" w:rsidR="006377F5" w:rsidRPr="0051091B" w:rsidRDefault="006377F5" w:rsidP="00957DB2">
            <w:r w:rsidRPr="0051091B">
              <w:t>24Haymarket</w:t>
            </w:r>
          </w:p>
        </w:tc>
        <w:tc>
          <w:tcPr>
            <w:tcW w:w="2910" w:type="dxa"/>
            <w:tcBorders>
              <w:top w:val="single" w:sz="4" w:space="0" w:color="142855" w:themeColor="text2"/>
              <w:bottom w:val="single" w:sz="4" w:space="0" w:color="142855" w:themeColor="text2"/>
            </w:tcBorders>
          </w:tcPr>
          <w:p w14:paraId="5513A33E"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London</w:t>
            </w:r>
          </w:p>
        </w:tc>
        <w:tc>
          <w:tcPr>
            <w:tcW w:w="4001" w:type="dxa"/>
            <w:tcBorders>
              <w:top w:val="single" w:sz="4" w:space="0" w:color="142855" w:themeColor="text2"/>
              <w:bottom w:val="single" w:sz="4" w:space="0" w:color="142855" w:themeColor="text2"/>
            </w:tcBorders>
          </w:tcPr>
          <w:p w14:paraId="6D6A5584"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Edinburgh (Scotland)</w:t>
            </w:r>
          </w:p>
        </w:tc>
      </w:tr>
      <w:tr w:rsidR="006377F5" w14:paraId="0C4C0404" w14:textId="77777777" w:rsidTr="4C9380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25B8AE6C" w14:textId="77777777" w:rsidR="006377F5" w:rsidRPr="0051091B" w:rsidRDefault="006377F5" w:rsidP="00957DB2">
            <w:r w:rsidRPr="0051091B">
              <w:t>Par Equity</w:t>
            </w:r>
          </w:p>
        </w:tc>
        <w:tc>
          <w:tcPr>
            <w:tcW w:w="2910" w:type="dxa"/>
            <w:tcBorders>
              <w:top w:val="single" w:sz="4" w:space="0" w:color="142855" w:themeColor="text2"/>
              <w:bottom w:val="single" w:sz="4" w:space="0" w:color="142855" w:themeColor="text2"/>
            </w:tcBorders>
          </w:tcPr>
          <w:p w14:paraId="39083C9A"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rsidRPr="0051091B">
              <w:t>Edinburgh (Scotland)</w:t>
            </w:r>
          </w:p>
        </w:tc>
        <w:tc>
          <w:tcPr>
            <w:tcW w:w="4001" w:type="dxa"/>
            <w:tcBorders>
              <w:top w:val="single" w:sz="4" w:space="0" w:color="142855" w:themeColor="text2"/>
              <w:bottom w:val="single" w:sz="4" w:space="0" w:color="142855" w:themeColor="text2"/>
            </w:tcBorders>
          </w:tcPr>
          <w:p w14:paraId="0C09B1D8"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t>N/A</w:t>
            </w:r>
          </w:p>
        </w:tc>
      </w:tr>
      <w:tr w:rsidR="000951ED" w14:paraId="165973D4"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586FF847" w14:textId="77777777" w:rsidR="006377F5" w:rsidRPr="0051091B" w:rsidRDefault="006377F5" w:rsidP="00957DB2">
            <w:r w:rsidRPr="0051091B">
              <w:t>SFC Capital</w:t>
            </w:r>
          </w:p>
        </w:tc>
        <w:tc>
          <w:tcPr>
            <w:tcW w:w="2910" w:type="dxa"/>
            <w:tcBorders>
              <w:top w:val="single" w:sz="4" w:space="0" w:color="142855" w:themeColor="text2"/>
              <w:bottom w:val="single" w:sz="4" w:space="0" w:color="142855" w:themeColor="text2"/>
            </w:tcBorders>
          </w:tcPr>
          <w:p w14:paraId="5A94AF1B"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t>Cheshire (</w:t>
            </w:r>
            <w:proofErr w:type="gramStart"/>
            <w:r>
              <w:t>North West</w:t>
            </w:r>
            <w:proofErr w:type="gramEnd"/>
            <w:r>
              <w:t>)</w:t>
            </w:r>
          </w:p>
        </w:tc>
        <w:tc>
          <w:tcPr>
            <w:tcW w:w="4001" w:type="dxa"/>
            <w:tcBorders>
              <w:top w:val="single" w:sz="4" w:space="0" w:color="142855" w:themeColor="text2"/>
              <w:bottom w:val="single" w:sz="4" w:space="0" w:color="142855" w:themeColor="text2"/>
            </w:tcBorders>
          </w:tcPr>
          <w:p w14:paraId="150E8D8E"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rsidRPr="0051091B">
              <w:t>Northwich (</w:t>
            </w:r>
            <w:proofErr w:type="gramStart"/>
            <w:r w:rsidRPr="0051091B">
              <w:t>North West</w:t>
            </w:r>
            <w:proofErr w:type="gramEnd"/>
            <w:r w:rsidRPr="0051091B">
              <w:t>)</w:t>
            </w:r>
          </w:p>
        </w:tc>
      </w:tr>
      <w:tr w:rsidR="006377F5" w14:paraId="22258C1C" w14:textId="77777777" w:rsidTr="4C9380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7DDB3CB4" w14:textId="77777777" w:rsidR="006377F5" w:rsidRPr="0051091B" w:rsidRDefault="006377F5" w:rsidP="00957DB2">
            <w:r w:rsidRPr="0051091B">
              <w:t xml:space="preserve">Green Angel Syndicate </w:t>
            </w:r>
          </w:p>
        </w:tc>
        <w:tc>
          <w:tcPr>
            <w:tcW w:w="2910" w:type="dxa"/>
            <w:tcBorders>
              <w:top w:val="single" w:sz="4" w:space="0" w:color="142855" w:themeColor="text2"/>
              <w:bottom w:val="single" w:sz="4" w:space="0" w:color="142855" w:themeColor="text2"/>
            </w:tcBorders>
          </w:tcPr>
          <w:p w14:paraId="5EB4AF6A" w14:textId="77777777" w:rsidR="006377F5" w:rsidRDefault="006377F5" w:rsidP="4457CD75">
            <w:pPr>
              <w:cnfStyle w:val="000000000000" w:firstRow="0" w:lastRow="0" w:firstColumn="0" w:lastColumn="0" w:oddVBand="0" w:evenVBand="0" w:oddHBand="0" w:evenHBand="0" w:firstRowFirstColumn="0" w:firstRowLastColumn="0" w:lastRowFirstColumn="0" w:lastRowLastColumn="0"/>
            </w:pPr>
            <w:r>
              <w:t>London</w:t>
            </w:r>
          </w:p>
        </w:tc>
        <w:tc>
          <w:tcPr>
            <w:tcW w:w="4001" w:type="dxa"/>
            <w:tcBorders>
              <w:top w:val="single" w:sz="4" w:space="0" w:color="142855" w:themeColor="text2"/>
              <w:bottom w:val="single" w:sz="4" w:space="0" w:color="142855" w:themeColor="text2"/>
            </w:tcBorders>
          </w:tcPr>
          <w:p w14:paraId="54BA503F"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t>N/A</w:t>
            </w:r>
          </w:p>
        </w:tc>
      </w:tr>
      <w:tr w:rsidR="000951ED" w14:paraId="6876DE06" w14:textId="77777777" w:rsidTr="4C93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855" w:themeColor="text2"/>
              <w:bottom w:val="single" w:sz="4" w:space="0" w:color="142855" w:themeColor="text2"/>
            </w:tcBorders>
          </w:tcPr>
          <w:p w14:paraId="04658572" w14:textId="77777777" w:rsidR="006377F5" w:rsidRPr="0051091B" w:rsidRDefault="006377F5" w:rsidP="00957DB2">
            <w:r w:rsidRPr="0051091B">
              <w:t>Science Creates</w:t>
            </w:r>
          </w:p>
        </w:tc>
        <w:tc>
          <w:tcPr>
            <w:tcW w:w="2910" w:type="dxa"/>
            <w:tcBorders>
              <w:top w:val="single" w:sz="4" w:space="0" w:color="142855" w:themeColor="text2"/>
              <w:bottom w:val="single" w:sz="4" w:space="0" w:color="142855" w:themeColor="text2"/>
            </w:tcBorders>
          </w:tcPr>
          <w:p w14:paraId="45BD12C6" w14:textId="77777777" w:rsidR="006377F5" w:rsidRDefault="006377F5" w:rsidP="4457CD75">
            <w:pPr>
              <w:cnfStyle w:val="000000100000" w:firstRow="0" w:lastRow="0" w:firstColumn="0" w:lastColumn="0" w:oddVBand="0" w:evenVBand="0" w:oddHBand="1" w:evenHBand="0" w:firstRowFirstColumn="0" w:firstRowLastColumn="0" w:lastRowFirstColumn="0" w:lastRowLastColumn="0"/>
            </w:pPr>
            <w:r>
              <w:t>Bristol (</w:t>
            </w:r>
            <w:proofErr w:type="gramStart"/>
            <w:r>
              <w:t>South West</w:t>
            </w:r>
            <w:proofErr w:type="gramEnd"/>
            <w:r>
              <w:t>)</w:t>
            </w:r>
          </w:p>
        </w:tc>
        <w:tc>
          <w:tcPr>
            <w:tcW w:w="4001" w:type="dxa"/>
            <w:tcBorders>
              <w:top w:val="single" w:sz="4" w:space="0" w:color="142855" w:themeColor="text2"/>
              <w:bottom w:val="single" w:sz="4" w:space="0" w:color="142855" w:themeColor="text2"/>
            </w:tcBorders>
          </w:tcPr>
          <w:p w14:paraId="0185FDCA" w14:textId="77777777" w:rsidR="006377F5" w:rsidRPr="0051091B" w:rsidRDefault="006377F5" w:rsidP="4457CD75">
            <w:pPr>
              <w:cnfStyle w:val="000000100000" w:firstRow="0" w:lastRow="0" w:firstColumn="0" w:lastColumn="0" w:oddVBand="0" w:evenVBand="0" w:oddHBand="1" w:evenHBand="0" w:firstRowFirstColumn="0" w:firstRowLastColumn="0" w:lastRowFirstColumn="0" w:lastRowLastColumn="0"/>
            </w:pPr>
            <w:r>
              <w:t>N/A</w:t>
            </w:r>
          </w:p>
        </w:tc>
      </w:tr>
      <w:tr w:rsidR="006377F5" w14:paraId="4DA5E47E" w14:textId="77777777" w:rsidTr="00074E0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42855" w:themeColor="text2"/>
              <w:bottom w:val="single" w:sz="4" w:space="0" w:color="142855" w:themeColor="text2"/>
            </w:tcBorders>
          </w:tcPr>
          <w:p w14:paraId="3CB319CB" w14:textId="77777777" w:rsidR="006377F5" w:rsidRPr="0051091B" w:rsidRDefault="006377F5" w:rsidP="00957DB2">
            <w:proofErr w:type="spellStart"/>
            <w:r w:rsidRPr="0051091B">
              <w:t>Haatch</w:t>
            </w:r>
            <w:proofErr w:type="spellEnd"/>
          </w:p>
        </w:tc>
        <w:tc>
          <w:tcPr>
            <w:tcW w:w="0" w:type="dxa"/>
            <w:tcBorders>
              <w:top w:val="single" w:sz="4" w:space="0" w:color="142855" w:themeColor="text2"/>
              <w:bottom w:val="single" w:sz="4" w:space="0" w:color="142855" w:themeColor="text2"/>
            </w:tcBorders>
          </w:tcPr>
          <w:p w14:paraId="3DF14D49" w14:textId="77777777" w:rsidR="006377F5" w:rsidRDefault="006377F5" w:rsidP="4457CD75">
            <w:pPr>
              <w:cnfStyle w:val="000000000000" w:firstRow="0" w:lastRow="0" w:firstColumn="0" w:lastColumn="0" w:oddVBand="0" w:evenVBand="0" w:oddHBand="0" w:evenHBand="0" w:firstRowFirstColumn="0" w:firstRowLastColumn="0" w:lastRowFirstColumn="0" w:lastRowLastColumn="0"/>
            </w:pPr>
            <w:r>
              <w:t>Lincolnshire (East Midlands)</w:t>
            </w:r>
          </w:p>
        </w:tc>
        <w:tc>
          <w:tcPr>
            <w:tcW w:w="0" w:type="dxa"/>
            <w:tcBorders>
              <w:top w:val="single" w:sz="4" w:space="0" w:color="142855" w:themeColor="text2"/>
              <w:bottom w:val="single" w:sz="4" w:space="0" w:color="142855" w:themeColor="text2"/>
            </w:tcBorders>
          </w:tcPr>
          <w:p w14:paraId="6D2EC514" w14:textId="77777777" w:rsidR="006377F5" w:rsidRPr="0051091B" w:rsidRDefault="006377F5" w:rsidP="4457CD75">
            <w:pPr>
              <w:cnfStyle w:val="000000000000" w:firstRow="0" w:lastRow="0" w:firstColumn="0" w:lastColumn="0" w:oddVBand="0" w:evenVBand="0" w:oddHBand="0" w:evenHBand="0" w:firstRowFirstColumn="0" w:firstRowLastColumn="0" w:lastRowFirstColumn="0" w:lastRowLastColumn="0"/>
            </w:pPr>
            <w:r>
              <w:t>N/A</w:t>
            </w:r>
          </w:p>
        </w:tc>
      </w:tr>
      <w:tr w:rsidR="001160F2" w14:paraId="16AEAA15" w14:textId="77777777" w:rsidTr="00074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42855" w:themeColor="text2"/>
              <w:bottom w:val="single" w:sz="4" w:space="0" w:color="142855" w:themeColor="text2"/>
            </w:tcBorders>
          </w:tcPr>
          <w:p w14:paraId="04D8A84A" w14:textId="7B939C23" w:rsidR="001160F2" w:rsidRPr="0051091B" w:rsidRDefault="001160F2" w:rsidP="001160F2">
            <w:r w:rsidRPr="00636300">
              <w:t>Archangels</w:t>
            </w:r>
          </w:p>
        </w:tc>
        <w:tc>
          <w:tcPr>
            <w:tcW w:w="0" w:type="dxa"/>
            <w:tcBorders>
              <w:top w:val="single" w:sz="4" w:space="0" w:color="142855" w:themeColor="text2"/>
              <w:bottom w:val="single" w:sz="4" w:space="0" w:color="142855" w:themeColor="text2"/>
            </w:tcBorders>
          </w:tcPr>
          <w:p w14:paraId="06BCD5CF" w14:textId="68D9EE10" w:rsidR="001160F2" w:rsidRDefault="001160F2" w:rsidP="001160F2">
            <w:pPr>
              <w:cnfStyle w:val="000000100000" w:firstRow="0" w:lastRow="0" w:firstColumn="0" w:lastColumn="0" w:oddVBand="0" w:evenVBand="0" w:oddHBand="1" w:evenHBand="0" w:firstRowFirstColumn="0" w:firstRowLastColumn="0" w:lastRowFirstColumn="0" w:lastRowLastColumn="0"/>
            </w:pPr>
            <w:r>
              <w:t>Edinburgh (Scotland)</w:t>
            </w:r>
          </w:p>
        </w:tc>
        <w:tc>
          <w:tcPr>
            <w:tcW w:w="0" w:type="dxa"/>
            <w:tcBorders>
              <w:top w:val="single" w:sz="4" w:space="0" w:color="142855" w:themeColor="text2"/>
              <w:bottom w:val="single" w:sz="4" w:space="0" w:color="142855" w:themeColor="text2"/>
            </w:tcBorders>
          </w:tcPr>
          <w:p w14:paraId="15631F26" w14:textId="0B8EC5B1" w:rsidR="001160F2" w:rsidRDefault="001160F2" w:rsidP="001160F2">
            <w:pPr>
              <w:cnfStyle w:val="000000100000" w:firstRow="0" w:lastRow="0" w:firstColumn="0" w:lastColumn="0" w:oddVBand="0" w:evenVBand="0" w:oddHBand="1" w:evenHBand="0" w:firstRowFirstColumn="0" w:firstRowLastColumn="0" w:lastRowFirstColumn="0" w:lastRowLastColumn="0"/>
            </w:pPr>
            <w:r>
              <w:t>N/A</w:t>
            </w:r>
          </w:p>
        </w:tc>
      </w:tr>
      <w:tr w:rsidR="001160F2" w14:paraId="5EDBA7AC" w14:textId="77777777" w:rsidTr="00074E0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42855" w:themeColor="text2"/>
              <w:bottom w:val="single" w:sz="4" w:space="0" w:color="142855" w:themeColor="text2"/>
            </w:tcBorders>
          </w:tcPr>
          <w:p w14:paraId="1EA47979" w14:textId="232AFB15" w:rsidR="001160F2" w:rsidRPr="00636300" w:rsidRDefault="001160F2" w:rsidP="001160F2">
            <w:r>
              <w:t>Eos Advisory LLP</w:t>
            </w:r>
          </w:p>
        </w:tc>
        <w:tc>
          <w:tcPr>
            <w:tcW w:w="0" w:type="dxa"/>
            <w:tcBorders>
              <w:top w:val="single" w:sz="4" w:space="0" w:color="142855" w:themeColor="text2"/>
              <w:bottom w:val="single" w:sz="4" w:space="0" w:color="142855" w:themeColor="text2"/>
            </w:tcBorders>
          </w:tcPr>
          <w:p w14:paraId="26D4D7B2" w14:textId="26CC248D" w:rsidR="001160F2" w:rsidRDefault="00750025" w:rsidP="001160F2">
            <w:pPr>
              <w:cnfStyle w:val="000000000000" w:firstRow="0" w:lastRow="0" w:firstColumn="0" w:lastColumn="0" w:oddVBand="0" w:evenVBand="0" w:oddHBand="0" w:evenHBand="0" w:firstRowFirstColumn="0" w:firstRowLastColumn="0" w:lastRowFirstColumn="0" w:lastRowLastColumn="0"/>
            </w:pPr>
            <w:r>
              <w:t xml:space="preserve">St Andrews </w:t>
            </w:r>
            <w:r w:rsidR="001160F2">
              <w:t>(Scotland)</w:t>
            </w:r>
          </w:p>
        </w:tc>
        <w:tc>
          <w:tcPr>
            <w:tcW w:w="0" w:type="dxa"/>
            <w:tcBorders>
              <w:top w:val="single" w:sz="4" w:space="0" w:color="142855" w:themeColor="text2"/>
              <w:bottom w:val="single" w:sz="4" w:space="0" w:color="142855" w:themeColor="text2"/>
            </w:tcBorders>
          </w:tcPr>
          <w:p w14:paraId="4E639F1B" w14:textId="68E2B0C9" w:rsidR="001160F2" w:rsidRDefault="001160F2" w:rsidP="001160F2">
            <w:pPr>
              <w:cnfStyle w:val="000000000000" w:firstRow="0" w:lastRow="0" w:firstColumn="0" w:lastColumn="0" w:oddVBand="0" w:evenVBand="0" w:oddHBand="0" w:evenHBand="0" w:firstRowFirstColumn="0" w:firstRowLastColumn="0" w:lastRowFirstColumn="0" w:lastRowLastColumn="0"/>
            </w:pPr>
            <w:r>
              <w:t>N/A</w:t>
            </w:r>
          </w:p>
        </w:tc>
      </w:tr>
    </w:tbl>
    <w:p w14:paraId="67A6D3AE" w14:textId="77777777" w:rsidR="006377F5" w:rsidRPr="006377F5" w:rsidRDefault="006377F5" w:rsidP="00D8407C">
      <w:pPr>
        <w:jc w:val="right"/>
      </w:pPr>
    </w:p>
    <w:p w14:paraId="1EC75F34" w14:textId="77777777" w:rsidR="001160F2" w:rsidRDefault="001160F2" w:rsidP="001160F2">
      <w:pPr>
        <w:pStyle w:val="Heading2"/>
      </w:pPr>
      <w:bookmarkStart w:id="98" w:name="_Toc144830558"/>
      <w:bookmarkStart w:id="99" w:name="_Toc165482222"/>
      <w:bookmarkStart w:id="100" w:name="_Toc165497185"/>
      <w:bookmarkEnd w:id="89"/>
      <w:r w:rsidRPr="000A68D5">
        <w:lastRenderedPageBreak/>
        <w:t>5.</w:t>
      </w:r>
      <w:r>
        <w:t>4</w:t>
      </w:r>
      <w:r w:rsidRPr="000A68D5">
        <w:t xml:space="preserve"> The application process is rigorous and time </w:t>
      </w:r>
      <w:proofErr w:type="gramStart"/>
      <w:r w:rsidRPr="000A68D5">
        <w:t>consuming</w:t>
      </w:r>
      <w:bookmarkEnd w:id="98"/>
      <w:bookmarkEnd w:id="99"/>
      <w:bookmarkEnd w:id="100"/>
      <w:proofErr w:type="gramEnd"/>
      <w:r>
        <w:t xml:space="preserve"> </w:t>
      </w:r>
    </w:p>
    <w:p w14:paraId="66BE4151" w14:textId="57E96CC0" w:rsidR="00D64A1C" w:rsidRDefault="762487F1" w:rsidP="001160F2">
      <w:r>
        <w:t xml:space="preserve">Partners agreed that the process is </w:t>
      </w:r>
      <w:r w:rsidRPr="00D8407C">
        <w:rPr>
          <w:b/>
          <w:bCs/>
        </w:rPr>
        <w:t>rigorous,</w:t>
      </w:r>
      <w:r>
        <w:t xml:space="preserve"> with </w:t>
      </w:r>
      <w:r w:rsidR="7BDABF6C">
        <w:t xml:space="preserve">some </w:t>
      </w:r>
      <w:r>
        <w:t xml:space="preserve">stating it took </w:t>
      </w:r>
      <w:r w:rsidRPr="00D8407C">
        <w:rPr>
          <w:b/>
          <w:bCs/>
        </w:rPr>
        <w:t>over one year from start to finish</w:t>
      </w:r>
      <w:r>
        <w:rPr>
          <w:b/>
          <w:bCs/>
        </w:rPr>
        <w:t xml:space="preserve"> </w:t>
      </w:r>
      <w:r w:rsidR="6AA08C39" w:rsidRPr="00D8407C">
        <w:t xml:space="preserve">(one </w:t>
      </w:r>
      <w:r w:rsidR="6AA08C39">
        <w:t>P</w:t>
      </w:r>
      <w:r w:rsidR="6AA08C39" w:rsidRPr="00D8407C">
        <w:t xml:space="preserve">artner </w:t>
      </w:r>
      <w:r w:rsidR="6AA08C39">
        <w:t>noted</w:t>
      </w:r>
      <w:r w:rsidR="6AA08C39" w:rsidRPr="00D8407C">
        <w:t xml:space="preserve"> that it took </w:t>
      </w:r>
      <w:r w:rsidR="6AA08C39">
        <w:t>20</w:t>
      </w:r>
      <w:r w:rsidR="6AA08C39" w:rsidRPr="00D8407C">
        <w:t xml:space="preserve"> months in total</w:t>
      </w:r>
      <w:r w:rsidR="007B4981">
        <w:rPr>
          <w:rStyle w:val="FootnoteReference"/>
        </w:rPr>
        <w:footnoteReference w:id="40"/>
      </w:r>
      <w:r w:rsidR="6AA08C39" w:rsidRPr="00D8407C">
        <w:t>)</w:t>
      </w:r>
      <w:r w:rsidRPr="00C82310">
        <w:t xml:space="preserve">. </w:t>
      </w:r>
      <w:r>
        <w:t xml:space="preserve">Whilst each application was treated differently due to individual circumstances of each applicant, the process followed four distinct stages. This is outlined in detail in </w:t>
      </w:r>
      <w:r w:rsidR="001160F2" w:rsidRPr="00220C3B">
        <w:fldChar w:fldCharType="begin"/>
      </w:r>
      <w:r w:rsidR="001160F2" w:rsidRPr="00220C3B">
        <w:instrText xml:space="preserve"> REF _Ref135397630 \h </w:instrText>
      </w:r>
      <w:r w:rsidR="001160F2" w:rsidRPr="00D8407C">
        <w:instrText xml:space="preserve"> \* MERGEFORMAT </w:instrText>
      </w:r>
      <w:r w:rsidR="001160F2" w:rsidRPr="00220C3B">
        <w:fldChar w:fldCharType="separate"/>
      </w:r>
      <w:r w:rsidR="00BC412E" w:rsidRPr="00F34274">
        <w:t>Annex B: Regional Angels Programme eligibility criteria</w:t>
      </w:r>
      <w:r w:rsidR="001160F2" w:rsidRPr="00220C3B">
        <w:fldChar w:fldCharType="end"/>
      </w:r>
      <w:r>
        <w:t xml:space="preserve">, with an overview of the process provided in the </w:t>
      </w:r>
      <w:r w:rsidR="00572327">
        <w:fldChar w:fldCharType="begin"/>
      </w:r>
      <w:r w:rsidR="00572327">
        <w:instrText xml:space="preserve"> REF _Ref145071253 \h </w:instrText>
      </w:r>
      <w:r w:rsidR="00572327">
        <w:fldChar w:fldCharType="separate"/>
      </w:r>
      <w:r w:rsidR="00BC412E">
        <w:t xml:space="preserve">Figure </w:t>
      </w:r>
      <w:r w:rsidR="00BC412E">
        <w:rPr>
          <w:noProof/>
        </w:rPr>
        <w:t>5</w:t>
      </w:r>
      <w:r w:rsidR="00572327">
        <w:fldChar w:fldCharType="end"/>
      </w:r>
      <w:r>
        <w:t xml:space="preserve"> below.</w:t>
      </w:r>
    </w:p>
    <w:p w14:paraId="76261FE3" w14:textId="2D01DC07" w:rsidR="0045000B" w:rsidRDefault="00490317" w:rsidP="0045000B">
      <w:pPr>
        <w:pStyle w:val="Caption"/>
        <w:rPr>
          <w:noProof/>
        </w:rPr>
      </w:pPr>
      <w:bookmarkStart w:id="101" w:name="_Ref145071253"/>
      <w:r>
        <w:t xml:space="preserve">Figure </w:t>
      </w:r>
      <w:r>
        <w:fldChar w:fldCharType="begin"/>
      </w:r>
      <w:r>
        <w:instrText>SEQ Figure \* ARABIC</w:instrText>
      </w:r>
      <w:r>
        <w:fldChar w:fldCharType="separate"/>
      </w:r>
      <w:r w:rsidR="00BC412E">
        <w:rPr>
          <w:noProof/>
        </w:rPr>
        <w:t>5</w:t>
      </w:r>
      <w:r>
        <w:fldChar w:fldCharType="end"/>
      </w:r>
      <w:bookmarkEnd w:id="101"/>
      <w:r w:rsidR="00CF05F6">
        <w:t>:</w:t>
      </w:r>
      <w:r>
        <w:t xml:space="preserve"> Overview of </w:t>
      </w:r>
      <w:r w:rsidR="7A7E61A8">
        <w:t xml:space="preserve">legacy </w:t>
      </w:r>
      <w:r>
        <w:t>RAP application process</w:t>
      </w:r>
      <w:r w:rsidR="00D64A1C">
        <w:t>:</w:t>
      </w:r>
    </w:p>
    <w:p w14:paraId="325BEC3E" w14:textId="45DB8CC3" w:rsidR="0082093E" w:rsidRPr="0082093E" w:rsidRDefault="0045000B" w:rsidP="0045000B">
      <w:pPr>
        <w:pStyle w:val="Caption"/>
      </w:pPr>
      <w:r>
        <w:rPr>
          <w:noProof/>
        </w:rPr>
        <w:drawing>
          <wp:inline distT="0" distB="0" distL="0" distR="0" wp14:anchorId="12B3F1E7" wp14:editId="220EF45F">
            <wp:extent cx="6188710" cy="2394585"/>
            <wp:effectExtent l="0" t="0" r="0" b="0"/>
            <wp:docPr id="1893130855" name="Picture 1" descr="Figure 5 illustrates the four distinct stages of the Regional Angels Programme (RAP) application process. The figure aims to provide a clear, high-level overview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0855" name="Picture 1" descr="Figure 5 illustrates the four distinct stages of the Regional Angels Programme (RAP) application process. The figure aims to provide a clear, high-level overview of the process."/>
                    <pic:cNvPicPr/>
                  </pic:nvPicPr>
                  <pic:blipFill>
                    <a:blip r:embed="rId41"/>
                    <a:stretch>
                      <a:fillRect/>
                    </a:stretch>
                  </pic:blipFill>
                  <pic:spPr>
                    <a:xfrm>
                      <a:off x="0" y="0"/>
                      <a:ext cx="6188710" cy="2394585"/>
                    </a:xfrm>
                    <a:prstGeom prst="rect">
                      <a:avLst/>
                    </a:prstGeom>
                  </pic:spPr>
                </pic:pic>
              </a:graphicData>
            </a:graphic>
          </wp:inline>
        </w:drawing>
      </w:r>
    </w:p>
    <w:p w14:paraId="6034B1B8" w14:textId="090D1B6E" w:rsidR="001160F2" w:rsidRDefault="001160F2" w:rsidP="00D8407C">
      <w:r>
        <w:t xml:space="preserve">Partners </w:t>
      </w:r>
      <w:proofErr w:type="gramStart"/>
      <w:r>
        <w:t>most commonly referenced</w:t>
      </w:r>
      <w:proofErr w:type="gramEnd"/>
      <w:r>
        <w:t xml:space="preserve"> the </w:t>
      </w:r>
      <w:r w:rsidRPr="00D8407C">
        <w:rPr>
          <w:b/>
          <w:bCs/>
        </w:rPr>
        <w:t>due diligence stage</w:t>
      </w:r>
      <w:r>
        <w:t xml:space="preserve"> as </w:t>
      </w:r>
      <w:r w:rsidRPr="00D8407C">
        <w:rPr>
          <w:b/>
          <w:bCs/>
        </w:rPr>
        <w:t>time consuming</w:t>
      </w:r>
      <w:r>
        <w:t>, noting that a lot of time was required to bring together the data and information required. This was amplified for some early applicants as the information requested was not something they had previously thought to collect, causing long periods of time to lapse between requests for information and submission.</w:t>
      </w:r>
    </w:p>
    <w:p w14:paraId="46331D25" w14:textId="77777777" w:rsidR="001160F2" w:rsidRDefault="001160F2" w:rsidP="001160F2">
      <w:pPr>
        <w:ind w:left="720"/>
      </w:pPr>
      <w:r w:rsidRPr="005B404A">
        <w:rPr>
          <w:i/>
          <w:iCs/>
        </w:rPr>
        <w:t xml:space="preserve">“At the time, all parties would have liked </w:t>
      </w:r>
      <w:r>
        <w:rPr>
          <w:i/>
          <w:iCs/>
        </w:rPr>
        <w:t>[the due diligence]</w:t>
      </w:r>
      <w:r w:rsidRPr="005B404A">
        <w:rPr>
          <w:i/>
          <w:iCs/>
        </w:rPr>
        <w:t xml:space="preserve"> to be faster. There were long cycles between them asking for data, us having to go off and pull it all together, and then hearing from them again.”</w:t>
      </w:r>
      <w:r>
        <w:t xml:space="preserve"> – </w:t>
      </w:r>
      <w:r w:rsidRPr="00705C5C">
        <w:t>RAP Funded Angel</w:t>
      </w:r>
    </w:p>
    <w:p w14:paraId="56ACDBE6" w14:textId="1E9F974E" w:rsidR="00EB78EA" w:rsidRDefault="001160F2" w:rsidP="001160F2">
      <w:r>
        <w:t xml:space="preserve">Some Partners felt this level of due diligence was overly extensive, with one describing it as </w:t>
      </w:r>
      <w:r w:rsidRPr="00D8407C">
        <w:rPr>
          <w:b/>
          <w:bCs/>
          <w:i/>
          <w:iCs/>
        </w:rPr>
        <w:t>“</w:t>
      </w:r>
      <w:r w:rsidRPr="00D8407C">
        <w:rPr>
          <w:b/>
          <w:i/>
        </w:rPr>
        <w:t>on-par with, or higher than, a sales process</w:t>
      </w:r>
      <w:r w:rsidRPr="00D8407C">
        <w:rPr>
          <w:b/>
          <w:bCs/>
          <w:i/>
          <w:iCs/>
        </w:rPr>
        <w:t>”</w:t>
      </w:r>
      <w:r w:rsidRPr="00D8407C">
        <w:t>,</w:t>
      </w:r>
      <w:r>
        <w:t xml:space="preserve"> and many at the time would have </w:t>
      </w:r>
      <w:r>
        <w:lastRenderedPageBreak/>
        <w:t>preferred the process to move quicker. However, the majority accepted that it was largely in-line with expectations when applying to a publicly funded scheme of this level and noted that the assessment team did not add extra time to the process or stall unnecessarily</w:t>
      </w:r>
      <w:r w:rsidR="00AE1E15">
        <w:t xml:space="preserve">. </w:t>
      </w:r>
    </w:p>
    <w:p w14:paraId="032F1EF0" w14:textId="1AA56620" w:rsidR="00FC31A9" w:rsidRPr="007A3595" w:rsidRDefault="001160F2" w:rsidP="000F00D5">
      <w:pPr>
        <w:pBdr>
          <w:top w:val="single" w:sz="4" w:space="1" w:color="142855"/>
          <w:left w:val="single" w:sz="4" w:space="4" w:color="142855"/>
          <w:bottom w:val="single" w:sz="4" w:space="1" w:color="142855"/>
          <w:right w:val="single" w:sz="4" w:space="4" w:color="142855"/>
        </w:pBdr>
        <w:shd w:val="clear" w:color="auto" w:fill="AFCAD2"/>
        <w:rPr>
          <w:color w:val="142855"/>
        </w:rPr>
      </w:pPr>
      <w:r w:rsidRPr="001160F2">
        <w:rPr>
          <w:b/>
          <w:bCs/>
          <w:color w:val="142855"/>
        </w:rPr>
        <w:t>Case study B: RAP Partner A</w:t>
      </w:r>
      <w:r w:rsidR="00FC31A9" w:rsidRPr="007A3595">
        <w:rPr>
          <w:color w:val="142855"/>
        </w:rPr>
        <w:t xml:space="preserve"> </w:t>
      </w:r>
    </w:p>
    <w:p w14:paraId="092BD50D" w14:textId="6589AA80" w:rsidR="00F2051A" w:rsidRDefault="00F2051A" w:rsidP="000F00D5">
      <w:pPr>
        <w:pBdr>
          <w:top w:val="single" w:sz="4" w:space="1" w:color="142855"/>
          <w:left w:val="single" w:sz="4" w:space="4" w:color="142855"/>
          <w:bottom w:val="single" w:sz="4" w:space="1" w:color="142855"/>
          <w:right w:val="single" w:sz="4" w:space="4" w:color="142855"/>
        </w:pBdr>
        <w:shd w:val="clear" w:color="auto" w:fill="AFCAD2"/>
      </w:pPr>
      <w:r w:rsidRPr="00F2051A">
        <w:t xml:space="preserve">Due to Partner A being one of the first applicants, a lot of attention was paid to the initial application process, with the founding </w:t>
      </w:r>
      <w:r w:rsidR="008E24AD">
        <w:t>p</w:t>
      </w:r>
      <w:r w:rsidRPr="00F2051A">
        <w:t xml:space="preserve">artner noting that it was perhaps a case of the RAP team </w:t>
      </w:r>
      <w:r w:rsidRPr="00F2051A">
        <w:rPr>
          <w:i/>
          <w:iCs/>
        </w:rPr>
        <w:t xml:space="preserve">“constructing the railway line as [they] brought the locomotive down it”. </w:t>
      </w:r>
      <w:r w:rsidRPr="00F2051A">
        <w:t xml:space="preserve">This caused the process to take longer than expected (over a year from start to finish), but the interviewees </w:t>
      </w:r>
      <w:r w:rsidR="00884C6E">
        <w:t xml:space="preserve">were </w:t>
      </w:r>
      <w:r w:rsidRPr="00F2051A">
        <w:t>satisfied that the RAP team did not keep them waiting unnecessarily and understood the need to take the time to ensure everything went correctly.</w:t>
      </w:r>
      <w:r>
        <w:t xml:space="preserve"> </w:t>
      </w:r>
    </w:p>
    <w:p w14:paraId="6B1C5E10" w14:textId="77777777" w:rsidR="001160F2" w:rsidRDefault="001160F2" w:rsidP="001160F2">
      <w:r>
        <w:t xml:space="preserve">To aid with this level of rigour/ information required, the RAP team noted that they spoke to applicants prior to beginning their formal application to guide them through the different stages and avoid confusion and unnecessary delays. Almost all Partners interviewed who suggested the process was lengthy also indicated that the information was requested in a clear way and that the process was straightforward. A few Partners indicated they initially found the process to be onerous but changed their mind having gone through the full due diligence process, citing they had benefitted from the process overall. </w:t>
      </w:r>
    </w:p>
    <w:p w14:paraId="0C674070" w14:textId="157F392D" w:rsidR="00FE3454" w:rsidRDefault="001160F2" w:rsidP="001160F2">
      <w:pPr>
        <w:ind w:left="720"/>
      </w:pPr>
      <w:r w:rsidRPr="005B404A">
        <w:rPr>
          <w:i/>
          <w:iCs/>
        </w:rPr>
        <w:t>“At the time, I thought it was way too rigorous for what they were trying to do in terms of early</w:t>
      </w:r>
      <w:r w:rsidR="00807BA0">
        <w:rPr>
          <w:i/>
          <w:iCs/>
        </w:rPr>
        <w:t>-</w:t>
      </w:r>
      <w:r w:rsidRPr="005B404A">
        <w:rPr>
          <w:i/>
          <w:iCs/>
        </w:rPr>
        <w:t>stage and angel programmes… as a result [of applying], we’ve tightened up our governance and regulatory framework. My perception of that whole process has evolved as I’ve moved out of it.”</w:t>
      </w:r>
      <w:r>
        <w:t xml:space="preserve"> – RAP Funded Angel</w:t>
      </w:r>
    </w:p>
    <w:p w14:paraId="60809456" w14:textId="77777777" w:rsidR="001160F2" w:rsidRDefault="001160F2" w:rsidP="001160F2">
      <w:pPr>
        <w:pStyle w:val="Heading2"/>
      </w:pPr>
      <w:bookmarkStart w:id="102" w:name="_Toc144830559"/>
      <w:bookmarkStart w:id="103" w:name="_Toc165482223"/>
      <w:bookmarkStart w:id="104" w:name="_Toc165497186"/>
      <w:r>
        <w:t xml:space="preserve">5.5 The process allowed Partners to develop their professionalism and </w:t>
      </w:r>
      <w:proofErr w:type="gramStart"/>
      <w:r>
        <w:t>reputations</w:t>
      </w:r>
      <w:bookmarkEnd w:id="102"/>
      <w:bookmarkEnd w:id="103"/>
      <w:bookmarkEnd w:id="104"/>
      <w:proofErr w:type="gramEnd"/>
    </w:p>
    <w:p w14:paraId="3FC7819B" w14:textId="77777777" w:rsidR="001160F2" w:rsidRPr="000C1943" w:rsidRDefault="001160F2" w:rsidP="001160F2">
      <w:pPr>
        <w:rPr>
          <w:b/>
          <w:bCs/>
        </w:rPr>
      </w:pPr>
      <w:r>
        <w:t xml:space="preserve">A distinct result of this rigorous application process was that it allowed successful applicants to further </w:t>
      </w:r>
      <w:r w:rsidRPr="00D8407C">
        <w:rPr>
          <w:b/>
          <w:bCs/>
        </w:rPr>
        <w:t xml:space="preserve">professionalise and develop their governance </w:t>
      </w:r>
      <w:r w:rsidRPr="74BA650D">
        <w:rPr>
          <w:b/>
          <w:bCs/>
        </w:rPr>
        <w:t>and</w:t>
      </w:r>
      <w:r w:rsidRPr="00D8407C">
        <w:rPr>
          <w:b/>
          <w:bCs/>
        </w:rPr>
        <w:t xml:space="preserve"> data collection frameworks. </w:t>
      </w:r>
    </w:p>
    <w:p w14:paraId="63C3F365" w14:textId="77777777" w:rsidR="001160F2" w:rsidRDefault="001160F2" w:rsidP="001160F2">
      <w:r w:rsidRPr="001E6B44">
        <w:t xml:space="preserve">Partners reported that the process </w:t>
      </w:r>
      <w:r>
        <w:t>impacted positively on their development as syndicates as this extensive due diligence allowed them to d</w:t>
      </w:r>
      <w:r w:rsidRPr="000C1943">
        <w:t>evelop datasets that they would not have previously had to hand</w:t>
      </w:r>
      <w:r>
        <w:t>, p</w:t>
      </w:r>
      <w:r w:rsidRPr="000C1943">
        <w:t xml:space="preserve">ut themselves in a </w:t>
      </w:r>
      <w:r w:rsidRPr="00D8407C">
        <w:rPr>
          <w:b/>
          <w:bCs/>
        </w:rPr>
        <w:t xml:space="preserve">stronger position to comply with quarterly </w:t>
      </w:r>
      <w:r w:rsidRPr="00D8407C">
        <w:rPr>
          <w:b/>
          <w:bCs/>
        </w:rPr>
        <w:lastRenderedPageBreak/>
        <w:t>reporting</w:t>
      </w:r>
      <w:r w:rsidRPr="000C1943">
        <w:t xml:space="preserve"> requirements</w:t>
      </w:r>
      <w:r>
        <w:t xml:space="preserve">, and progress as syndicates because, for some Partners, this was their first experience of an intensive due diligence review. </w:t>
      </w:r>
    </w:p>
    <w:p w14:paraId="776CC75F" w14:textId="6F5D4C98" w:rsidR="005D74F0" w:rsidRDefault="001160F2" w:rsidP="001160F2">
      <w:r>
        <w:t xml:space="preserve">Partners also noted that being able to demonstrate they were successfully subject to a rigorous due diligence review carried out by a governmental organisation had a </w:t>
      </w:r>
      <w:r w:rsidRPr="00D8407C">
        <w:rPr>
          <w:b/>
          <w:bCs/>
        </w:rPr>
        <w:t>positive impact on their</w:t>
      </w:r>
      <w:r>
        <w:t xml:space="preserve"> </w:t>
      </w:r>
      <w:r w:rsidRPr="00D8407C">
        <w:rPr>
          <w:b/>
          <w:bCs/>
        </w:rPr>
        <w:t>reputation within industry</w:t>
      </w:r>
      <w:r>
        <w:rPr>
          <w:b/>
          <w:bCs/>
        </w:rPr>
        <w:t>,</w:t>
      </w:r>
      <w:r>
        <w:t xml:space="preserve"> both from the perspective of investees and other potential investors, as it provided credibility and demonstrated their professionalism.</w:t>
      </w:r>
      <w:r w:rsidR="00045F85">
        <w:t xml:space="preserve"> </w:t>
      </w:r>
      <w:r w:rsidR="002D6D34">
        <w:t xml:space="preserve"> </w:t>
      </w:r>
      <w:r w:rsidR="005D74F0">
        <w:br w:type="page"/>
      </w:r>
    </w:p>
    <w:p w14:paraId="39C99B58" w14:textId="77777777" w:rsidR="005B6F3D" w:rsidRPr="005B6F3D" w:rsidRDefault="005B6F3D" w:rsidP="005B6F3D">
      <w:pPr>
        <w:keepNext/>
        <w:keepLines/>
        <w:spacing w:after="1000" w:line="240" w:lineRule="auto"/>
        <w:outlineLvl w:val="0"/>
        <w:rPr>
          <w:rFonts w:asciiTheme="majorHAnsi" w:eastAsiaTheme="majorEastAsia" w:hAnsiTheme="majorHAnsi" w:cstheme="majorBidi"/>
          <w:b/>
          <w:color w:val="142855" w:themeColor="text2"/>
          <w:sz w:val="44"/>
          <w:szCs w:val="32"/>
        </w:rPr>
      </w:pPr>
      <w:bookmarkStart w:id="105" w:name="_Toc144830560"/>
      <w:bookmarkStart w:id="106" w:name="_Toc165497187"/>
      <w:r w:rsidRPr="005B6F3D">
        <w:rPr>
          <w:rFonts w:asciiTheme="majorHAnsi" w:eastAsiaTheme="majorEastAsia" w:hAnsiTheme="majorHAnsi" w:cstheme="majorBidi"/>
          <w:b/>
          <w:color w:val="142855" w:themeColor="text2"/>
          <w:sz w:val="44"/>
          <w:szCs w:val="32"/>
        </w:rPr>
        <w:lastRenderedPageBreak/>
        <w:t>6. Partner journey and experience</w:t>
      </w:r>
      <w:bookmarkEnd w:id="105"/>
      <w:bookmarkEnd w:id="106"/>
    </w:p>
    <w:p w14:paraId="065949E7" w14:textId="77777777" w:rsidR="005B6F3D" w:rsidRPr="005B6F3D" w:rsidRDefault="005B6F3D" w:rsidP="00B16629">
      <w:pPr>
        <w:pStyle w:val="Heading2"/>
      </w:pPr>
      <w:bookmarkStart w:id="107" w:name="_Toc144830561"/>
      <w:bookmarkStart w:id="108" w:name="_Toc165482224"/>
      <w:bookmarkStart w:id="109" w:name="_Toc165497188"/>
      <w:r w:rsidRPr="005B6F3D">
        <w:t>6.1 Key Findings</w:t>
      </w:r>
      <w:bookmarkEnd w:id="107"/>
      <w:bookmarkEnd w:id="108"/>
      <w:bookmarkEnd w:id="109"/>
    </w:p>
    <w:p w14:paraId="2A74C89C" w14:textId="77777777" w:rsidR="005B6F3D" w:rsidRPr="005B6F3D" w:rsidRDefault="005B6F3D" w:rsidP="00491364">
      <w:pPr>
        <w:numPr>
          <w:ilvl w:val="0"/>
          <w:numId w:val="32"/>
        </w:numPr>
        <w:ind w:left="360"/>
        <w:contextualSpacing/>
      </w:pPr>
      <w:r w:rsidRPr="005B6F3D">
        <w:t xml:space="preserve">Partners noted an increased ability to deploy more capital in underrepresented regions </w:t>
      </w:r>
      <w:proofErr w:type="gramStart"/>
      <w:r w:rsidRPr="005B6F3D">
        <w:t>as a result of</w:t>
      </w:r>
      <w:proofErr w:type="gramEnd"/>
      <w:r w:rsidRPr="005B6F3D">
        <w:t xml:space="preserve"> their involvement in the Programme.</w:t>
      </w:r>
    </w:p>
    <w:p w14:paraId="5D40CA28" w14:textId="77777777" w:rsidR="005B6F3D" w:rsidRPr="005B6F3D" w:rsidRDefault="005B6F3D" w:rsidP="00491364">
      <w:pPr>
        <w:numPr>
          <w:ilvl w:val="0"/>
          <w:numId w:val="32"/>
        </w:numPr>
        <w:ind w:left="360"/>
        <w:contextualSpacing/>
      </w:pPr>
      <w:r w:rsidRPr="005B6F3D">
        <w:t xml:space="preserve">Partners were able to lead funding rounds (where this was unlikely pre-RAP support) due to increased access to capital and build networks across regions outside of London </w:t>
      </w:r>
      <w:proofErr w:type="gramStart"/>
      <w:r w:rsidRPr="005B6F3D">
        <w:t>as a result of</w:t>
      </w:r>
      <w:proofErr w:type="gramEnd"/>
      <w:r w:rsidRPr="005B6F3D">
        <w:t xml:space="preserve"> participation in RAP.</w:t>
      </w:r>
    </w:p>
    <w:p w14:paraId="1998574C" w14:textId="77777777" w:rsidR="005B6F3D" w:rsidRPr="005B6F3D" w:rsidRDefault="005B6F3D" w:rsidP="00491364">
      <w:pPr>
        <w:numPr>
          <w:ilvl w:val="0"/>
          <w:numId w:val="32"/>
        </w:numPr>
        <w:ind w:left="360"/>
        <w:contextualSpacing/>
      </w:pPr>
      <w:r w:rsidRPr="005B6F3D">
        <w:t>Partner reputations improved within industry, helping them to acquire more active marketing and HR services as well as complete deals more quickly due to participation in RAP.</w:t>
      </w:r>
    </w:p>
    <w:p w14:paraId="0459AE45" w14:textId="77777777" w:rsidR="005B6F3D" w:rsidRPr="005B6F3D" w:rsidRDefault="005B6F3D" w:rsidP="00491364">
      <w:pPr>
        <w:numPr>
          <w:ilvl w:val="0"/>
          <w:numId w:val="32"/>
        </w:numPr>
        <w:ind w:left="360"/>
        <w:contextualSpacing/>
      </w:pPr>
      <w:r w:rsidRPr="005B6F3D">
        <w:t>Partners spoke positively about the governance and reporting processes within the scheme.</w:t>
      </w:r>
    </w:p>
    <w:p w14:paraId="7F7F2E42" w14:textId="77777777" w:rsidR="005B6F3D" w:rsidRPr="005B6F3D" w:rsidRDefault="005B6F3D" w:rsidP="00491364">
      <w:pPr>
        <w:numPr>
          <w:ilvl w:val="0"/>
          <w:numId w:val="32"/>
        </w:numPr>
        <w:ind w:left="360"/>
        <w:contextualSpacing/>
      </w:pPr>
      <w:r w:rsidRPr="005B6F3D">
        <w:t>Partners were satisfied with the speed and clarity of the RAP team – providing bespoke feedback and support.</w:t>
      </w:r>
    </w:p>
    <w:p w14:paraId="4D1E85B9" w14:textId="77777777" w:rsidR="005B6F3D" w:rsidRPr="005B6F3D" w:rsidRDefault="005B6F3D" w:rsidP="00491364">
      <w:pPr>
        <w:numPr>
          <w:ilvl w:val="0"/>
          <w:numId w:val="32"/>
        </w:numPr>
        <w:ind w:left="360"/>
        <w:contextualSpacing/>
      </w:pPr>
      <w:r w:rsidRPr="005B6F3D">
        <w:t>Partners were satisfied with the flexibility of the RAP team and felt this was required due to the different circumstances faced by each (e.g., syndicate structure and size).</w:t>
      </w:r>
    </w:p>
    <w:p w14:paraId="26FCEBD7" w14:textId="77777777" w:rsidR="005B6F3D" w:rsidRPr="005B6F3D" w:rsidRDefault="005B6F3D" w:rsidP="00B16629">
      <w:pPr>
        <w:pStyle w:val="Heading2"/>
      </w:pPr>
      <w:bookmarkStart w:id="110" w:name="_Toc144830562"/>
      <w:bookmarkStart w:id="111" w:name="_Toc165482225"/>
      <w:bookmarkStart w:id="112" w:name="_Toc165497189"/>
      <w:r w:rsidRPr="005B6F3D">
        <w:t xml:space="preserve">6.2 Partners noted an increased ability to deploy more </w:t>
      </w:r>
      <w:proofErr w:type="gramStart"/>
      <w:r w:rsidRPr="005B6F3D">
        <w:t>capital</w:t>
      </w:r>
      <w:bookmarkEnd w:id="110"/>
      <w:bookmarkEnd w:id="111"/>
      <w:bookmarkEnd w:id="112"/>
      <w:proofErr w:type="gramEnd"/>
      <w:r w:rsidRPr="005B6F3D">
        <w:t xml:space="preserve"> </w:t>
      </w:r>
    </w:p>
    <w:p w14:paraId="4FF06495" w14:textId="77777777" w:rsidR="005B6F3D" w:rsidRPr="005B6F3D" w:rsidRDefault="005B6F3D" w:rsidP="005B6F3D">
      <w:proofErr w:type="gramStart"/>
      <w:r w:rsidRPr="005B6F3D">
        <w:t>A majority of</w:t>
      </w:r>
      <w:proofErr w:type="gramEnd"/>
      <w:r w:rsidRPr="005B6F3D">
        <w:t xml:space="preserve"> Partners interviewed noted increased ability to deploy more capital as a result of their involvement in the Programme. Though the level of this increase differed, it was broadly agreed that involvement in the Programme allowed them to increase the quantum of investment.</w:t>
      </w:r>
    </w:p>
    <w:p w14:paraId="544F7AEC" w14:textId="77777777" w:rsidR="005B6F3D" w:rsidRPr="005B6F3D" w:rsidRDefault="005B6F3D" w:rsidP="005B6F3D">
      <w:r w:rsidRPr="005B6F3D">
        <w:t xml:space="preserve">Partners noted benefits stemming from this increased ability to deploy capital, including </w:t>
      </w:r>
      <w:r w:rsidRPr="005B6F3D">
        <w:rPr>
          <w:b/>
        </w:rPr>
        <w:t>improved reputation</w:t>
      </w:r>
      <w:r w:rsidRPr="005B6F3D">
        <w:t xml:space="preserve"> within industry</w:t>
      </w:r>
      <w:r w:rsidRPr="005B6F3D">
        <w:rPr>
          <w:b/>
          <w:bCs/>
        </w:rPr>
        <w:t xml:space="preserve">, </w:t>
      </w:r>
      <w:r w:rsidRPr="005B6F3D">
        <w:rPr>
          <w:b/>
        </w:rPr>
        <w:t xml:space="preserve">increased access </w:t>
      </w:r>
      <w:r w:rsidRPr="005B6F3D">
        <w:t xml:space="preserve">to more active marketing and hiring processes, and being able to </w:t>
      </w:r>
      <w:r w:rsidRPr="005B6F3D">
        <w:rPr>
          <w:b/>
        </w:rPr>
        <w:t>find and complete deals at a faster pace.</w:t>
      </w:r>
    </w:p>
    <w:p w14:paraId="082BA4ED" w14:textId="77777777" w:rsidR="005B6F3D" w:rsidRPr="005B6F3D" w:rsidRDefault="005B6F3D" w:rsidP="005B6F3D">
      <w:r w:rsidRPr="005B6F3D">
        <w:t xml:space="preserve">Partners were able to </w:t>
      </w:r>
      <w:r w:rsidRPr="005B6F3D">
        <w:rPr>
          <w:b/>
          <w:bCs/>
        </w:rPr>
        <w:t>extend their investment opportunities to different types of companies and different regions</w:t>
      </w:r>
      <w:r w:rsidRPr="005B6F3D">
        <w:t xml:space="preserve">, with examples noted by Partners including their ability to </w:t>
      </w:r>
      <w:r w:rsidRPr="005B6F3D">
        <w:rPr>
          <w:b/>
          <w:bCs/>
        </w:rPr>
        <w:t>lead Series A funding rounds</w:t>
      </w:r>
      <w:r w:rsidRPr="005B6F3D">
        <w:t xml:space="preserve"> when they would have been less able to do so pre-</w:t>
      </w:r>
      <w:r w:rsidRPr="005B6F3D">
        <w:lastRenderedPageBreak/>
        <w:t xml:space="preserve">participation and increasing their </w:t>
      </w:r>
      <w:r w:rsidRPr="005B6F3D">
        <w:rPr>
          <w:b/>
          <w:bCs/>
        </w:rPr>
        <w:t xml:space="preserve">access to local accelerators and incubators </w:t>
      </w:r>
      <w:r w:rsidRPr="005B6F3D">
        <w:t xml:space="preserve">to generate more investment opportunities. </w:t>
      </w:r>
    </w:p>
    <w:p w14:paraId="0D62CEE0" w14:textId="77777777" w:rsidR="005B6F3D" w:rsidRPr="005B6F3D" w:rsidRDefault="005B6F3D" w:rsidP="00B16629">
      <w:pPr>
        <w:pStyle w:val="Heading2"/>
      </w:pPr>
      <w:bookmarkStart w:id="113" w:name="_Toc144830563"/>
      <w:bookmarkStart w:id="114" w:name="_Toc165482226"/>
      <w:bookmarkStart w:id="115" w:name="_Toc165497190"/>
      <w:r w:rsidRPr="005B6F3D">
        <w:t xml:space="preserve">6.3 Partners spoke positively about governance and reporting </w:t>
      </w:r>
      <w:proofErr w:type="gramStart"/>
      <w:r w:rsidRPr="005B6F3D">
        <w:t>processes</w:t>
      </w:r>
      <w:bookmarkEnd w:id="113"/>
      <w:bookmarkEnd w:id="114"/>
      <w:bookmarkEnd w:id="115"/>
      <w:proofErr w:type="gramEnd"/>
      <w:r w:rsidRPr="005B6F3D">
        <w:t xml:space="preserve"> </w:t>
      </w:r>
    </w:p>
    <w:p w14:paraId="22A71263" w14:textId="77777777" w:rsidR="005B6F3D" w:rsidRPr="005B6F3D" w:rsidRDefault="005B6F3D" w:rsidP="005B6F3D">
      <w:r w:rsidRPr="005B6F3D">
        <w:t xml:space="preserve">The main governance requirement for Partners was a </w:t>
      </w:r>
      <w:r w:rsidRPr="005B6F3D">
        <w:rPr>
          <w:b/>
          <w:bCs/>
        </w:rPr>
        <w:t>quarterly meeting with the RAP team</w:t>
      </w:r>
      <w:r w:rsidRPr="005B6F3D">
        <w:t xml:space="preserve"> to provide a breakdown of the portfolio structure, its performance, their near-term </w:t>
      </w:r>
      <w:proofErr w:type="gramStart"/>
      <w:r w:rsidRPr="005B6F3D">
        <w:t>pipeline</w:t>
      </w:r>
      <w:proofErr w:type="gramEnd"/>
      <w:r w:rsidRPr="005B6F3D">
        <w:t xml:space="preserve"> and any changes to their syndicate. </w:t>
      </w:r>
    </w:p>
    <w:p w14:paraId="7E791D7A" w14:textId="77777777" w:rsidR="005B6F3D" w:rsidRPr="005B6F3D" w:rsidRDefault="005B6F3D" w:rsidP="005B6F3D">
      <w:r w:rsidRPr="005B6F3D">
        <w:t xml:space="preserve">Partners were positive about these meetings, noting that they acted as a good opportunity to </w:t>
      </w:r>
      <w:r w:rsidRPr="005B6F3D">
        <w:rPr>
          <w:b/>
          <w:bCs/>
        </w:rPr>
        <w:t>develop reporting and data collection frameworks</w:t>
      </w:r>
      <w:r w:rsidRPr="005B6F3D">
        <w:t xml:space="preserve"> for the portfolio and felt that the frequency of reporting required was the correct amount. Partners also noted positive changes to their data collection methods </w:t>
      </w:r>
      <w:proofErr w:type="gramStart"/>
      <w:r w:rsidRPr="005B6F3D">
        <w:t>as a result of</w:t>
      </w:r>
      <w:proofErr w:type="gramEnd"/>
      <w:r w:rsidRPr="005B6F3D">
        <w:t xml:space="preserve"> this governance. One Partner highlighted this has led to them including valuations of companies as part of the portfolio updates which was something they had previously shied away from.</w:t>
      </w:r>
    </w:p>
    <w:p w14:paraId="076CD666" w14:textId="77777777" w:rsidR="005B6F3D" w:rsidRPr="005B6F3D" w:rsidRDefault="005B6F3D" w:rsidP="005B6F3D">
      <w:r w:rsidRPr="005B6F3D">
        <w:t xml:space="preserve">One potential improvement raised by a Partner was that that more could be done to track key metrics moving forward (e.g., diversity metrics) to better showcase the demographic breakdown of the Partner portfolios. </w:t>
      </w:r>
    </w:p>
    <w:p w14:paraId="7569AAF1" w14:textId="77777777" w:rsidR="005B6F3D" w:rsidRPr="005B6F3D" w:rsidRDefault="005B6F3D" w:rsidP="00B16629">
      <w:pPr>
        <w:pStyle w:val="Heading2"/>
      </w:pPr>
      <w:bookmarkStart w:id="116" w:name="_Toc144830564"/>
      <w:bookmarkStart w:id="117" w:name="_Toc165482227"/>
      <w:bookmarkStart w:id="118" w:name="_Toc165497191"/>
      <w:r w:rsidRPr="005B6F3D">
        <w:t xml:space="preserve">6.4 Partners were satisfied with the speed, clarity and flexibility of the RAP </w:t>
      </w:r>
      <w:proofErr w:type="gramStart"/>
      <w:r w:rsidRPr="005B6F3D">
        <w:t>team</w:t>
      </w:r>
      <w:bookmarkEnd w:id="116"/>
      <w:bookmarkEnd w:id="117"/>
      <w:bookmarkEnd w:id="118"/>
      <w:proofErr w:type="gramEnd"/>
      <w:r w:rsidRPr="005B6F3D">
        <w:t xml:space="preserve"> </w:t>
      </w:r>
    </w:p>
    <w:p w14:paraId="71CFDFFA" w14:textId="7CEF3E79" w:rsidR="005B6F3D" w:rsidRPr="005B6F3D" w:rsidRDefault="005B6F3D" w:rsidP="005B6F3D">
      <w:r w:rsidRPr="005B6F3D">
        <w:t xml:space="preserve">In addition to the positive feedback on the governance requirements, Partners were generally satisfied with their communication with the RAP team. Partners noted that the team was very accessible, </w:t>
      </w:r>
      <w:r w:rsidR="00AE1E15" w:rsidRPr="005B6F3D">
        <w:t>open,</w:t>
      </w:r>
      <w:r w:rsidRPr="005B6F3D">
        <w:t xml:space="preserve"> and clear when communicating and did not cause unnecessary delays in communication or confusion.</w:t>
      </w:r>
    </w:p>
    <w:p w14:paraId="4ED0608C" w14:textId="77777777" w:rsidR="005B6F3D" w:rsidRPr="005B6F3D" w:rsidRDefault="005B6F3D" w:rsidP="005B6F3D">
      <w:r w:rsidRPr="005B6F3D">
        <w:t xml:space="preserve">Several Partners acknowledged that this led to the </w:t>
      </w:r>
      <w:r w:rsidRPr="005B6F3D">
        <w:rPr>
          <w:b/>
          <w:bCs/>
        </w:rPr>
        <w:t>RAP team’s positive influence on them being able to deploy capital investment</w:t>
      </w:r>
      <w:r w:rsidRPr="005B6F3D">
        <w:t xml:space="preserve"> at the appropriate speed, noting that they would be hindered in their ability to do so if the RAP team required Partners to go through a long process with them before a deal was completed. The extensive due diligence process outlined above potentially contributed to this, with the RAP team able to allow greater autonomy following such a rigorous process.</w:t>
      </w:r>
    </w:p>
    <w:p w14:paraId="34BF6F51" w14:textId="2B14B5E6" w:rsidR="000A4CA2" w:rsidRDefault="005B6F3D" w:rsidP="005B6F3D">
      <w:r w:rsidRPr="005B6F3D">
        <w:t xml:space="preserve">Additionally, Partners spoke positively about the </w:t>
      </w:r>
      <w:r w:rsidRPr="005B6F3D">
        <w:rPr>
          <w:b/>
          <w:bCs/>
        </w:rPr>
        <w:t>level of flexibility</w:t>
      </w:r>
      <w:r w:rsidRPr="005B6F3D">
        <w:t xml:space="preserve"> offered by the RAP team, with some noting that the team successfully applied the spirit of the contract rather </w:t>
      </w:r>
      <w:r w:rsidRPr="005B6F3D">
        <w:lastRenderedPageBreak/>
        <w:t xml:space="preserve">than </w:t>
      </w:r>
      <w:r w:rsidRPr="005B6F3D">
        <w:rPr>
          <w:i/>
          <w:iCs/>
        </w:rPr>
        <w:t>“the specific letter of every clause”.</w:t>
      </w:r>
      <w:r w:rsidRPr="005B6F3D">
        <w:t xml:space="preserve"> This flexibility was particularly important to Partners due to the different circumstances faced by each.</w:t>
      </w:r>
    </w:p>
    <w:p w14:paraId="56A005FA" w14:textId="5F02718A" w:rsidR="004762F7" w:rsidRPr="007A3595" w:rsidRDefault="005B6F3D" w:rsidP="000F00D5">
      <w:pPr>
        <w:pBdr>
          <w:top w:val="single" w:sz="4" w:space="1" w:color="142855"/>
          <w:left w:val="single" w:sz="4" w:space="4" w:color="142855"/>
          <w:bottom w:val="single" w:sz="4" w:space="1" w:color="142855"/>
          <w:right w:val="single" w:sz="4" w:space="4" w:color="142855"/>
        </w:pBdr>
        <w:shd w:val="clear" w:color="auto" w:fill="AFCAD2"/>
        <w:rPr>
          <w:color w:val="142855"/>
        </w:rPr>
      </w:pPr>
      <w:r w:rsidRPr="005B6F3D">
        <w:rPr>
          <w:b/>
          <w:bCs/>
          <w:color w:val="142855"/>
        </w:rPr>
        <w:t>Case study C: Investment Director, RAP Partner B</w:t>
      </w:r>
      <w:r w:rsidR="004762F7" w:rsidRPr="007A3595">
        <w:rPr>
          <w:color w:val="142855"/>
        </w:rPr>
        <w:t xml:space="preserve"> </w:t>
      </w:r>
    </w:p>
    <w:p w14:paraId="7AE4886A" w14:textId="77777777" w:rsidR="00B347A3" w:rsidRPr="007A3595" w:rsidRDefault="00B347A3" w:rsidP="000F00D5">
      <w:pPr>
        <w:pBdr>
          <w:top w:val="single" w:sz="4" w:space="1" w:color="142855"/>
          <w:left w:val="single" w:sz="4" w:space="4" w:color="142855"/>
          <w:bottom w:val="single" w:sz="4" w:space="1" w:color="142855"/>
          <w:right w:val="single" w:sz="4" w:space="4" w:color="142855"/>
        </w:pBdr>
        <w:shd w:val="clear" w:color="auto" w:fill="AFCAD2"/>
      </w:pPr>
      <w:r w:rsidRPr="00B347A3">
        <w:t xml:space="preserve">Partner B’s experience of the application process and engagement with the RAP team post-application was noted as being positive, acknowledging the application process as being extensive but proportionate to the level of investment, and described the RAP team as </w:t>
      </w:r>
      <w:r w:rsidRPr="007A3595">
        <w:rPr>
          <w:b/>
          <w:bCs/>
          <w:i/>
          <w:iCs/>
        </w:rPr>
        <w:t>“very good on the flexibility front”</w:t>
      </w:r>
      <w:r w:rsidRPr="007A3595">
        <w:rPr>
          <w:b/>
          <w:bCs/>
        </w:rPr>
        <w:t>.</w:t>
      </w:r>
    </w:p>
    <w:p w14:paraId="5A4F2353" w14:textId="3688722A" w:rsidR="00070037" w:rsidRPr="007A3595" w:rsidRDefault="00B347A3" w:rsidP="000F00D5">
      <w:pPr>
        <w:pBdr>
          <w:top w:val="single" w:sz="4" w:space="1" w:color="142855"/>
          <w:left w:val="single" w:sz="4" w:space="4" w:color="142855"/>
          <w:bottom w:val="single" w:sz="4" w:space="1" w:color="142855"/>
          <w:right w:val="single" w:sz="4" w:space="4" w:color="142855"/>
        </w:pBdr>
        <w:shd w:val="clear" w:color="auto" w:fill="AFCAD2"/>
        <w:jc w:val="center"/>
        <w:rPr>
          <w:b/>
          <w:bCs/>
          <w:i/>
          <w:iCs/>
        </w:rPr>
      </w:pPr>
      <w:r w:rsidRPr="007A3595">
        <w:rPr>
          <w:b/>
          <w:bCs/>
          <w:i/>
          <w:iCs/>
        </w:rPr>
        <w:t xml:space="preserve">“[The application process] was </w:t>
      </w:r>
      <w:proofErr w:type="gramStart"/>
      <w:r w:rsidRPr="007A3595">
        <w:rPr>
          <w:b/>
          <w:bCs/>
          <w:i/>
          <w:iCs/>
        </w:rPr>
        <w:t>absolutely appropriate</w:t>
      </w:r>
      <w:proofErr w:type="gramEnd"/>
      <w:r w:rsidRPr="007A3595">
        <w:rPr>
          <w:b/>
          <w:bCs/>
          <w:i/>
          <w:iCs/>
        </w:rPr>
        <w:t xml:space="preserve"> in terms of the amount of information. The rigour, the questioning was all fine. I didn’t think it was over the top.” </w:t>
      </w:r>
    </w:p>
    <w:p w14:paraId="16287450" w14:textId="77777777" w:rsidR="00C57218" w:rsidRDefault="00C57218" w:rsidP="00D8407C"/>
    <w:p w14:paraId="61EFBFB2" w14:textId="77777777" w:rsidR="00C57218" w:rsidRDefault="00C57218" w:rsidP="00D8407C"/>
    <w:p w14:paraId="1A2C3262" w14:textId="77777777" w:rsidR="00C57218" w:rsidRDefault="00C57218" w:rsidP="00D8407C"/>
    <w:p w14:paraId="4ED7547D" w14:textId="77777777" w:rsidR="00C57218" w:rsidRDefault="00C57218" w:rsidP="00D8407C"/>
    <w:p w14:paraId="6121C606" w14:textId="6344CF09" w:rsidR="00C57218" w:rsidRDefault="00C57218" w:rsidP="00C57218"/>
    <w:p w14:paraId="61C76728" w14:textId="3769B08D" w:rsidR="00C57218" w:rsidRDefault="00C57218" w:rsidP="00C57218"/>
    <w:p w14:paraId="6CA6DAE0" w14:textId="528CCAD5" w:rsidR="00C57218" w:rsidRDefault="00C57218" w:rsidP="00C57218"/>
    <w:p w14:paraId="7E4E3227" w14:textId="6CD8470F" w:rsidR="00C57218" w:rsidRDefault="00C57218" w:rsidP="00C57218"/>
    <w:p w14:paraId="402B01A9" w14:textId="14B94772" w:rsidR="00C57218" w:rsidRDefault="00C57218" w:rsidP="00C57218"/>
    <w:p w14:paraId="22F68EDF" w14:textId="547165C6" w:rsidR="00C57218" w:rsidRDefault="00C57218" w:rsidP="00C57218"/>
    <w:p w14:paraId="1D5A3413" w14:textId="13356B62" w:rsidR="00C57218" w:rsidRDefault="00C57218" w:rsidP="00C57218"/>
    <w:p w14:paraId="1D68DFCD" w14:textId="77777777" w:rsidR="00C57218" w:rsidRDefault="00C57218" w:rsidP="00D8407C"/>
    <w:p w14:paraId="1BE70F45" w14:textId="77777777" w:rsidR="005B6F3D" w:rsidRDefault="005B6F3D" w:rsidP="005B6F3D">
      <w:pPr>
        <w:pStyle w:val="Heading1"/>
      </w:pPr>
      <w:bookmarkStart w:id="119" w:name="_Toc144830565"/>
      <w:bookmarkStart w:id="120" w:name="_Toc165482228"/>
      <w:bookmarkStart w:id="121" w:name="_Toc165497192"/>
      <w:r>
        <w:lastRenderedPageBreak/>
        <w:t>7. RAP funded firms showed considerable geographic and sector reach</w:t>
      </w:r>
      <w:bookmarkEnd w:id="119"/>
      <w:bookmarkEnd w:id="120"/>
      <w:bookmarkEnd w:id="121"/>
      <w:r>
        <w:t xml:space="preserve">  </w:t>
      </w:r>
    </w:p>
    <w:p w14:paraId="0A418317" w14:textId="77777777" w:rsidR="005B6F3D" w:rsidRDefault="005B6F3D" w:rsidP="005B6F3D">
      <w:pPr>
        <w:pStyle w:val="Heading2"/>
      </w:pPr>
      <w:bookmarkStart w:id="122" w:name="_Toc144830566"/>
      <w:bookmarkStart w:id="123" w:name="_Toc165482229"/>
      <w:bookmarkStart w:id="124" w:name="_Toc165497193"/>
      <w:r w:rsidRPr="00BF46E0">
        <w:t>7.1 Key Findings</w:t>
      </w:r>
      <w:bookmarkEnd w:id="122"/>
      <w:bookmarkEnd w:id="123"/>
      <w:bookmarkEnd w:id="124"/>
    </w:p>
    <w:p w14:paraId="0E4EC59A" w14:textId="411378A5" w:rsidR="005B6F3D" w:rsidRPr="00D8407C" w:rsidRDefault="005B6F3D" w:rsidP="00911E06">
      <w:pPr>
        <w:pStyle w:val="Bullet1"/>
        <w:spacing w:line="360" w:lineRule="auto"/>
        <w:rPr>
          <w:sz w:val="24"/>
          <w:szCs w:val="24"/>
        </w:rPr>
      </w:pPr>
      <w:r w:rsidRPr="00D8407C">
        <w:rPr>
          <w:sz w:val="24"/>
          <w:szCs w:val="24"/>
        </w:rPr>
        <w:t xml:space="preserve">Geographic diversity was considerable, with RAP funding </w:t>
      </w:r>
      <w:r w:rsidR="00A15372">
        <w:rPr>
          <w:sz w:val="24"/>
          <w:szCs w:val="24"/>
        </w:rPr>
        <w:t>flowing</w:t>
      </w:r>
      <w:r w:rsidR="00A15372" w:rsidRPr="00D8407C">
        <w:rPr>
          <w:sz w:val="24"/>
          <w:szCs w:val="24"/>
        </w:rPr>
        <w:t xml:space="preserve"> </w:t>
      </w:r>
      <w:r w:rsidRPr="00D8407C">
        <w:rPr>
          <w:sz w:val="24"/>
          <w:szCs w:val="24"/>
        </w:rPr>
        <w:t>to firms across all regions of the UK. Notably,</w:t>
      </w:r>
      <w:r>
        <w:rPr>
          <w:sz w:val="24"/>
          <w:szCs w:val="24"/>
        </w:rPr>
        <w:t xml:space="preserve"> 7</w:t>
      </w:r>
      <w:r w:rsidR="00A852C0">
        <w:rPr>
          <w:sz w:val="24"/>
          <w:szCs w:val="24"/>
        </w:rPr>
        <w:t>9</w:t>
      </w:r>
      <w:r>
        <w:rPr>
          <w:sz w:val="24"/>
          <w:szCs w:val="24"/>
        </w:rPr>
        <w:t>% (BBI investment</w:t>
      </w:r>
      <w:r w:rsidR="00A15372">
        <w:rPr>
          <w:sz w:val="24"/>
          <w:szCs w:val="24"/>
        </w:rPr>
        <w:t xml:space="preserve"> only</w:t>
      </w:r>
      <w:r>
        <w:rPr>
          <w:sz w:val="24"/>
          <w:szCs w:val="24"/>
        </w:rPr>
        <w:t>),</w:t>
      </w:r>
      <w:r w:rsidRPr="00D8407C">
        <w:rPr>
          <w:sz w:val="24"/>
          <w:szCs w:val="24"/>
        </w:rPr>
        <w:t xml:space="preserve"> </w:t>
      </w:r>
      <w:r>
        <w:rPr>
          <w:sz w:val="24"/>
          <w:szCs w:val="24"/>
        </w:rPr>
        <w:t>(7</w:t>
      </w:r>
      <w:r w:rsidR="00A852C0">
        <w:rPr>
          <w:sz w:val="24"/>
          <w:szCs w:val="24"/>
        </w:rPr>
        <w:t>5</w:t>
      </w:r>
      <w:r w:rsidRPr="00D8407C">
        <w:rPr>
          <w:sz w:val="24"/>
          <w:szCs w:val="24"/>
        </w:rPr>
        <w:t>%</w:t>
      </w:r>
      <w:r>
        <w:rPr>
          <w:sz w:val="24"/>
          <w:szCs w:val="24"/>
        </w:rPr>
        <w:t xml:space="preserve">, BBI </w:t>
      </w:r>
      <w:r w:rsidR="00A15372" w:rsidRPr="004B1C7A">
        <w:rPr>
          <w:sz w:val="24"/>
          <w:szCs w:val="24"/>
        </w:rPr>
        <w:t>+ delivery partner</w:t>
      </w:r>
      <w:r w:rsidR="00F75259">
        <w:rPr>
          <w:sz w:val="24"/>
          <w:szCs w:val="24"/>
        </w:rPr>
        <w:t>s investment</w:t>
      </w:r>
      <w:r w:rsidR="00A15372" w:rsidRPr="004B1C7A">
        <w:rPr>
          <w:sz w:val="24"/>
          <w:szCs w:val="24"/>
        </w:rPr>
        <w:t xml:space="preserve"> + </w:t>
      </w:r>
      <w:r w:rsidR="00F75259">
        <w:rPr>
          <w:sz w:val="24"/>
          <w:szCs w:val="24"/>
        </w:rPr>
        <w:t xml:space="preserve">third </w:t>
      </w:r>
      <w:r w:rsidR="00A15372" w:rsidRPr="004B1C7A">
        <w:rPr>
          <w:sz w:val="24"/>
          <w:szCs w:val="24"/>
        </w:rPr>
        <w:t>party investor</w:t>
      </w:r>
      <w:r>
        <w:rPr>
          <w:sz w:val="24"/>
          <w:szCs w:val="24"/>
        </w:rPr>
        <w:t>)</w:t>
      </w:r>
      <w:r w:rsidRPr="00D8407C">
        <w:rPr>
          <w:sz w:val="24"/>
          <w:szCs w:val="24"/>
        </w:rPr>
        <w:t xml:space="preserve"> of the funding was </w:t>
      </w:r>
      <w:r w:rsidR="00A15372">
        <w:rPr>
          <w:sz w:val="24"/>
          <w:szCs w:val="24"/>
        </w:rPr>
        <w:t>received</w:t>
      </w:r>
      <w:r w:rsidR="00A15372" w:rsidRPr="00D8407C">
        <w:rPr>
          <w:sz w:val="24"/>
          <w:szCs w:val="24"/>
        </w:rPr>
        <w:t xml:space="preserve"> </w:t>
      </w:r>
      <w:r w:rsidRPr="00D8407C">
        <w:rPr>
          <w:sz w:val="24"/>
          <w:szCs w:val="24"/>
        </w:rPr>
        <w:t>outside of London, highlighting a more balanced distribution. While geographic diversity was evident, London remained a significant recipient of RAP funding, reflecting the concentration of business activity and investment opportunities in the capital.</w:t>
      </w:r>
    </w:p>
    <w:p w14:paraId="7EFF59EB" w14:textId="77777777" w:rsidR="005B6F3D" w:rsidRPr="00307C09" w:rsidRDefault="005B6F3D" w:rsidP="00911E06">
      <w:pPr>
        <w:pStyle w:val="Bullet1"/>
        <w:spacing w:line="360" w:lineRule="auto"/>
        <w:rPr>
          <w:sz w:val="24"/>
          <w:szCs w:val="24"/>
        </w:rPr>
      </w:pPr>
      <w:r w:rsidRPr="00D8407C">
        <w:rPr>
          <w:sz w:val="24"/>
          <w:szCs w:val="24"/>
        </w:rPr>
        <w:t xml:space="preserve">The industry scope of RAP funding was wide-ranging, benefiting firms active in sectors such as Information and communication, professional, scientific, and technical activities, as well as manufacturing. This demonstrates the programme's support for diverse industries and innovative sectors. </w:t>
      </w:r>
    </w:p>
    <w:p w14:paraId="25297652" w14:textId="77777777" w:rsidR="005B6F3D" w:rsidRPr="000A4CA2" w:rsidRDefault="005B6F3D" w:rsidP="00911E06">
      <w:pPr>
        <w:pStyle w:val="Bullet1"/>
        <w:spacing w:line="360" w:lineRule="auto"/>
        <w:rPr>
          <w:sz w:val="24"/>
          <w:szCs w:val="24"/>
        </w:rPr>
      </w:pPr>
      <w:r w:rsidRPr="000A4CA2">
        <w:rPr>
          <w:sz w:val="24"/>
          <w:szCs w:val="24"/>
        </w:rPr>
        <w:t xml:space="preserve">The RAP funding demonstrated a commitment to gender diversity, with firms led by female leaders receiving </w:t>
      </w:r>
      <w:r>
        <w:rPr>
          <w:sz w:val="24"/>
          <w:szCs w:val="24"/>
        </w:rPr>
        <w:t>similar</w:t>
      </w:r>
      <w:r w:rsidRPr="000A4CA2">
        <w:rPr>
          <w:sz w:val="24"/>
          <w:szCs w:val="24"/>
        </w:rPr>
        <w:t xml:space="preserve"> support compared to the traditional male-dominated landscape.</w:t>
      </w:r>
    </w:p>
    <w:p w14:paraId="42ACFBA2" w14:textId="77777777" w:rsidR="005B6F3D" w:rsidRDefault="005B6F3D" w:rsidP="005B6F3D">
      <w:pPr>
        <w:pStyle w:val="Heading2"/>
      </w:pPr>
      <w:bookmarkStart w:id="125" w:name="_Toc144830567"/>
      <w:bookmarkStart w:id="126" w:name="_Toc165482230"/>
      <w:bookmarkStart w:id="127" w:name="_Toc165497194"/>
      <w:r>
        <w:t xml:space="preserve">7.2 RAP has mobilised more private sector </w:t>
      </w:r>
      <w:proofErr w:type="gramStart"/>
      <w:r>
        <w:t>funding</w:t>
      </w:r>
      <w:bookmarkEnd w:id="125"/>
      <w:bookmarkEnd w:id="126"/>
      <w:bookmarkEnd w:id="127"/>
      <w:proofErr w:type="gramEnd"/>
      <w:r>
        <w:t xml:space="preserve"> </w:t>
      </w:r>
    </w:p>
    <w:p w14:paraId="013E5983" w14:textId="567C42D3" w:rsidR="005B6F3D" w:rsidRDefault="005B6F3D" w:rsidP="005B6F3D">
      <w:r w:rsidRPr="00D8407C">
        <w:t>The private sector has significantly exceeded the funding provided by the RAP</w:t>
      </w:r>
      <w:r>
        <w:t xml:space="preserve">. </w:t>
      </w:r>
      <w:r w:rsidRPr="00D8407C">
        <w:t xml:space="preserve">This is a positive development as it demonstrates that the scheme has </w:t>
      </w:r>
      <w:r>
        <w:t xml:space="preserve">catalysed private </w:t>
      </w:r>
      <w:r w:rsidRPr="00D8407C">
        <w:t>investment.</w:t>
      </w:r>
    </w:p>
    <w:p w14:paraId="4FFC9A08" w14:textId="25275D2B" w:rsidR="005B6F3D" w:rsidRDefault="005B6F3D" w:rsidP="005B6F3D">
      <w:r w:rsidRPr="00655BE1">
        <w:rPr>
          <w:szCs w:val="24"/>
        </w:rPr>
        <w:t>The to</w:t>
      </w:r>
      <w:r w:rsidRPr="00BE733F">
        <w:rPr>
          <w:szCs w:val="24"/>
        </w:rPr>
        <w:t>tal</w:t>
      </w:r>
      <w:r w:rsidRPr="00BE733F">
        <w:rPr>
          <w:rFonts w:asciiTheme="majorHAnsi" w:eastAsia="Calibri" w:hAnsiTheme="majorHAnsi" w:cstheme="majorHAnsi"/>
          <w:szCs w:val="24"/>
        </w:rPr>
        <w:t xml:space="preserve"> </w:t>
      </w:r>
      <w:proofErr w:type="gramStart"/>
      <w:r w:rsidR="00AE1E15">
        <w:rPr>
          <w:rFonts w:asciiTheme="majorHAnsi" w:eastAsia="Calibri" w:hAnsiTheme="majorHAnsi" w:cstheme="majorHAnsi"/>
          <w:szCs w:val="24"/>
        </w:rPr>
        <w:t>third party</w:t>
      </w:r>
      <w:proofErr w:type="gramEnd"/>
      <w:r w:rsidR="007E7649">
        <w:rPr>
          <w:rFonts w:asciiTheme="majorHAnsi" w:eastAsia="Calibri" w:hAnsiTheme="majorHAnsi" w:cstheme="majorHAnsi"/>
          <w:szCs w:val="24"/>
        </w:rPr>
        <w:t xml:space="preserve"> investor</w:t>
      </w:r>
      <w:r>
        <w:rPr>
          <w:rFonts w:asciiTheme="majorHAnsi" w:eastAsia="Calibri" w:hAnsiTheme="majorHAnsi" w:cstheme="majorHAnsi"/>
          <w:szCs w:val="24"/>
        </w:rPr>
        <w:t xml:space="preserve"> </w:t>
      </w:r>
      <w:r w:rsidRPr="00BE733F">
        <w:rPr>
          <w:szCs w:val="24"/>
        </w:rPr>
        <w:t>funding</w:t>
      </w:r>
      <w:r w:rsidR="002D31AE">
        <w:rPr>
          <w:szCs w:val="24"/>
        </w:rPr>
        <w:t xml:space="preserve"> from the private sector</w:t>
      </w:r>
      <w:r w:rsidRPr="00BE733F">
        <w:rPr>
          <w:rFonts w:asciiTheme="majorHAnsi" w:eastAsia="Calibri" w:hAnsiTheme="majorHAnsi" w:cstheme="majorHAnsi"/>
          <w:szCs w:val="24"/>
        </w:rPr>
        <w:t xml:space="preserve"> </w:t>
      </w:r>
      <w:r w:rsidR="00A15372">
        <w:rPr>
          <w:rFonts w:asciiTheme="majorHAnsi" w:eastAsia="Calibri" w:hAnsiTheme="majorHAnsi" w:cstheme="majorHAnsi"/>
          <w:szCs w:val="24"/>
        </w:rPr>
        <w:t>received</w:t>
      </w:r>
      <w:r w:rsidR="00A15372" w:rsidRPr="00BE733F">
        <w:rPr>
          <w:rFonts w:asciiTheme="majorHAnsi" w:eastAsia="Calibri" w:hAnsiTheme="majorHAnsi" w:cstheme="majorHAnsi"/>
          <w:szCs w:val="24"/>
        </w:rPr>
        <w:t xml:space="preserve"> </w:t>
      </w:r>
      <w:r w:rsidR="002D31AE">
        <w:rPr>
          <w:rFonts w:asciiTheme="majorHAnsi" w:eastAsia="Calibri" w:hAnsiTheme="majorHAnsi" w:cstheme="majorHAnsi"/>
          <w:szCs w:val="24"/>
        </w:rPr>
        <w:t xml:space="preserve">from RAP firms </w:t>
      </w:r>
      <w:r w:rsidRPr="00655BE1">
        <w:rPr>
          <w:szCs w:val="24"/>
        </w:rPr>
        <w:t>was £307m</w:t>
      </w:r>
      <w:r>
        <w:rPr>
          <w:szCs w:val="24"/>
        </w:rPr>
        <w:t xml:space="preserve"> </w:t>
      </w:r>
      <w:r w:rsidR="00750025">
        <w:rPr>
          <w:szCs w:val="24"/>
        </w:rPr>
        <w:t>– compared to a</w:t>
      </w:r>
      <w:r w:rsidR="00750025">
        <w:t xml:space="preserve"> total </w:t>
      </w:r>
      <w:r w:rsidR="002D31AE">
        <w:t xml:space="preserve">Programme funding </w:t>
      </w:r>
      <w:r w:rsidR="00750025">
        <w:t xml:space="preserve">of £212m (£100m BBI commitment and £112m </w:t>
      </w:r>
      <w:r w:rsidR="002D31AE">
        <w:t>via RAP</w:t>
      </w:r>
      <w:r w:rsidR="00750025">
        <w:t xml:space="preserve"> </w:t>
      </w:r>
      <w:r w:rsidR="00BF270E">
        <w:t>d</w:t>
      </w:r>
      <w:r w:rsidR="00750025">
        <w:t xml:space="preserve">elivery </w:t>
      </w:r>
      <w:r w:rsidR="00BF270E">
        <w:t>p</w:t>
      </w:r>
      <w:r w:rsidR="00750025">
        <w:t>artners)</w:t>
      </w:r>
      <w:r w:rsidR="002D31AE">
        <w:t xml:space="preserve"> - </w:t>
      </w:r>
      <w:r>
        <w:t>up to June 2022.</w:t>
      </w:r>
    </w:p>
    <w:p w14:paraId="4A4102F0" w14:textId="4A460318" w:rsidR="00D73CD7" w:rsidRDefault="00572327" w:rsidP="008E2244">
      <w:pPr>
        <w:rPr>
          <w:szCs w:val="24"/>
        </w:rPr>
      </w:pPr>
      <w:r>
        <w:rPr>
          <w:szCs w:val="24"/>
        </w:rPr>
        <w:fldChar w:fldCharType="begin"/>
      </w:r>
      <w:r>
        <w:rPr>
          <w:szCs w:val="24"/>
        </w:rPr>
        <w:instrText xml:space="preserve"> REF _Ref136599273 \h </w:instrText>
      </w:r>
      <w:r w:rsidR="00A852C0">
        <w:rPr>
          <w:szCs w:val="24"/>
        </w:rPr>
        <w:instrText xml:space="preserve"> \* MERGEFORMAT </w:instrText>
      </w:r>
      <w:r>
        <w:rPr>
          <w:szCs w:val="24"/>
        </w:rPr>
      </w:r>
      <w:r>
        <w:rPr>
          <w:szCs w:val="24"/>
        </w:rPr>
        <w:fldChar w:fldCharType="separate"/>
      </w:r>
      <w:r w:rsidR="00BC412E" w:rsidRPr="00BC412E">
        <w:rPr>
          <w:szCs w:val="24"/>
        </w:rPr>
        <w:t>Figure 6</w:t>
      </w:r>
      <w:r>
        <w:rPr>
          <w:szCs w:val="24"/>
        </w:rPr>
        <w:fldChar w:fldCharType="end"/>
      </w:r>
      <w:r w:rsidR="005B6F3D" w:rsidRPr="00D8407C">
        <w:rPr>
          <w:szCs w:val="24"/>
        </w:rPr>
        <w:t xml:space="preserve"> illustrates the allocation of funding by the Partners of the scheme, highlighting the successful </w:t>
      </w:r>
      <w:r w:rsidR="005B6F3D" w:rsidRPr="008E2244">
        <w:rPr>
          <w:szCs w:val="24"/>
        </w:rPr>
        <w:t>catalysation</w:t>
      </w:r>
      <w:r w:rsidR="005B6F3D" w:rsidRPr="00D8407C">
        <w:rPr>
          <w:szCs w:val="24"/>
        </w:rPr>
        <w:t xml:space="preserve"> of private funding in conjunction with the Regional Angel Programme. RAP </w:t>
      </w:r>
      <w:r w:rsidR="00960BE1">
        <w:rPr>
          <w:szCs w:val="24"/>
        </w:rPr>
        <w:t xml:space="preserve">and delivery partners </w:t>
      </w:r>
      <w:r w:rsidR="005B6F3D" w:rsidRPr="00D8407C">
        <w:rPr>
          <w:szCs w:val="24"/>
        </w:rPr>
        <w:t>funding covers approximately 40%</w:t>
      </w:r>
      <w:r w:rsidR="00960BE1">
        <w:rPr>
          <w:szCs w:val="24"/>
        </w:rPr>
        <w:t xml:space="preserve"> </w:t>
      </w:r>
      <w:r w:rsidR="005B6F3D" w:rsidRPr="00D8407C">
        <w:rPr>
          <w:szCs w:val="24"/>
        </w:rPr>
        <w:t xml:space="preserve">of the total </w:t>
      </w:r>
      <w:r w:rsidR="005B6F3D" w:rsidRPr="00D8407C">
        <w:rPr>
          <w:szCs w:val="24"/>
        </w:rPr>
        <w:lastRenderedPageBreak/>
        <w:t>funding</w:t>
      </w:r>
      <w:r w:rsidR="0066383D">
        <w:rPr>
          <w:rStyle w:val="FootnoteReference"/>
          <w:szCs w:val="24"/>
        </w:rPr>
        <w:footnoteReference w:id="41"/>
      </w:r>
      <w:r w:rsidR="005B6F3D" w:rsidRPr="00D8407C">
        <w:rPr>
          <w:szCs w:val="24"/>
        </w:rPr>
        <w:t xml:space="preserve">, </w:t>
      </w:r>
      <w:r w:rsidR="005B6F3D">
        <w:rPr>
          <w:szCs w:val="24"/>
        </w:rPr>
        <w:t>and t</w:t>
      </w:r>
      <w:r w:rsidR="005B6F3D" w:rsidRPr="00D8407C">
        <w:rPr>
          <w:szCs w:val="24"/>
        </w:rPr>
        <w:t>his collaborative effort has effectively mobilised private funding, resulting in a substantial increase in overall investment.</w:t>
      </w:r>
    </w:p>
    <w:p w14:paraId="7F76D66B" w14:textId="2F5A0CFB" w:rsidR="0049405C" w:rsidRDefault="00365F56" w:rsidP="00807E9E">
      <w:pPr>
        <w:rPr>
          <w:iCs/>
          <w:color w:val="555674"/>
          <w:szCs w:val="18"/>
        </w:rPr>
      </w:pPr>
      <w:bookmarkStart w:id="128" w:name="_Ref136599273"/>
      <w:r w:rsidRPr="000A4CA2">
        <w:rPr>
          <w:iCs/>
          <w:color w:val="555674"/>
          <w:szCs w:val="18"/>
        </w:rPr>
        <w:t xml:space="preserve">Figure </w:t>
      </w:r>
      <w:r w:rsidRPr="000A4CA2">
        <w:rPr>
          <w:iCs/>
          <w:color w:val="555674"/>
          <w:szCs w:val="18"/>
        </w:rPr>
        <w:fldChar w:fldCharType="begin"/>
      </w:r>
      <w:r w:rsidRPr="000A4CA2">
        <w:rPr>
          <w:iCs/>
          <w:color w:val="555674"/>
          <w:szCs w:val="18"/>
        </w:rPr>
        <w:instrText>SEQ Figure \* ARABIC</w:instrText>
      </w:r>
      <w:r w:rsidRPr="000A4CA2">
        <w:rPr>
          <w:iCs/>
          <w:color w:val="555674"/>
          <w:szCs w:val="18"/>
        </w:rPr>
        <w:fldChar w:fldCharType="separate"/>
      </w:r>
      <w:r w:rsidR="00BC412E">
        <w:rPr>
          <w:iCs/>
          <w:noProof/>
          <w:color w:val="555674"/>
          <w:szCs w:val="18"/>
        </w:rPr>
        <w:t>6</w:t>
      </w:r>
      <w:r w:rsidRPr="000A4CA2">
        <w:rPr>
          <w:iCs/>
          <w:color w:val="555674"/>
          <w:szCs w:val="18"/>
        </w:rPr>
        <w:fldChar w:fldCharType="end"/>
      </w:r>
      <w:bookmarkEnd w:id="128"/>
      <w:r w:rsidRPr="000A4CA2">
        <w:rPr>
          <w:iCs/>
          <w:color w:val="555674"/>
          <w:szCs w:val="18"/>
        </w:rPr>
        <w:t xml:space="preserve">: </w:t>
      </w:r>
      <w:r w:rsidR="007E7649">
        <w:rPr>
          <w:iCs/>
          <w:color w:val="555674"/>
          <w:szCs w:val="18"/>
        </w:rPr>
        <w:t xml:space="preserve">Delivery </w:t>
      </w:r>
      <w:r w:rsidR="00BF270E">
        <w:rPr>
          <w:iCs/>
          <w:color w:val="555674"/>
          <w:szCs w:val="18"/>
        </w:rPr>
        <w:t>p</w:t>
      </w:r>
      <w:r w:rsidR="007E7649">
        <w:rPr>
          <w:iCs/>
          <w:color w:val="555674"/>
          <w:szCs w:val="18"/>
        </w:rPr>
        <w:t>artner</w:t>
      </w:r>
      <w:r w:rsidR="00BF270E">
        <w:rPr>
          <w:iCs/>
          <w:color w:val="555674"/>
          <w:szCs w:val="18"/>
        </w:rPr>
        <w:t>s</w:t>
      </w:r>
      <w:r w:rsidR="007E7649">
        <w:rPr>
          <w:iCs/>
          <w:color w:val="555674"/>
          <w:szCs w:val="18"/>
        </w:rPr>
        <w:t xml:space="preserve">, </w:t>
      </w:r>
      <w:r w:rsidR="000D1BB1">
        <w:rPr>
          <w:iCs/>
          <w:color w:val="555674"/>
          <w:szCs w:val="18"/>
        </w:rPr>
        <w:t xml:space="preserve">third </w:t>
      </w:r>
      <w:r w:rsidR="007E7649">
        <w:rPr>
          <w:iCs/>
          <w:color w:val="555674"/>
          <w:szCs w:val="18"/>
        </w:rPr>
        <w:t>party investors</w:t>
      </w:r>
      <w:r w:rsidRPr="000A4CA2">
        <w:rPr>
          <w:iCs/>
          <w:color w:val="555674"/>
          <w:szCs w:val="18"/>
        </w:rPr>
        <w:t xml:space="preserve"> leverage and RAP</w:t>
      </w:r>
      <w:r w:rsidR="007E7649">
        <w:rPr>
          <w:iCs/>
          <w:color w:val="555674"/>
          <w:szCs w:val="18"/>
        </w:rPr>
        <w:t xml:space="preserve"> BBI</w:t>
      </w:r>
      <w:r w:rsidRPr="000A4CA2">
        <w:rPr>
          <w:iCs/>
          <w:color w:val="555674"/>
          <w:szCs w:val="18"/>
        </w:rPr>
        <w:t xml:space="preserve"> funding</w:t>
      </w:r>
      <w:r w:rsidR="00807E9E">
        <w:rPr>
          <w:iCs/>
          <w:color w:val="555674"/>
          <w:szCs w:val="18"/>
        </w:rPr>
        <w:t xml:space="preserve"> </w:t>
      </w:r>
      <w:proofErr w:type="gramStart"/>
      <w:r w:rsidRPr="000A4CA2">
        <w:rPr>
          <w:iCs/>
          <w:color w:val="555674"/>
          <w:szCs w:val="18"/>
        </w:rPr>
        <w:t>commitment</w:t>
      </w:r>
      <w:proofErr w:type="gramEnd"/>
      <w:r w:rsidR="00655BE1" w:rsidRPr="000A4CA2" w:rsidDel="00655BE1">
        <w:rPr>
          <w:iCs/>
          <w:color w:val="555674"/>
          <w:szCs w:val="18"/>
        </w:rPr>
        <w:t xml:space="preserve"> </w:t>
      </w:r>
    </w:p>
    <w:p w14:paraId="75BA1C62" w14:textId="767C6028" w:rsidR="00807E9E" w:rsidRDefault="00807E9E" w:rsidP="00807E9E">
      <w:r>
        <w:rPr>
          <w:noProof/>
        </w:rPr>
        <w:drawing>
          <wp:inline distT="0" distB="0" distL="0" distR="0" wp14:anchorId="1C81CCC1" wp14:editId="745BE466">
            <wp:extent cx="6188710" cy="3416300"/>
            <wp:effectExtent l="0" t="0" r="0" b="0"/>
            <wp:docPr id="1719843043" name="Picture 1" descr="Figure 6 visualises the allocation of funding between the Regional Angels Programme (RAP) and delivery partners funding against private sector contributions. It shows that RAP and delivery partners funding account for approximately 40% of the total investment, with the remaining 60% coming from private funding sources. The chart highlights the successful leveraging effect of RAP in mobilising additional private investment, resulting in a significant increase in overall funding for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3043" name="Picture 1" descr="Figure 6 visualises the allocation of funding between the Regional Angels Programme (RAP) and delivery partners funding against private sector contributions. It shows that RAP and delivery partners funding account for approximately 40% of the total investment, with the remaining 60% coming from private funding sources. The chart highlights the successful leveraging effect of RAP in mobilising additional private investment, resulting in a significant increase in overall funding for the scheme."/>
                    <pic:cNvPicPr/>
                  </pic:nvPicPr>
                  <pic:blipFill>
                    <a:blip r:embed="rId42"/>
                    <a:stretch>
                      <a:fillRect/>
                    </a:stretch>
                  </pic:blipFill>
                  <pic:spPr>
                    <a:xfrm>
                      <a:off x="0" y="0"/>
                      <a:ext cx="6188710" cy="3416300"/>
                    </a:xfrm>
                    <a:prstGeom prst="rect">
                      <a:avLst/>
                    </a:prstGeom>
                  </pic:spPr>
                </pic:pic>
              </a:graphicData>
            </a:graphic>
          </wp:inline>
        </w:drawing>
      </w:r>
    </w:p>
    <w:p w14:paraId="672A6659" w14:textId="34E87EC0" w:rsidR="007C26B9" w:rsidRPr="00D8407C" w:rsidRDefault="0049405C" w:rsidP="00283A4C">
      <w:pPr>
        <w:rPr>
          <w:rFonts w:asciiTheme="majorHAnsi" w:eastAsia="Calibri" w:hAnsiTheme="majorHAnsi" w:cstheme="majorHAnsi"/>
          <w:sz w:val="22"/>
        </w:rPr>
      </w:pPr>
      <w:r w:rsidRPr="00D8407C">
        <w:rPr>
          <w:i/>
          <w:color w:val="555674"/>
          <w:szCs w:val="18"/>
        </w:rPr>
        <w:t xml:space="preserve">Source: </w:t>
      </w:r>
      <w:r w:rsidR="00EC0DCD">
        <w:rPr>
          <w:i/>
          <w:color w:val="555674"/>
          <w:szCs w:val="18"/>
        </w:rPr>
        <w:t>British Business Bank</w:t>
      </w:r>
      <w:r w:rsidRPr="00D8407C">
        <w:rPr>
          <w:i/>
          <w:color w:val="555674"/>
          <w:szCs w:val="18"/>
        </w:rPr>
        <w:t xml:space="preserve"> RAP MI data up to Q2 2022</w:t>
      </w:r>
    </w:p>
    <w:p w14:paraId="580D48B1" w14:textId="0915CD99" w:rsidR="005B6F3D" w:rsidRPr="00D8407C" w:rsidRDefault="005B6F3D" w:rsidP="005B6F3D">
      <w:pPr>
        <w:pStyle w:val="Heading2"/>
      </w:pPr>
      <w:bookmarkStart w:id="129" w:name="_Toc165482231"/>
      <w:bookmarkStart w:id="130" w:name="_Toc165497195"/>
      <w:bookmarkStart w:id="131" w:name="_Toc144830568"/>
      <w:r>
        <w:t xml:space="preserve">7.3 RAP funded firms from all regions across the UK – comparatively more funding went to regions outside </w:t>
      </w:r>
      <w:proofErr w:type="gramStart"/>
      <w:r>
        <w:t>London</w:t>
      </w:r>
      <w:bookmarkEnd w:id="129"/>
      <w:bookmarkEnd w:id="130"/>
      <w:proofErr w:type="gramEnd"/>
      <w:r>
        <w:t xml:space="preserve"> </w:t>
      </w:r>
      <w:bookmarkEnd w:id="131"/>
    </w:p>
    <w:p w14:paraId="10AA952E" w14:textId="6B9AFF86" w:rsidR="005B6F3D" w:rsidRDefault="005B6F3D" w:rsidP="005B6F3D">
      <w:r>
        <w:rPr>
          <w:b/>
        </w:rPr>
        <w:t>Based on the MI data, a</w:t>
      </w:r>
      <w:r w:rsidRPr="00D8407C">
        <w:rPr>
          <w:b/>
        </w:rPr>
        <w:t xml:space="preserve">pproximately </w:t>
      </w:r>
      <w:r>
        <w:rPr>
          <w:b/>
        </w:rPr>
        <w:t>7</w:t>
      </w:r>
      <w:r w:rsidR="00090E82">
        <w:rPr>
          <w:b/>
        </w:rPr>
        <w:t>9</w:t>
      </w:r>
      <w:r>
        <w:rPr>
          <w:b/>
        </w:rPr>
        <w:t>%,</w:t>
      </w:r>
      <w:r w:rsidRPr="00D8407C">
        <w:rPr>
          <w:b/>
        </w:rPr>
        <w:t xml:space="preserve"> </w:t>
      </w:r>
      <w:r>
        <w:rPr>
          <w:b/>
        </w:rPr>
        <w:t>(7</w:t>
      </w:r>
      <w:r w:rsidR="00090E82">
        <w:rPr>
          <w:b/>
        </w:rPr>
        <w:t>5</w:t>
      </w:r>
      <w:r w:rsidRPr="00D8407C">
        <w:rPr>
          <w:b/>
        </w:rPr>
        <w:t xml:space="preserve">% </w:t>
      </w:r>
      <w:r>
        <w:rPr>
          <w:b/>
        </w:rPr>
        <w:t xml:space="preserve">= BBI </w:t>
      </w:r>
      <w:bookmarkStart w:id="132" w:name="_Hlk145510270"/>
      <w:r w:rsidR="007E7649" w:rsidRPr="007E7649">
        <w:rPr>
          <w:b/>
        </w:rPr>
        <w:t>+ delivery partners</w:t>
      </w:r>
      <w:r w:rsidR="00F75259">
        <w:rPr>
          <w:b/>
        </w:rPr>
        <w:t xml:space="preserve"> investment</w:t>
      </w:r>
      <w:r w:rsidR="007E7649" w:rsidRPr="007E7649">
        <w:rPr>
          <w:b/>
        </w:rPr>
        <w:t xml:space="preserve"> + </w:t>
      </w:r>
      <w:r w:rsidR="00F75259">
        <w:rPr>
          <w:b/>
        </w:rPr>
        <w:t xml:space="preserve">third </w:t>
      </w:r>
      <w:r w:rsidR="007E7649" w:rsidRPr="007E7649">
        <w:rPr>
          <w:b/>
        </w:rPr>
        <w:t>party investors</w:t>
      </w:r>
      <w:bookmarkEnd w:id="132"/>
      <w:r>
        <w:rPr>
          <w:b/>
        </w:rPr>
        <w:t>)</w:t>
      </w:r>
      <w:r w:rsidRPr="00D8407C">
        <w:rPr>
          <w:b/>
        </w:rPr>
        <w:t xml:space="preserve"> of RAP funding went to firms based outside London</w:t>
      </w:r>
      <w:r>
        <w:rPr>
          <w:b/>
        </w:rPr>
        <w:t>.</w:t>
      </w:r>
      <w:r w:rsidRPr="00D8407C">
        <w:rPr>
          <w:b/>
        </w:rPr>
        <w:t xml:space="preserve"> </w:t>
      </w:r>
      <w:r>
        <w:t xml:space="preserve">This is just below </w:t>
      </w:r>
      <w:r w:rsidRPr="00D8407C">
        <w:rPr>
          <w:b/>
        </w:rPr>
        <w:t>double</w:t>
      </w:r>
      <w:r>
        <w:rPr>
          <w:b/>
        </w:rPr>
        <w:t xml:space="preserve"> the</w:t>
      </w:r>
      <w:r w:rsidRPr="00D8407C">
        <w:rPr>
          <w:b/>
        </w:rPr>
        <w:t xml:space="preserve"> relative allocations </w:t>
      </w:r>
      <w:r>
        <w:rPr>
          <w:b/>
        </w:rPr>
        <w:t>provided by other</w:t>
      </w:r>
      <w:r w:rsidRPr="00D8407C">
        <w:rPr>
          <w:b/>
        </w:rPr>
        <w:t xml:space="preserve"> comparator schemes</w:t>
      </w:r>
      <w:r>
        <w:t xml:space="preserve">. </w:t>
      </w:r>
      <w:r w:rsidRPr="0051091B">
        <w:t xml:space="preserve">By means of comparison, the </w:t>
      </w:r>
      <w:r>
        <w:t>41</w:t>
      </w:r>
      <w:r w:rsidRPr="0051091B">
        <w:t xml:space="preserve">% of funding allocated under the Future Fund </w:t>
      </w:r>
      <w:r>
        <w:t>went to</w:t>
      </w:r>
      <w:r w:rsidRPr="0051091B">
        <w:t xml:space="preserve"> firms outside of London</w:t>
      </w:r>
      <w:r>
        <w:t>.</w:t>
      </w:r>
    </w:p>
    <w:p w14:paraId="7B29C83E" w14:textId="487369FE" w:rsidR="005B6F3D" w:rsidRDefault="005B6F3D" w:rsidP="005B6F3D">
      <w:r>
        <w:t xml:space="preserve">Turning to the aggregation of firms based outside London and the </w:t>
      </w:r>
      <w:proofErr w:type="gramStart"/>
      <w:r>
        <w:t>South East</w:t>
      </w:r>
      <w:proofErr w:type="gramEnd"/>
      <w:r>
        <w:t xml:space="preserve"> this figure drops to 72% (6</w:t>
      </w:r>
      <w:r w:rsidR="00090E82">
        <w:t>7</w:t>
      </w:r>
      <w:r>
        <w:t xml:space="preserve">% for BBI </w:t>
      </w:r>
      <w:r w:rsidR="007E7649" w:rsidRPr="007E7649">
        <w:t xml:space="preserve">+ delivery partners </w:t>
      </w:r>
      <w:r w:rsidR="00F75259">
        <w:t xml:space="preserve">investment </w:t>
      </w:r>
      <w:r w:rsidR="007E7649" w:rsidRPr="007E7649">
        <w:t xml:space="preserve">+ </w:t>
      </w:r>
      <w:r w:rsidR="00F75259">
        <w:t xml:space="preserve">third </w:t>
      </w:r>
      <w:r w:rsidR="007E7649" w:rsidRPr="007E7649">
        <w:t>party investors</w:t>
      </w:r>
      <w:r>
        <w:t>).</w:t>
      </w:r>
    </w:p>
    <w:p w14:paraId="1E7EA77B" w14:textId="0E8CB6E0" w:rsidR="000C23B8" w:rsidRDefault="68875177" w:rsidP="005B6F3D">
      <w:r>
        <w:lastRenderedPageBreak/>
        <w:t xml:space="preserve">RAP funding </w:t>
      </w:r>
      <w:r w:rsidR="05F569D2">
        <w:t>flowed</w:t>
      </w:r>
      <w:r>
        <w:t xml:space="preserve"> </w:t>
      </w:r>
      <w:r w:rsidR="05F569D2">
        <w:t xml:space="preserve">to </w:t>
      </w:r>
      <w:r>
        <w:t>most</w:t>
      </w:r>
      <w:r w:rsidR="05F569D2">
        <w:t xml:space="preserve"> UK</w:t>
      </w:r>
      <w:r>
        <w:t xml:space="preserve"> regions. The </w:t>
      </w:r>
      <w:r w:rsidRPr="00D8407C">
        <w:rPr>
          <w:b/>
        </w:rPr>
        <w:t xml:space="preserve">region that </w:t>
      </w:r>
      <w:r w:rsidR="41EA05F1">
        <w:rPr>
          <w:b/>
        </w:rPr>
        <w:t>rec</w:t>
      </w:r>
      <w:r w:rsidR="4200AA8F">
        <w:rPr>
          <w:b/>
        </w:rPr>
        <w:t>ei</w:t>
      </w:r>
      <w:r w:rsidR="41EA05F1">
        <w:rPr>
          <w:b/>
        </w:rPr>
        <w:t>ved the</w:t>
      </w:r>
      <w:r w:rsidRPr="00D8407C">
        <w:rPr>
          <w:b/>
        </w:rPr>
        <w:t xml:space="preserve"> most funding is London</w:t>
      </w:r>
      <w:r>
        <w:t xml:space="preserve"> – 2</w:t>
      </w:r>
      <w:r w:rsidR="301765C9">
        <w:t>5</w:t>
      </w:r>
      <w:r>
        <w:t>% of total volume of funding</w:t>
      </w:r>
      <w:r w:rsidR="0F9D9D34">
        <w:t xml:space="preserve"> </w:t>
      </w:r>
      <w:r w:rsidR="7BDABF6C">
        <w:t>(2</w:t>
      </w:r>
      <w:r w:rsidR="301765C9">
        <w:t>1</w:t>
      </w:r>
      <w:r w:rsidR="7BDABF6C">
        <w:t>% BBI commitment only</w:t>
      </w:r>
      <w:r w:rsidR="7D6DBBC4">
        <w:t xml:space="preserve"> as per Figure 9</w:t>
      </w:r>
      <w:r w:rsidR="7BDABF6C">
        <w:t xml:space="preserve">) </w:t>
      </w:r>
      <w:r>
        <w:t>and 3</w:t>
      </w:r>
      <w:r w:rsidR="76B6A532">
        <w:t>0</w:t>
      </w:r>
      <w:r>
        <w:t>% of the number of deals (15</w:t>
      </w:r>
      <w:r w:rsidR="76B6A532">
        <w:t>1</w:t>
      </w:r>
      <w:r>
        <w:t xml:space="preserve"> out of 497)</w:t>
      </w:r>
      <w:r w:rsidR="00E338AE">
        <w:rPr>
          <w:rStyle w:val="FootnoteReference"/>
        </w:rPr>
        <w:footnoteReference w:id="42"/>
      </w:r>
      <w:r>
        <w:t xml:space="preserve">. Interviews with RAP policy and industry body stakeholders highlighted that a potential reason for this concentration is that </w:t>
      </w:r>
      <w:proofErr w:type="gramStart"/>
      <w:r>
        <w:t>the majority of</w:t>
      </w:r>
      <w:proofErr w:type="gramEnd"/>
      <w:r>
        <w:t xml:space="preserve"> firms have headquarters in London. </w:t>
      </w:r>
      <w:r w:rsidR="605F4288">
        <w:t xml:space="preserve">Although firms may be headquartered in London, a significant proportion of their investments may be outside of London. </w:t>
      </w:r>
      <w:r w:rsidR="3B0FDAA7">
        <w:t>7</w:t>
      </w:r>
      <w:r w:rsidR="605F4288">
        <w:t xml:space="preserve">% of the </w:t>
      </w:r>
      <w:r w:rsidR="3B0FDAA7">
        <w:t xml:space="preserve">total </w:t>
      </w:r>
      <w:r w:rsidR="605F4288">
        <w:t xml:space="preserve">funding was </w:t>
      </w:r>
      <w:r w:rsidR="05F569D2">
        <w:t xml:space="preserve">flowed </w:t>
      </w:r>
      <w:r w:rsidR="605F4288">
        <w:t xml:space="preserve">to the </w:t>
      </w:r>
      <w:proofErr w:type="gramStart"/>
      <w:r w:rsidR="605F4288">
        <w:t>South East</w:t>
      </w:r>
      <w:proofErr w:type="gramEnd"/>
      <w:r w:rsidR="605F4288">
        <w:t xml:space="preserve"> (a region which also has a strong investor base).</w:t>
      </w:r>
      <w:r w:rsidR="46331D2F">
        <w:t xml:space="preserve"> </w:t>
      </w:r>
    </w:p>
    <w:p w14:paraId="27CF8CD4" w14:textId="5AA29BF6" w:rsidR="005B6F3D" w:rsidRDefault="605F4288" w:rsidP="005B6F3D">
      <w:r>
        <w:t xml:space="preserve">Similarly, </w:t>
      </w:r>
      <w:r w:rsidRPr="00572100">
        <w:t>London not only has the largest share of investors </w:t>
      </w:r>
      <w:r>
        <w:t>using the EIS and SEIS schemes</w:t>
      </w:r>
      <w:r w:rsidR="005B6F3D">
        <w:rPr>
          <w:rStyle w:val="FootnoteReference"/>
        </w:rPr>
        <w:footnoteReference w:id="43"/>
      </w:r>
      <w:r w:rsidRPr="00572100">
        <w:t xml:space="preserve"> (with 38% of known investors residing in the </w:t>
      </w:r>
      <w:r>
        <w:t>C</w:t>
      </w:r>
      <w:r w:rsidRPr="00572100">
        <w:t>apital), but it is also the region where EIS and SEIS investment is predominantly concentrated, accounting for 49% of the total activity</w:t>
      </w:r>
      <w:r w:rsidR="005B6F3D">
        <w:rPr>
          <w:rStyle w:val="FootnoteReference"/>
        </w:rPr>
        <w:footnoteReference w:id="44"/>
      </w:r>
      <w:r>
        <w:t xml:space="preserve">, highlighting how </w:t>
      </w:r>
      <w:r w:rsidRPr="000C23B8">
        <w:t xml:space="preserve">the </w:t>
      </w:r>
      <w:r>
        <w:t>Capital</w:t>
      </w:r>
      <w:r w:rsidRPr="000C23B8">
        <w:t xml:space="preserve"> offers a </w:t>
      </w:r>
      <w:proofErr w:type="spellStart"/>
      <w:r w:rsidRPr="000C23B8">
        <w:t>favorable</w:t>
      </w:r>
      <w:proofErr w:type="spellEnd"/>
      <w:r w:rsidRPr="000C23B8">
        <w:t xml:space="preserve"> environment for attracting investment in early-stage and growth-focused ventures</w:t>
      </w:r>
      <w:r w:rsidRPr="0051091B">
        <w:t>.</w:t>
      </w:r>
      <w:r>
        <w:t xml:space="preserve"> London based firms, on average, received smaller funding but remains the region with the largest number of firms benefitting (12</w:t>
      </w:r>
      <w:r w:rsidR="3B0FDAA7">
        <w:t>3</w:t>
      </w:r>
      <w:r>
        <w:t xml:space="preserve"> of 372, 3</w:t>
      </w:r>
      <w:r w:rsidR="3B0FDAA7">
        <w:t>3</w:t>
      </w:r>
      <w:r>
        <w:t xml:space="preserve">%), and </w:t>
      </w:r>
      <w:r w:rsidR="3B0FDAA7">
        <w:t>8</w:t>
      </w:r>
      <w:r>
        <w:t>% (2</w:t>
      </w:r>
      <w:r w:rsidR="3B0FDAA7">
        <w:t>9</w:t>
      </w:r>
      <w:r>
        <w:t xml:space="preserve"> firms out of 372) of RAP funding went to firms based in the </w:t>
      </w:r>
      <w:proofErr w:type="gramStart"/>
      <w:r>
        <w:t>South East</w:t>
      </w:r>
      <w:proofErr w:type="gramEnd"/>
      <w:r>
        <w:t xml:space="preserve">. </w:t>
      </w:r>
    </w:p>
    <w:p w14:paraId="1266B014" w14:textId="722E11E9" w:rsidR="00F75259" w:rsidRPr="00F75259" w:rsidRDefault="005B6F3D" w:rsidP="00F75259">
      <w:r>
        <w:t xml:space="preserve">The </w:t>
      </w:r>
      <w:r w:rsidRPr="00D8407C">
        <w:rPr>
          <w:b/>
        </w:rPr>
        <w:t xml:space="preserve">region that received the second largest share of </w:t>
      </w:r>
      <w:r>
        <w:rPr>
          <w:b/>
        </w:rPr>
        <w:t xml:space="preserve">RAP </w:t>
      </w:r>
      <w:r w:rsidRPr="00D8407C">
        <w:rPr>
          <w:b/>
        </w:rPr>
        <w:t>funding is Scotland</w:t>
      </w:r>
      <w:r>
        <w:t xml:space="preserve">, receiving 18% of the volume of funding. Many of these firms received relatively large sums of funding </w:t>
      </w:r>
      <w:r w:rsidRPr="00084E22">
        <w:t>(£</w:t>
      </w:r>
      <w:r w:rsidRPr="00D8407C">
        <w:t>870k on average</w:t>
      </w:r>
      <w:r w:rsidRPr="00084E22">
        <w:t>)</w:t>
      </w:r>
      <w:r>
        <w:t xml:space="preserve"> and only 8% (29 of 372) of the firms that received funding were based in Scotland. A high proportion of the funded firms are based in Northern Ireland (12%). Representation from Wales was lower than the other regions of the UK, with 4.3% of the firms (16 of 372) having benefitted from </w:t>
      </w:r>
      <w:r w:rsidRPr="00C657D6">
        <w:t>RAP. The Partners do not have a formal representation in Wales</w:t>
      </w:r>
      <w:r>
        <w:t xml:space="preserve">, the </w:t>
      </w:r>
      <w:proofErr w:type="gramStart"/>
      <w:r w:rsidRPr="00D8407C">
        <w:t>North East</w:t>
      </w:r>
      <w:proofErr w:type="gramEnd"/>
      <w:r w:rsidRPr="00D8407C">
        <w:t>, West Midlands, and the South East</w:t>
      </w:r>
      <w:r>
        <w:t xml:space="preserve">, </w:t>
      </w:r>
      <w:r w:rsidRPr="00C657D6">
        <w:t>and this is somewhat reflected in the</w:t>
      </w:r>
      <w:r>
        <w:t xml:space="preserve"> data. This could also be as noted above due to the scheme design permitting those Angels/ Syndicates that had proven track records and a history of investment, limiting the participation of nascent angels funding firms residing in the RAP unfunded regions. This may reflect a design constraint which should be considered when </w:t>
      </w:r>
      <w:r w:rsidR="001E61D1">
        <w:t>interpreting</w:t>
      </w:r>
      <w:r>
        <w:t xml:space="preserve"> the graphs below.</w:t>
      </w:r>
    </w:p>
    <w:p w14:paraId="0F701F0F" w14:textId="70A73179" w:rsidR="000B4E40" w:rsidRPr="0087177A" w:rsidRDefault="000B4E40" w:rsidP="791041EF">
      <w:pPr>
        <w:pStyle w:val="Caption"/>
        <w:rPr>
          <w:highlight w:val="yellow"/>
        </w:rPr>
      </w:pPr>
      <w:r>
        <w:lastRenderedPageBreak/>
        <w:t xml:space="preserve">Figure </w:t>
      </w:r>
      <w:r>
        <w:fldChar w:fldCharType="begin"/>
      </w:r>
      <w:r>
        <w:instrText>SEQ Figure \* ARABIC</w:instrText>
      </w:r>
      <w:r>
        <w:fldChar w:fldCharType="separate"/>
      </w:r>
      <w:r w:rsidR="00BC412E">
        <w:rPr>
          <w:noProof/>
        </w:rPr>
        <w:t>7</w:t>
      </w:r>
      <w:r>
        <w:fldChar w:fldCharType="end"/>
      </w:r>
      <w:r w:rsidR="00CF05F6">
        <w:t>:</w:t>
      </w:r>
      <w:r>
        <w:t xml:space="preserve"> </w:t>
      </w:r>
      <w:r w:rsidR="00B3191D">
        <w:t xml:space="preserve">Percentage of </w:t>
      </w:r>
      <w:r w:rsidR="004D35FA">
        <w:t xml:space="preserve">number of </w:t>
      </w:r>
      <w:r w:rsidR="00B3191D">
        <w:t xml:space="preserve">firms </w:t>
      </w:r>
      <w:r w:rsidR="00B3191D" w:rsidRPr="0087177A">
        <w:t xml:space="preserve">receiving </w:t>
      </w:r>
      <w:r w:rsidR="000D50B9" w:rsidRPr="0087177A">
        <w:t xml:space="preserve">RAP funding </w:t>
      </w:r>
      <w:r w:rsidR="00630E1C" w:rsidRPr="0087177A">
        <w:t>by</w:t>
      </w:r>
      <w:r w:rsidR="00692F92" w:rsidRPr="0087177A">
        <w:t xml:space="preserve"> region</w:t>
      </w:r>
      <w:r w:rsidR="000D50B9" w:rsidRPr="0087177A">
        <w:t xml:space="preserve"> </w:t>
      </w:r>
      <w:r w:rsidR="00D32821" w:rsidRPr="0087177A">
        <w:t>(N</w:t>
      </w:r>
      <w:r w:rsidR="00120FEE" w:rsidRPr="0087177A">
        <w:t xml:space="preserve"> </w:t>
      </w:r>
      <w:r w:rsidR="00D32821" w:rsidRPr="0087177A">
        <w:t>=</w:t>
      </w:r>
      <w:r w:rsidR="00120FEE" w:rsidRPr="0087177A">
        <w:t xml:space="preserve"> </w:t>
      </w:r>
      <w:r w:rsidR="00D32821" w:rsidRPr="0087177A">
        <w:t>372)</w:t>
      </w:r>
    </w:p>
    <w:p w14:paraId="4A0AF97E" w14:textId="2484D384" w:rsidR="00750025" w:rsidRDefault="002812C7" w:rsidP="00750025">
      <w:r>
        <w:rPr>
          <w:noProof/>
        </w:rPr>
        <w:drawing>
          <wp:inline distT="0" distB="0" distL="0" distR="0" wp14:anchorId="1308BE2D" wp14:editId="70DBD776">
            <wp:extent cx="6188710" cy="2756535"/>
            <wp:effectExtent l="0" t="0" r="2540" b="5715"/>
            <wp:docPr id="134229862" name="Chart 1" descr="Figure 7 is a bar graph displaying RAP funding percentages by region. On the x-axis are regions London, Northern Ireland, North West, Scotland, South East, South  West, East of England, Wales, West Midlands, Yorkshire and the Humber, North East and East Midlands. The y-axis ranges from 0% to 35%. &#10;&#10;London has the highest funding at 33.1%, followed by Northern Ireland at 12.4%, North West at 10.2%, Scotland and South East both at 7.8%, South West at 7.3%, East of England at 5.7%, Wales at 4.3%, West Midlands at 3.8%, Yorkshire and the Humber at 3.5%, North East at 2.4% and East Midlands at 1.9%.">
              <a:extLst xmlns:a="http://schemas.openxmlformats.org/drawingml/2006/main">
                <a:ext uri="{FF2B5EF4-FFF2-40B4-BE49-F238E27FC236}">
                  <a16:creationId xmlns:a16="http://schemas.microsoft.com/office/drawing/2014/main" id="{1274B9ED-700F-41D2-B180-07F943D1C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750025" w:rsidRPr="003F610D">
        <w:rPr>
          <w:i/>
          <w:color w:val="555674"/>
          <w:szCs w:val="18"/>
        </w:rPr>
        <w:t>Source: British Business Bank RAP MI data</w:t>
      </w:r>
    </w:p>
    <w:p w14:paraId="335DFB9C" w14:textId="64D171BE" w:rsidR="00750025" w:rsidRDefault="005B6F3D" w:rsidP="00750025">
      <w:r>
        <w:t>London tops the chart with 3</w:t>
      </w:r>
      <w:r w:rsidR="00170745">
        <w:t>3</w:t>
      </w:r>
      <w:r>
        <w:t xml:space="preserve">.1%, reflecting its role as the business and financial hub of the UK. This aligns with the concentration of investment opportunities and business activities in the capital. The data reveals a balanced distribution of funds across different regions, such as Northern Ireland, the </w:t>
      </w:r>
      <w:proofErr w:type="gramStart"/>
      <w:r>
        <w:t>North West</w:t>
      </w:r>
      <w:proofErr w:type="gramEnd"/>
      <w:r>
        <w:t>, and Scotland. This aligns with the RAP’s objective of funds flowing to underrepresented regions across the UK.</w:t>
      </w:r>
      <w:r w:rsidR="00F75259">
        <w:t xml:space="preserve"> </w:t>
      </w:r>
      <w:r w:rsidR="00750025">
        <w:t>41% of the total funding (BBI +</w:t>
      </w:r>
      <w:r w:rsidR="00750025" w:rsidRPr="00692F92">
        <w:t xml:space="preserve"> delivery partners </w:t>
      </w:r>
      <w:r w:rsidR="00F75259">
        <w:t xml:space="preserve">investment </w:t>
      </w:r>
      <w:r w:rsidR="00750025" w:rsidRPr="00692F92">
        <w:t xml:space="preserve">+ </w:t>
      </w:r>
      <w:r w:rsidR="00F75259">
        <w:t>third</w:t>
      </w:r>
      <w:r w:rsidR="00750025" w:rsidRPr="00692F92">
        <w:t xml:space="preserve"> party investors</w:t>
      </w:r>
      <w:r w:rsidR="00750025">
        <w:t xml:space="preserve">) is flowing to London and the </w:t>
      </w:r>
      <w:proofErr w:type="gramStart"/>
      <w:r w:rsidR="00750025">
        <w:t>South East</w:t>
      </w:r>
      <w:proofErr w:type="gramEnd"/>
      <w:r w:rsidR="00750025">
        <w:t xml:space="preserve"> based firms.</w:t>
      </w:r>
    </w:p>
    <w:p w14:paraId="6DCDAB3D" w14:textId="77777777" w:rsidR="00AE1E15" w:rsidRDefault="00AE1E15" w:rsidP="791041EF">
      <w:pPr>
        <w:pStyle w:val="Caption"/>
      </w:pPr>
    </w:p>
    <w:p w14:paraId="5A94C26F" w14:textId="77777777" w:rsidR="00AE1E15" w:rsidRDefault="00AE1E15" w:rsidP="791041EF">
      <w:pPr>
        <w:pStyle w:val="Caption"/>
      </w:pPr>
    </w:p>
    <w:p w14:paraId="05121C9D" w14:textId="77777777" w:rsidR="00AE1E15" w:rsidRDefault="00AE1E15" w:rsidP="791041EF">
      <w:pPr>
        <w:pStyle w:val="Caption"/>
      </w:pPr>
    </w:p>
    <w:p w14:paraId="17FFC7CA" w14:textId="77777777" w:rsidR="00AE1E15" w:rsidRDefault="00AE1E15" w:rsidP="791041EF">
      <w:pPr>
        <w:pStyle w:val="Caption"/>
      </w:pPr>
    </w:p>
    <w:p w14:paraId="00584C1C" w14:textId="77777777" w:rsidR="00AE1E15" w:rsidRDefault="00AE1E15" w:rsidP="791041EF">
      <w:pPr>
        <w:pStyle w:val="Caption"/>
      </w:pPr>
    </w:p>
    <w:p w14:paraId="191E8CDB" w14:textId="77777777" w:rsidR="00AE1E15" w:rsidRDefault="00AE1E15" w:rsidP="791041EF">
      <w:pPr>
        <w:pStyle w:val="Caption"/>
      </w:pPr>
    </w:p>
    <w:p w14:paraId="77B2FC2B" w14:textId="77777777" w:rsidR="00AE1E15" w:rsidRDefault="00AE1E15" w:rsidP="791041EF">
      <w:pPr>
        <w:pStyle w:val="Caption"/>
      </w:pPr>
    </w:p>
    <w:p w14:paraId="78CFAB39" w14:textId="77777777" w:rsidR="00AE1E15" w:rsidRDefault="00AE1E15" w:rsidP="791041EF">
      <w:pPr>
        <w:pStyle w:val="Caption"/>
      </w:pPr>
    </w:p>
    <w:p w14:paraId="015301EA" w14:textId="0E7FE97B" w:rsidR="00971D86" w:rsidRPr="0087177A" w:rsidRDefault="00655BE1" w:rsidP="791041EF">
      <w:pPr>
        <w:pStyle w:val="Caption"/>
      </w:pPr>
      <w:r w:rsidRPr="0087177A">
        <w:lastRenderedPageBreak/>
        <w:t xml:space="preserve">Figure </w:t>
      </w:r>
      <w:r w:rsidRPr="0087177A">
        <w:fldChar w:fldCharType="begin"/>
      </w:r>
      <w:r w:rsidRPr="0087177A">
        <w:instrText>SEQ Figure \* ARABIC</w:instrText>
      </w:r>
      <w:r w:rsidRPr="0087177A">
        <w:fldChar w:fldCharType="separate"/>
      </w:r>
      <w:r w:rsidR="00BC412E">
        <w:rPr>
          <w:noProof/>
        </w:rPr>
        <w:t>8</w:t>
      </w:r>
      <w:r w:rsidRPr="0087177A">
        <w:fldChar w:fldCharType="end"/>
      </w:r>
      <w:r w:rsidRPr="0087177A">
        <w:t xml:space="preserve">: </w:t>
      </w:r>
      <w:r w:rsidR="00B3191D" w:rsidRPr="0087177A">
        <w:t>Percentage of total</w:t>
      </w:r>
      <w:r w:rsidR="004D35FA" w:rsidRPr="0087177A">
        <w:t xml:space="preserve"> value</w:t>
      </w:r>
      <w:r w:rsidR="00B3191D" w:rsidRPr="0087177A">
        <w:t xml:space="preserve"> </w:t>
      </w:r>
      <w:r w:rsidR="004D35FA" w:rsidRPr="0087177A">
        <w:t xml:space="preserve">of </w:t>
      </w:r>
      <w:r w:rsidR="00B3191D" w:rsidRPr="0087177A">
        <w:t>RAP funding deals</w:t>
      </w:r>
      <w:r w:rsidR="004D35FA" w:rsidRPr="0087177A">
        <w:t xml:space="preserve"> (</w:t>
      </w:r>
      <w:r w:rsidR="004D35FA" w:rsidRPr="0087177A">
        <w:rPr>
          <w:bCs/>
        </w:rPr>
        <w:t>BBI + delivery partners investment + third party investors)</w:t>
      </w:r>
      <w:r w:rsidR="004D35FA" w:rsidRPr="0087177A">
        <w:t xml:space="preserve"> </w:t>
      </w:r>
      <w:r w:rsidR="00B3191D" w:rsidRPr="0087177A">
        <w:t>by</w:t>
      </w:r>
      <w:r w:rsidR="00750025" w:rsidRPr="0087177A">
        <w:t xml:space="preserve"> region </w:t>
      </w:r>
      <w:r w:rsidRPr="0087177A">
        <w:t>(Number of deals = 497)</w:t>
      </w:r>
    </w:p>
    <w:p w14:paraId="6D662E97" w14:textId="18B589FC" w:rsidR="00750025" w:rsidRDefault="005C5594" w:rsidP="00750025">
      <w:pPr>
        <w:rPr>
          <w:highlight w:val="yellow"/>
        </w:rPr>
      </w:pPr>
      <w:r>
        <w:rPr>
          <w:noProof/>
        </w:rPr>
        <w:drawing>
          <wp:inline distT="0" distB="0" distL="0" distR="0" wp14:anchorId="19A43965" wp14:editId="067B7C02">
            <wp:extent cx="6188710" cy="3078480"/>
            <wp:effectExtent l="0" t="0" r="2540" b="7620"/>
            <wp:docPr id="1767570665" name="Chart 1" descr="Figure 8 is a bar graph showcasing the volume of total funding received by region. The x-axis lists regions including London, Scotland, North West, Northern Ireland, South East, Wales, South West, Yorkshire and the Humber, East of England, North East, West Midlands, and East Midlands. The y-axis measures percentages from 0% to 30%.&#10;&#10;London leads with 25.3% of the funding, followed by Scotland at 17.8% and North West at 16.5%. Northern Ireland at 7.8%,  South East at 7.3%, Wales has 5.8%, South West stands at 5.2%, Yorkshire and the Humber at 3.4%, East of England at 3.2%, North East at 2.9%, West Midlands at 2.8%, and East Midlands at 2.1%.">
              <a:extLst xmlns:a="http://schemas.openxmlformats.org/drawingml/2006/main">
                <a:ext uri="{FF2B5EF4-FFF2-40B4-BE49-F238E27FC236}">
                  <a16:creationId xmlns:a16="http://schemas.microsoft.com/office/drawing/2014/main" id="{7B025DFE-B402-4A03-A67B-3B51E6917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750025" w:rsidRPr="003F610D">
        <w:rPr>
          <w:i/>
          <w:color w:val="555674"/>
          <w:szCs w:val="18"/>
        </w:rPr>
        <w:t>Source: British Business Bank RAP MI data</w:t>
      </w:r>
    </w:p>
    <w:p w14:paraId="49BFFC68" w14:textId="4BF24C61" w:rsidR="005B6F3D" w:rsidRDefault="005B6F3D" w:rsidP="005B6F3D">
      <w:r>
        <w:t>Although London does not have the same overwhelming majority in the total volume of RAP funding received (2</w:t>
      </w:r>
      <w:r w:rsidR="00170745">
        <w:t>5.3</w:t>
      </w:r>
      <w:r>
        <w:t>%), it continues to play a significant role, reinforcing its status as a primary investment destination.</w:t>
      </w:r>
    </w:p>
    <w:p w14:paraId="654301B0" w14:textId="3B259E6A" w:rsidR="005B6F3D" w:rsidRDefault="005B6F3D" w:rsidP="005B6F3D">
      <w:r>
        <w:t xml:space="preserve">Scotland and the </w:t>
      </w:r>
      <w:proofErr w:type="gramStart"/>
      <w:r>
        <w:t>North West</w:t>
      </w:r>
      <w:proofErr w:type="gramEnd"/>
      <w:r>
        <w:t xml:space="preserve"> show a strong presence with 17.8% and 1</w:t>
      </w:r>
      <w:r w:rsidR="00170745">
        <w:t>6.5</w:t>
      </w:r>
      <w:r>
        <w:t xml:space="preserve">% of the total funding volume, respectively. This highlights the regions as growing </w:t>
      </w:r>
      <w:r w:rsidR="00750025">
        <w:t>centres</w:t>
      </w:r>
      <w:r w:rsidR="00750025" w:rsidDel="00750025">
        <w:t xml:space="preserve"> </w:t>
      </w:r>
      <w:r>
        <w:t>for investment and business development.</w:t>
      </w:r>
    </w:p>
    <w:p w14:paraId="1E06B19D" w14:textId="4ED87691" w:rsidR="006E49A8" w:rsidRDefault="005B6F3D" w:rsidP="005B6F3D">
      <w:r>
        <w:t xml:space="preserve">The uneven distribution, particularly the low percentages in regions like the </w:t>
      </w:r>
      <w:r w:rsidR="00750025">
        <w:t xml:space="preserve">East of England </w:t>
      </w:r>
      <w:r>
        <w:t>(3.</w:t>
      </w:r>
      <w:r w:rsidR="00170745">
        <w:t>2</w:t>
      </w:r>
      <w:r>
        <w:t>%),</w:t>
      </w:r>
      <w:r w:rsidR="00170745">
        <w:t xml:space="preserve"> the </w:t>
      </w:r>
      <w:proofErr w:type="gramStart"/>
      <w:r w:rsidR="00170745">
        <w:t>North East</w:t>
      </w:r>
      <w:proofErr w:type="gramEnd"/>
      <w:r w:rsidR="00170745">
        <w:t xml:space="preserve"> (2.9%), and the Midlands,</w:t>
      </w:r>
      <w:r>
        <w:t xml:space="preserve"> highlight disparities in opportunities and the importance of examining regional strategies to boost investment in lagging areas.</w:t>
      </w:r>
    </w:p>
    <w:p w14:paraId="58E05AA4" w14:textId="77777777" w:rsidR="00B0108F" w:rsidRDefault="00B0108F" w:rsidP="005B6F3D"/>
    <w:p w14:paraId="6C318B46" w14:textId="77777777" w:rsidR="00B0108F" w:rsidRDefault="00B0108F" w:rsidP="005B6F3D"/>
    <w:p w14:paraId="580EC383" w14:textId="77777777" w:rsidR="00B0108F" w:rsidRDefault="00B0108F" w:rsidP="005B6F3D"/>
    <w:p w14:paraId="62076AA1" w14:textId="77777777" w:rsidR="00B0108F" w:rsidRDefault="00B0108F" w:rsidP="005B6F3D"/>
    <w:p w14:paraId="26E286E6" w14:textId="77777777" w:rsidR="000807E0" w:rsidRDefault="000807E0" w:rsidP="791041EF">
      <w:pPr>
        <w:pStyle w:val="Caption"/>
      </w:pPr>
    </w:p>
    <w:p w14:paraId="63D4C203" w14:textId="22C57F5B" w:rsidR="006E49A8" w:rsidRPr="0087177A" w:rsidRDefault="006E49A8" w:rsidP="791041EF">
      <w:pPr>
        <w:pStyle w:val="Caption"/>
      </w:pPr>
      <w:r w:rsidRPr="0087177A">
        <w:lastRenderedPageBreak/>
        <w:t xml:space="preserve">Figure </w:t>
      </w:r>
      <w:r w:rsidRPr="0087177A">
        <w:fldChar w:fldCharType="begin"/>
      </w:r>
      <w:r w:rsidRPr="0087177A">
        <w:instrText>SEQ Figure \* ARABIC</w:instrText>
      </w:r>
      <w:r w:rsidRPr="0087177A">
        <w:fldChar w:fldCharType="separate"/>
      </w:r>
      <w:r w:rsidR="00BC412E">
        <w:rPr>
          <w:noProof/>
        </w:rPr>
        <w:t>9</w:t>
      </w:r>
      <w:r w:rsidRPr="0087177A">
        <w:fldChar w:fldCharType="end"/>
      </w:r>
      <w:r w:rsidRPr="0087177A">
        <w:t xml:space="preserve">: </w:t>
      </w:r>
      <w:r w:rsidR="004D35FA" w:rsidRPr="0087177A">
        <w:t>Percentage</w:t>
      </w:r>
      <w:r w:rsidR="00B3191D" w:rsidRPr="0087177A">
        <w:t xml:space="preserve"> of </w:t>
      </w:r>
      <w:r w:rsidR="004D35FA" w:rsidRPr="0087177A">
        <w:t xml:space="preserve">value of </w:t>
      </w:r>
      <w:r w:rsidR="00B3191D" w:rsidRPr="0087177A">
        <w:t>BBI</w:t>
      </w:r>
      <w:r w:rsidR="004D35FA" w:rsidRPr="0087177A">
        <w:t xml:space="preserve"> only</w:t>
      </w:r>
      <w:r w:rsidR="00B3191D" w:rsidRPr="0087177A">
        <w:t xml:space="preserve"> funding deals </w:t>
      </w:r>
      <w:r w:rsidR="004D35FA" w:rsidRPr="0087177A">
        <w:t>by region</w:t>
      </w:r>
      <w:r w:rsidR="00B3191D" w:rsidRPr="0087177A">
        <w:t xml:space="preserve"> </w:t>
      </w:r>
      <w:r w:rsidRPr="0087177A">
        <w:t>(Number of deals = 497)</w:t>
      </w:r>
    </w:p>
    <w:p w14:paraId="656E5ED9" w14:textId="67FEE3F8" w:rsidR="00E338AE" w:rsidRPr="0087177A" w:rsidRDefault="005C5594" w:rsidP="0087177A">
      <w:pPr>
        <w:pStyle w:val="Caption"/>
        <w:rPr>
          <w:i/>
        </w:rPr>
      </w:pPr>
      <w:r>
        <w:rPr>
          <w:iCs w:val="0"/>
          <w:noProof/>
        </w:rPr>
        <w:drawing>
          <wp:inline distT="0" distB="0" distL="0" distR="0" wp14:anchorId="13F967ED" wp14:editId="2DE5E66E">
            <wp:extent cx="6188710" cy="2676525"/>
            <wp:effectExtent l="0" t="0" r="2540" b="0"/>
            <wp:docPr id="627106315" name="Chart 1" descr="Figure 9 is a bar graph illustrating the volume of BBI funding received by each region as a percentage of total BBI only funding. The x-axis lists regions such as London, Scotland, North West, Northern Ireland, South East, South West, Wales, Yorkshire and the Humber, East of England, North East, West Midlands, and East Midlands. The y-axis presents percentages ranging from 0% to 25%.&#10;&#10;London leads with 21.3% of the funding. Scotland follows at 17.0%, North West at 15.6%, and Northern Ireland at 12.4%. The South East region holds 6.5%, South West at 6.2%, Wales with 4.7%, Yorkshire and the Humber at 4.6%, East of England at 3.4%, North East at 3.0%, West Midlands at 2.8%, and East Midlands concluding at 2.5%.&#10;">
              <a:extLst xmlns:a="http://schemas.openxmlformats.org/drawingml/2006/main">
                <a:ext uri="{FF2B5EF4-FFF2-40B4-BE49-F238E27FC236}">
                  <a16:creationId xmlns:a16="http://schemas.microsoft.com/office/drawing/2014/main" id="{10AF087E-C96F-46CA-B14E-269657418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338AE" w:rsidRPr="0087177A">
        <w:rPr>
          <w:i/>
          <w:iCs w:val="0"/>
        </w:rPr>
        <w:t xml:space="preserve">Source: British Business Bank RAP MI </w:t>
      </w:r>
      <w:r w:rsidR="00B0108F" w:rsidRPr="0087177A">
        <w:rPr>
          <w:i/>
          <w:iCs w:val="0"/>
        </w:rPr>
        <w:t>data</w:t>
      </w:r>
    </w:p>
    <w:p w14:paraId="71A7755A" w14:textId="3B924B9D" w:rsidR="006E49A8" w:rsidRDefault="005B6F3D" w:rsidP="005B6F3D">
      <w:r>
        <w:t xml:space="preserve">Compared to the distribution of the combined </w:t>
      </w:r>
      <w:r w:rsidR="00B3191D">
        <w:t>p</w:t>
      </w:r>
      <w:r>
        <w:t xml:space="preserve">rivate and public sector funding, BBI </w:t>
      </w:r>
      <w:r w:rsidR="00B3191D">
        <w:t xml:space="preserve">only </w:t>
      </w:r>
      <w:r>
        <w:t>funding shows a more equitable distribution across regions. London's share is only 2</w:t>
      </w:r>
      <w:r w:rsidR="0025478D">
        <w:t>1.3</w:t>
      </w:r>
      <w:r>
        <w:t xml:space="preserve">%, with greater </w:t>
      </w:r>
      <w:r w:rsidR="000807E0">
        <w:t>relative</w:t>
      </w:r>
      <w:r>
        <w:t xml:space="preserve"> investment in other regions like Scotland (17.0%) and the </w:t>
      </w:r>
      <w:proofErr w:type="gramStart"/>
      <w:r>
        <w:t>North West</w:t>
      </w:r>
      <w:proofErr w:type="gramEnd"/>
      <w:r>
        <w:t xml:space="preserve"> (1</w:t>
      </w:r>
      <w:r w:rsidR="0025478D">
        <w:t>5</w:t>
      </w:r>
      <w:r>
        <w:t xml:space="preserve">.6%), although still dominates as the primary investment region. </w:t>
      </w:r>
      <w:r w:rsidR="00B15B57">
        <w:t xml:space="preserve">A caveat to consider is that the regional distribution of firms </w:t>
      </w:r>
      <w:r w:rsidR="00807BA0">
        <w:t>is</w:t>
      </w:r>
      <w:r w:rsidR="00B15B57">
        <w:t xml:space="preserve"> based on headquarter locations. </w:t>
      </w:r>
      <w:r>
        <w:t xml:space="preserve">For </w:t>
      </w:r>
      <w:r w:rsidR="00807BA0">
        <w:t>early-stage</w:t>
      </w:r>
      <w:r>
        <w:t xml:space="preserve"> firms especially this is usually not the location of </w:t>
      </w:r>
      <w:proofErr w:type="gramStart"/>
      <w:r>
        <w:t>a majority of</w:t>
      </w:r>
      <w:proofErr w:type="gramEnd"/>
      <w:r>
        <w:t xml:space="preserve"> business activity which could have been located in other regions across the country. With Northern Ireland receiving 12.4% and other regions such as the </w:t>
      </w:r>
      <w:proofErr w:type="gramStart"/>
      <w:r>
        <w:t>North East</w:t>
      </w:r>
      <w:proofErr w:type="gramEnd"/>
      <w:r>
        <w:t xml:space="preserve"> and South West also being represented, this indicates BBI’s commitment to fostering growth and innovation in areas that may have been traditionally underfunded. Despite these positive signs, some regions like the East Midlands and West Midlands still receive relatively low investment.</w:t>
      </w:r>
    </w:p>
    <w:p w14:paraId="5B3A2805" w14:textId="0B01D218" w:rsidR="005B6F3D" w:rsidRDefault="005B6F3D" w:rsidP="005B6F3D">
      <w:r>
        <w:t xml:space="preserve">The number of deals being made in London and the </w:t>
      </w:r>
      <w:proofErr w:type="gramStart"/>
      <w:r>
        <w:t>South East</w:t>
      </w:r>
      <w:proofErr w:type="gramEnd"/>
      <w:r>
        <w:t xml:space="preserve"> however is lower than the amount flowing to RAP funded firms based in those regions at just shy of 28%.</w:t>
      </w:r>
    </w:p>
    <w:p w14:paraId="65FA2787" w14:textId="77777777" w:rsidR="00B0108F" w:rsidRDefault="00B0108F" w:rsidP="005B6F3D"/>
    <w:p w14:paraId="3CE1CEB1" w14:textId="77777777" w:rsidR="004B1C7A" w:rsidRDefault="004B1C7A" w:rsidP="005B6F3D"/>
    <w:p w14:paraId="182F8460" w14:textId="77777777" w:rsidR="0087177A" w:rsidRDefault="0087177A" w:rsidP="005B6F3D"/>
    <w:p w14:paraId="165A8EA8" w14:textId="77777777" w:rsidR="000807E0" w:rsidRDefault="000807E0" w:rsidP="00807E9E">
      <w:pPr>
        <w:pStyle w:val="Caption"/>
      </w:pPr>
    </w:p>
    <w:p w14:paraId="25B7FC96" w14:textId="5D4560F4" w:rsidR="00807E9E" w:rsidRDefault="008041DE" w:rsidP="00807E9E">
      <w:pPr>
        <w:pStyle w:val="Caption"/>
        <w:rPr>
          <w:noProof/>
        </w:rPr>
      </w:pPr>
      <w:r>
        <w:lastRenderedPageBreak/>
        <w:t xml:space="preserve">Figure </w:t>
      </w:r>
      <w:r w:rsidR="00DA51D6">
        <w:fldChar w:fldCharType="begin"/>
      </w:r>
      <w:r w:rsidR="00DA51D6">
        <w:instrText>SEQ Figure \* ARABIC</w:instrText>
      </w:r>
      <w:r w:rsidR="00DA51D6">
        <w:fldChar w:fldCharType="separate"/>
      </w:r>
      <w:r w:rsidR="00BC412E">
        <w:rPr>
          <w:noProof/>
        </w:rPr>
        <w:t>10</w:t>
      </w:r>
      <w:r w:rsidR="00DA51D6">
        <w:fldChar w:fldCharType="end"/>
      </w:r>
      <w:r>
        <w:t>: Number of RAP funded firms by region (N = 372)</w:t>
      </w:r>
      <w:r w:rsidR="00727A36">
        <w:t xml:space="preserve"> (LHS) and value of</w:t>
      </w:r>
      <w:r w:rsidR="000D50B9">
        <w:t xml:space="preserve"> total</w:t>
      </w:r>
      <w:r w:rsidR="00727A36">
        <w:t xml:space="preserve"> investment by region in £</w:t>
      </w:r>
      <w:r w:rsidR="000D50B9">
        <w:t>m</w:t>
      </w:r>
      <w:r w:rsidR="00727A36">
        <w:t xml:space="preserve"> (RHS)</w:t>
      </w:r>
    </w:p>
    <w:p w14:paraId="7D08106C" w14:textId="10F73499" w:rsidR="008B54BF" w:rsidRPr="008B54BF" w:rsidRDefault="00807E9E" w:rsidP="00807E9E">
      <w:pPr>
        <w:pStyle w:val="Caption"/>
        <w:rPr>
          <w:highlight w:val="yellow"/>
        </w:rPr>
      </w:pPr>
      <w:r>
        <w:rPr>
          <w:noProof/>
        </w:rPr>
        <w:drawing>
          <wp:inline distT="0" distB="0" distL="0" distR="0" wp14:anchorId="76A9794B" wp14:editId="1A01BDC1">
            <wp:extent cx="6188710" cy="5066030"/>
            <wp:effectExtent l="0" t="0" r="0" b="0"/>
            <wp:docPr id="1983872890" name="Picture 1" descr="Figure 10 is a dual-map representation showcasing the distribution of RAP funded firms and their respective investment values by region.&#10;&#10;On the left-hand side (LHS):&#10;&#10;The map depicts the number of RAP funded firms across various regions in the UK.&#10;London stands out with the highest number, 123 firms.&#10;Northern Ireland follows with 46, North West has 38, Scotland with 29, South West with 27, East of England with 20, Wales at 16, West Midlands at 14, Yorkshire and the Humber with 13, North East at 9, and East Midlands with 7.&#10;  &#10;On the right-hand side (RHS):&#10;&#10;The map visualizes the value of total investment by region, indicated in £ million.&#10;London leads with £55.8m.&#10;Scotland gets £39.2m, North West is at £36.5m, Northern Ireland with £17.2m, South West at £16.1m, Wales with £12.8m, Yorkshire and the Humber at £7.4m, East of England at £7.2m, West Midlands with £6.2m, East Midlands with £4.7m, and North East with £6.4m.&#10;Both maps use shades of blue to represent the regions, with the labels indicating the specific values for ea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2890" name="Picture 1" descr="Figure 10 is a dual-map representation showcasing the distribution of RAP funded firms and their respective investment values by region.&#10;&#10;On the left-hand side (LHS):&#10;&#10;The map depicts the number of RAP funded firms across various regions in the UK.&#10;London stands out with the highest number, 123 firms.&#10;Northern Ireland follows with 46, North West has 38, Scotland with 29, South West with 27, East of England with 20, Wales at 16, West Midlands at 14, Yorkshire and the Humber with 13, North East at 9, and East Midlands with 7.&#10;  &#10;On the right-hand side (RHS):&#10;&#10;The map visualizes the value of total investment by region, indicated in £ million.&#10;London leads with £55.8m.&#10;Scotland gets £39.2m, North West is at £36.5m, Northern Ireland with £17.2m, South West at £16.1m, Wales with £12.8m, Yorkshire and the Humber at £7.4m, East of England at £7.2m, West Midlands with £6.2m, East Midlands with £4.7m, and North East with £6.4m.&#10;Both maps use shades of blue to represent the regions, with the labels indicating the specific values for each area."/>
                    <pic:cNvPicPr/>
                  </pic:nvPicPr>
                  <pic:blipFill>
                    <a:blip r:embed="rId46"/>
                    <a:stretch>
                      <a:fillRect/>
                    </a:stretch>
                  </pic:blipFill>
                  <pic:spPr>
                    <a:xfrm>
                      <a:off x="0" y="0"/>
                      <a:ext cx="6188710" cy="5066030"/>
                    </a:xfrm>
                    <a:prstGeom prst="rect">
                      <a:avLst/>
                    </a:prstGeom>
                  </pic:spPr>
                </pic:pic>
              </a:graphicData>
            </a:graphic>
          </wp:inline>
        </w:drawing>
      </w:r>
    </w:p>
    <w:p w14:paraId="472C55A1" w14:textId="30425292" w:rsidR="00D32821" w:rsidRPr="00D8407C" w:rsidRDefault="00D32821" w:rsidP="00C14B16">
      <w:pPr>
        <w:rPr>
          <w:i/>
          <w:iCs/>
        </w:rPr>
      </w:pPr>
      <w:r w:rsidRPr="003F610D">
        <w:rPr>
          <w:i/>
          <w:color w:val="555674"/>
          <w:szCs w:val="18"/>
        </w:rPr>
        <w:t xml:space="preserve">Source: </w:t>
      </w:r>
      <w:r w:rsidR="007F3CCA" w:rsidRPr="003F610D">
        <w:rPr>
          <w:i/>
          <w:color w:val="555674"/>
          <w:szCs w:val="18"/>
        </w:rPr>
        <w:t>British Business Bank</w:t>
      </w:r>
      <w:r w:rsidRPr="003F610D">
        <w:rPr>
          <w:i/>
          <w:color w:val="555674"/>
          <w:szCs w:val="18"/>
        </w:rPr>
        <w:t xml:space="preserve"> RAP MI Data</w:t>
      </w:r>
    </w:p>
    <w:p w14:paraId="1260302B" w14:textId="77777777" w:rsidR="005B6F3D" w:rsidRDefault="005B6F3D" w:rsidP="005B6F3D">
      <w:pPr>
        <w:pStyle w:val="Heading2"/>
      </w:pPr>
      <w:bookmarkStart w:id="133" w:name="_Toc144830569"/>
      <w:bookmarkStart w:id="134" w:name="_Toc165482232"/>
      <w:bookmarkStart w:id="135" w:name="_Toc165497196"/>
      <w:r>
        <w:t xml:space="preserve">7.4 </w:t>
      </w:r>
      <w:r w:rsidRPr="00D32821">
        <w:t xml:space="preserve">RAP funded </w:t>
      </w:r>
      <w:r>
        <w:t>firms</w:t>
      </w:r>
      <w:r w:rsidRPr="00D32821">
        <w:t xml:space="preserve"> </w:t>
      </w:r>
      <w:r>
        <w:t>are</w:t>
      </w:r>
      <w:r w:rsidRPr="00D32821">
        <w:t xml:space="preserve"> concentrated in </w:t>
      </w:r>
      <w:r>
        <w:t xml:space="preserve">high growth </w:t>
      </w:r>
      <w:proofErr w:type="gramStart"/>
      <w:r>
        <w:t>industries</w:t>
      </w:r>
      <w:bookmarkEnd w:id="133"/>
      <w:bookmarkEnd w:id="134"/>
      <w:bookmarkEnd w:id="135"/>
      <w:proofErr w:type="gramEnd"/>
      <w:r>
        <w:t xml:space="preserve"> </w:t>
      </w:r>
    </w:p>
    <w:p w14:paraId="0F24A788" w14:textId="2E1DE5F0" w:rsidR="005B6F3D" w:rsidRDefault="605F4288" w:rsidP="005B6F3D">
      <w:r>
        <w:t>Close to half of the firms funded by RAP are active in the “Information and Communication</w:t>
      </w:r>
      <w:r w:rsidR="005B6F3D">
        <w:rPr>
          <w:rStyle w:val="FootnoteReference"/>
        </w:rPr>
        <w:footnoteReference w:id="45"/>
      </w:r>
      <w:r>
        <w:t>” sector. 10% are active in “manufacturing” and close to 7% are active in “Wholesale and Retail”. ONS data suggests that these industries are among those that made the biggest contribution to productivity growth relative to the 2019 average</w:t>
      </w:r>
      <w:r w:rsidR="005B6F3D" w:rsidRPr="005B2E3E">
        <w:rPr>
          <w:rStyle w:val="FootnoteReference"/>
        </w:rPr>
        <w:footnoteReference w:id="46"/>
      </w:r>
      <w:r>
        <w:t>.</w:t>
      </w:r>
      <w:r w:rsidRPr="00D8407C">
        <w:rPr>
          <w:vertAlign w:val="superscript"/>
        </w:rPr>
        <w:t xml:space="preserve"> </w:t>
      </w:r>
      <w:r>
        <w:t xml:space="preserve"> 2</w:t>
      </w:r>
      <w:r w:rsidRPr="005B2E3E">
        <w:t xml:space="preserve">2% </w:t>
      </w:r>
      <w:r>
        <w:t xml:space="preserve">of RAP funded firms are classified within the “professional, scientific and technical activities” </w:t>
      </w:r>
      <w:r>
        <w:lastRenderedPageBreak/>
        <w:t xml:space="preserve">sector, which represents a significant portion of the RAP investment going towards firms based in sector that requires a higher intensity of research and innovation. This will lead onto the development of new products or more efficient processes that improve productivity, </w:t>
      </w:r>
      <w:proofErr w:type="gramStart"/>
      <w:r>
        <w:t>open up</w:t>
      </w:r>
      <w:proofErr w:type="gramEnd"/>
      <w:r>
        <w:t xml:space="preserve"> new markets, and potentially create new jobs.</w:t>
      </w:r>
    </w:p>
    <w:p w14:paraId="0C3BD1F1" w14:textId="77777777" w:rsidR="005B6F3D" w:rsidRDefault="005B6F3D" w:rsidP="005B6F3D">
      <w:r>
        <w:t xml:space="preserve">For example, firms in this sector often invest heavily in R&amp;D, which can lead to technological advancements that have far-reaching impacts. The knowledge and skills developed by employees within these firms can spill over into other areas of the economy, fostering a culture of innovation that benefits across a wide range of industries. </w:t>
      </w:r>
    </w:p>
    <w:p w14:paraId="6DF1D39A" w14:textId="77777777" w:rsidR="005B6F3D" w:rsidRDefault="005B6F3D" w:rsidP="005B6F3D">
      <w:r>
        <w:t xml:space="preserve">However, it should be noted that while investment in this sector has the potential to drive economic growth through productivity enhancements, the exact impact can be influenced by </w:t>
      </w:r>
      <w:proofErr w:type="gramStart"/>
      <w:r>
        <w:t>a number of</w:t>
      </w:r>
      <w:proofErr w:type="gramEnd"/>
      <w:r>
        <w:t xml:space="preserve"> factors, including the broader economic climate, regulatory environment, and the specific strategies adopted by the firms. Further research would be needed to quantify the precise impact of this investment on the wider economy. </w:t>
      </w:r>
    </w:p>
    <w:p w14:paraId="303D8B88" w14:textId="218B1121" w:rsidR="00E338AE" w:rsidRDefault="005B6F3D" w:rsidP="005B6F3D">
      <w:r>
        <w:t>The proportion of funded firms with a focus on R&amp;D increased from 5% in 2019 (9 from 182) to 23% in 2022 (59 from 257). This change suggests that RAP could have helped firms become more R&amp;D focussed – given the nature of early-stage ventures is R&amp;D intensive.</w:t>
      </w:r>
    </w:p>
    <w:p w14:paraId="2966C1B4" w14:textId="0E8D1F87" w:rsidR="00D32821" w:rsidRDefault="00D32821" w:rsidP="00DC2ED4">
      <w:pPr>
        <w:pStyle w:val="Caption"/>
      </w:pPr>
      <w:r>
        <w:t xml:space="preserve">Figure </w:t>
      </w:r>
      <w:r>
        <w:fldChar w:fldCharType="begin"/>
      </w:r>
      <w:r>
        <w:instrText>SEQ Figure \* ARABIC</w:instrText>
      </w:r>
      <w:r>
        <w:fldChar w:fldCharType="separate"/>
      </w:r>
      <w:r w:rsidR="00BC412E">
        <w:rPr>
          <w:noProof/>
        </w:rPr>
        <w:t>11</w:t>
      </w:r>
      <w:r>
        <w:fldChar w:fldCharType="end"/>
      </w:r>
      <w:r w:rsidR="00CF05F6">
        <w:t>:</w:t>
      </w:r>
      <w:r>
        <w:t xml:space="preserve"> Allocation of RAP funding by sector (N</w:t>
      </w:r>
      <w:r w:rsidR="00120FEE">
        <w:t xml:space="preserve"> </w:t>
      </w:r>
      <w:r>
        <w:t>=</w:t>
      </w:r>
      <w:r w:rsidR="00120FEE">
        <w:t xml:space="preserve"> </w:t>
      </w:r>
      <w:r>
        <w:t>350)</w:t>
      </w:r>
    </w:p>
    <w:p w14:paraId="6306EE3D" w14:textId="04804E0A" w:rsidR="00C14B16" w:rsidRDefault="00074E00" w:rsidP="005C7FE3">
      <w:pPr>
        <w:spacing w:after="0" w:line="240" w:lineRule="auto"/>
        <w:jc w:val="center"/>
      </w:pPr>
      <w:r>
        <w:rPr>
          <w:noProof/>
        </w:rPr>
        <w:drawing>
          <wp:inline distT="0" distB="0" distL="0" distR="0" wp14:anchorId="493E7793" wp14:editId="412347A4">
            <wp:extent cx="5572125" cy="2074825"/>
            <wp:effectExtent l="0" t="0" r="0" b="1905"/>
            <wp:docPr id="23" name="Picture 23" descr="Figure 11 is a horizontal bar graph illustrating the allocation of RAP funding across different sectors, based on 350 instances.&#10;&#10;The x-axis represents percentages, ranging from 0% to 50%. The y-axis lists various sectors. Each sector has an associated bar indicating the percentage of funding it received.&#10;&#10;&quot;Information and communication&quot; has the highest allocation at 46.6%.&#10;&quot;Professional, scientific and technical activities&quot; follows with 22.0%.&#10;&quot;Manufacturing&quot; is at 10.3%.&#10;&quot;Wholesale and retail trade / repair of motor vehicles and motorcycles&quot; is allocated 6.6%.&#10;&quot;Administrative and support service activities&quot; stands at 3.4%.&#10;&quot;Other service activities&quot; and &quot;Human health and social work activities&quot; both receive 2.3%.&#10;&quot;Financial and insurance activities&quot; gets 1.7%.&#10;&quot;Accommodation and food service activities&quot; and &quot;Transportation and storage&quot; each have 1.1%.&#10;&quot;Education&quot;, &quot;Real estate activities&quot;, &quot;Construction&quot;, and &quot;Water supply, sewerage, waste management and remediation activities&quot; all are allocated 0.6%.&#10;Lastly, &quot;Mining and quarrying&quot; has the lowest share with 0.3%.&#10;The bars are coloured in shades of blue, with longer bars indicating a higher percentage of 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1 is a horizontal bar graph illustrating the allocation of RAP funding across different sectors, based on 350 instances.&#10;&#10;The x-axis represents percentages, ranging from 0% to 50%. The y-axis lists various sectors. Each sector has an associated bar indicating the percentage of funding it received.&#10;&#10;&quot;Information and communication&quot; has the highest allocation at 46.6%.&#10;&quot;Professional, scientific and technical activities&quot; follows with 22.0%.&#10;&quot;Manufacturing&quot; is at 10.3%.&#10;&quot;Wholesale and retail trade / repair of motor vehicles and motorcycles&quot; is allocated 6.6%.&#10;&quot;Administrative and support service activities&quot; stands at 3.4%.&#10;&quot;Other service activities&quot; and &quot;Human health and social work activities&quot; both receive 2.3%.&#10;&quot;Financial and insurance activities&quot; gets 1.7%.&#10;&quot;Accommodation and food service activities&quot; and &quot;Transportation and storage&quot; each have 1.1%.&#10;&quot;Education&quot;, &quot;Real estate activities&quot;, &quot;Construction&quot;, and &quot;Water supply, sewerage, waste management and remediation activities&quot; all are allocated 0.6%.&#10;Lastly, &quot;Mining and quarrying&quot; has the lowest share with 0.3%.&#10;The bars are coloured in shades of blue, with longer bars indicating a higher percentage of funding allocation."/>
                    <pic:cNvPicPr/>
                  </pic:nvPicPr>
                  <pic:blipFill>
                    <a:blip r:embed="rId47">
                      <a:extLst>
                        <a:ext uri="{28A0092B-C50C-407E-A947-70E740481C1C}">
                          <a14:useLocalDpi xmlns:a14="http://schemas.microsoft.com/office/drawing/2010/main" val="0"/>
                        </a:ext>
                      </a:extLst>
                    </a:blip>
                    <a:stretch>
                      <a:fillRect/>
                    </a:stretch>
                  </pic:blipFill>
                  <pic:spPr>
                    <a:xfrm>
                      <a:off x="0" y="0"/>
                      <a:ext cx="5590639" cy="2081719"/>
                    </a:xfrm>
                    <a:prstGeom prst="rect">
                      <a:avLst/>
                    </a:prstGeom>
                  </pic:spPr>
                </pic:pic>
              </a:graphicData>
            </a:graphic>
          </wp:inline>
        </w:drawing>
      </w:r>
    </w:p>
    <w:p w14:paraId="4B3F0407" w14:textId="66460F46" w:rsidR="00D32821" w:rsidRDefault="00D32821" w:rsidP="00D8407C">
      <w:pPr>
        <w:spacing w:line="240" w:lineRule="auto"/>
        <w:rPr>
          <w:i/>
          <w:color w:val="555674"/>
          <w:szCs w:val="18"/>
        </w:rPr>
      </w:pPr>
      <w:r w:rsidRPr="00D8407C">
        <w:rPr>
          <w:i/>
          <w:color w:val="555674"/>
          <w:szCs w:val="18"/>
        </w:rPr>
        <w:t xml:space="preserve">Source: </w:t>
      </w:r>
      <w:proofErr w:type="spellStart"/>
      <w:r w:rsidRPr="00D8407C">
        <w:rPr>
          <w:i/>
          <w:color w:val="555674"/>
          <w:szCs w:val="18"/>
        </w:rPr>
        <w:t>Beauhurst</w:t>
      </w:r>
      <w:proofErr w:type="spellEnd"/>
    </w:p>
    <w:p w14:paraId="1483BB52" w14:textId="137EBA40" w:rsidR="00FF147D" w:rsidRPr="00FF147D" w:rsidRDefault="00C54695" w:rsidP="00F170C8">
      <w:pPr>
        <w:pStyle w:val="Heading2"/>
      </w:pPr>
      <w:bookmarkStart w:id="136" w:name="_Toc165482233"/>
      <w:bookmarkStart w:id="137" w:name="_Toc165497197"/>
      <w:r>
        <w:t>7.5 Recipient firms’ growth stage</w:t>
      </w:r>
      <w:bookmarkEnd w:id="136"/>
      <w:bookmarkEnd w:id="137"/>
    </w:p>
    <w:p w14:paraId="14DB91D7" w14:textId="6288E641" w:rsidR="0095082D" w:rsidRDefault="005B6F3D" w:rsidP="00C54695">
      <w:r>
        <w:t xml:space="preserve">When viewed through the lens of growth </w:t>
      </w:r>
      <w:r w:rsidR="00750025">
        <w:t xml:space="preserve">stage, close </w:t>
      </w:r>
      <w:r>
        <w:t xml:space="preserve">to half (45%) of the firms that received funding could be considered ‘start-ups’, meaning they were in the early stages of </w:t>
      </w:r>
      <w:r>
        <w:lastRenderedPageBreak/>
        <w:t xml:space="preserve">developing their businesses and products. Just over a third (32%) were slightly further along, being in the ‘early stage’ of growth, while around </w:t>
      </w:r>
      <w:r w:rsidRPr="00A8627B">
        <w:t>10%</w:t>
      </w:r>
      <w:r>
        <w:t xml:space="preserve"> were seeking expansion or growth capital. These business stages of investment were self-identified by the firms in the reporting requirement to their respective delivery partners within the MI data.</w:t>
      </w:r>
    </w:p>
    <w:p w14:paraId="0F3696FD" w14:textId="5A159993" w:rsidR="0095082D" w:rsidRPr="00BA728C" w:rsidRDefault="00F121B7" w:rsidP="00EC11FB">
      <w:pPr>
        <w:pStyle w:val="Caption"/>
        <w:rPr>
          <w:i/>
        </w:rPr>
      </w:pPr>
      <w:r>
        <w:t xml:space="preserve">Figure </w:t>
      </w:r>
      <w:r>
        <w:fldChar w:fldCharType="begin"/>
      </w:r>
      <w:r>
        <w:instrText>SEQ Figure \* ARABIC</w:instrText>
      </w:r>
      <w:r>
        <w:fldChar w:fldCharType="separate"/>
      </w:r>
      <w:r w:rsidR="00BC412E">
        <w:rPr>
          <w:noProof/>
        </w:rPr>
        <w:t>12</w:t>
      </w:r>
      <w:r>
        <w:fldChar w:fldCharType="end"/>
      </w:r>
      <w:r w:rsidR="00CF05F6">
        <w:t>:</w:t>
      </w:r>
      <w:r>
        <w:t xml:space="preserve"> </w:t>
      </w:r>
      <w:r w:rsidR="0095082D">
        <w:t xml:space="preserve">Number of RAP funded firms by </w:t>
      </w:r>
      <w:r w:rsidR="00690A66">
        <w:t>i</w:t>
      </w:r>
      <w:r w:rsidR="0095082D">
        <w:t xml:space="preserve">nvestment </w:t>
      </w:r>
      <w:r w:rsidR="00690A66">
        <w:t>s</w:t>
      </w:r>
      <w:r w:rsidR="0095082D">
        <w:t>tage</w:t>
      </w:r>
      <w:r w:rsidR="008472EE">
        <w:t xml:space="preserve"> (N</w:t>
      </w:r>
      <w:r w:rsidR="00120FEE">
        <w:t xml:space="preserve"> </w:t>
      </w:r>
      <w:r w:rsidR="008472EE">
        <w:t>= 372)</w:t>
      </w:r>
    </w:p>
    <w:p w14:paraId="02EB378F" w14:textId="21E1D36D" w:rsidR="00EC11FB" w:rsidRDefault="00911E06" w:rsidP="000A4CA2">
      <w:pPr>
        <w:jc w:val="center"/>
        <w:rPr>
          <w:noProof/>
        </w:rPr>
      </w:pPr>
      <w:r>
        <w:rPr>
          <w:noProof/>
        </w:rPr>
        <w:drawing>
          <wp:inline distT="0" distB="0" distL="0" distR="0" wp14:anchorId="6F78D3F6" wp14:editId="2479BB5E">
            <wp:extent cx="2997354" cy="1714588"/>
            <wp:effectExtent l="0" t="0" r="0" b="0"/>
            <wp:docPr id="14" name="Picture 14" descr="Figure 12 is a horizontal bar graph depicting the number of RAP funded firms categorised by their investment stage, based on 372 instances.&#10;&#10;The x-axis ranges from 0 to 180, representing the number of firms. The y-axis lists various investment stages. Each stage has a corresponding bar and number that indicates the count of firms in that particular stage.&#10;&#10;&quot;Start-up&quot; is the leading category with 171 firms.&#10;&quot;Early Stage&quot; follows with 120 firms.&#10;&quot;Expansion/Growth Capital&quot; has 36 firms.&#10;&quot;Later Stage VC&quot; represents 24 firms.&#10;&quot;Seed&quot; stage includes 20 firms.&#10;&quot;Bridge Financing&quot; has the smallest count, with only 1 firm.&#10;The bars are coloured in shades of blue, with the length of the bar indicating the number of firms in each investment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2 is a horizontal bar graph depicting the number of RAP funded firms categorised by their investment stage, based on 372 instances.&#10;&#10;The x-axis ranges from 0 to 180, representing the number of firms. The y-axis lists various investment stages. Each stage has a corresponding bar and number that indicates the count of firms in that particular stage.&#10;&#10;&quot;Start-up&quot; is the leading category with 171 firms.&#10;&quot;Early Stage&quot; follows with 120 firms.&#10;&quot;Expansion/Growth Capital&quot; has 36 firms.&#10;&quot;Later Stage VC&quot; represents 24 firms.&#10;&quot;Seed&quot; stage includes 20 firms.&#10;&quot;Bridge Financing&quot; has the smallest count, with only 1 firm.&#10;The bars are coloured in shades of blue, with the length of the bar indicating the number of firms in each investment stage."/>
                    <pic:cNvPicPr/>
                  </pic:nvPicPr>
                  <pic:blipFill>
                    <a:blip r:embed="rId48">
                      <a:extLst>
                        <a:ext uri="{28A0092B-C50C-407E-A947-70E740481C1C}">
                          <a14:useLocalDpi xmlns:a14="http://schemas.microsoft.com/office/drawing/2010/main" val="0"/>
                        </a:ext>
                      </a:extLst>
                    </a:blip>
                    <a:stretch>
                      <a:fillRect/>
                    </a:stretch>
                  </pic:blipFill>
                  <pic:spPr>
                    <a:xfrm>
                      <a:off x="0" y="0"/>
                      <a:ext cx="2997354" cy="1714588"/>
                    </a:xfrm>
                    <a:prstGeom prst="rect">
                      <a:avLst/>
                    </a:prstGeom>
                  </pic:spPr>
                </pic:pic>
              </a:graphicData>
            </a:graphic>
          </wp:inline>
        </w:drawing>
      </w:r>
    </w:p>
    <w:p w14:paraId="2AB69BFF" w14:textId="4E92E17A" w:rsidR="0095082D" w:rsidRDefault="008472EE">
      <w:pPr>
        <w:pStyle w:val="Caption"/>
        <w:rPr>
          <w:i/>
          <w:iCs w:val="0"/>
        </w:rPr>
      </w:pPr>
      <w:r w:rsidRPr="00D8407C">
        <w:rPr>
          <w:i/>
          <w:iCs w:val="0"/>
        </w:rPr>
        <w:t>Source: B</w:t>
      </w:r>
      <w:r w:rsidR="00715163">
        <w:rPr>
          <w:i/>
          <w:iCs w:val="0"/>
        </w:rPr>
        <w:t xml:space="preserve">ritish </w:t>
      </w:r>
      <w:r w:rsidRPr="00D8407C">
        <w:rPr>
          <w:i/>
          <w:iCs w:val="0"/>
        </w:rPr>
        <w:t>B</w:t>
      </w:r>
      <w:r w:rsidR="00715163">
        <w:rPr>
          <w:i/>
          <w:iCs w:val="0"/>
        </w:rPr>
        <w:t xml:space="preserve">usiness </w:t>
      </w:r>
      <w:r w:rsidRPr="00D8407C">
        <w:rPr>
          <w:i/>
          <w:iCs w:val="0"/>
        </w:rPr>
        <w:t>B</w:t>
      </w:r>
      <w:r w:rsidR="00715163">
        <w:rPr>
          <w:i/>
          <w:iCs w:val="0"/>
        </w:rPr>
        <w:t>ank</w:t>
      </w:r>
      <w:r w:rsidRPr="00D8407C">
        <w:rPr>
          <w:i/>
          <w:iCs w:val="0"/>
        </w:rPr>
        <w:t xml:space="preserve"> R</w:t>
      </w:r>
      <w:r w:rsidR="00715163">
        <w:rPr>
          <w:i/>
          <w:iCs w:val="0"/>
        </w:rPr>
        <w:t xml:space="preserve">egional </w:t>
      </w:r>
      <w:r w:rsidRPr="00D8407C">
        <w:rPr>
          <w:i/>
          <w:iCs w:val="0"/>
        </w:rPr>
        <w:t>A</w:t>
      </w:r>
      <w:r w:rsidR="00715163">
        <w:rPr>
          <w:i/>
          <w:iCs w:val="0"/>
        </w:rPr>
        <w:t xml:space="preserve">ngels </w:t>
      </w:r>
      <w:r w:rsidRPr="00D8407C">
        <w:rPr>
          <w:i/>
          <w:iCs w:val="0"/>
        </w:rPr>
        <w:t>P</w:t>
      </w:r>
      <w:r w:rsidR="00715163">
        <w:rPr>
          <w:i/>
          <w:iCs w:val="0"/>
        </w:rPr>
        <w:t>rogramme</w:t>
      </w:r>
      <w:r w:rsidRPr="00D8407C">
        <w:rPr>
          <w:i/>
          <w:iCs w:val="0"/>
        </w:rPr>
        <w:t xml:space="preserve"> MI data</w:t>
      </w:r>
    </w:p>
    <w:p w14:paraId="6430A64B" w14:textId="5D442037" w:rsidR="00B0108F" w:rsidRDefault="005B6F3D" w:rsidP="00CB71BF">
      <w:r>
        <w:t>Contrasting to the MI data above an analysis of average years of incorporation has shown that at the start of 2020, the firms that received RAP funding had been in operation for an average of 5 and a half years, with the median of 4 and a half years. Some companies had only been formally launched months before receiving RAP funding, while others had been established as far back as 23 years prior.</w:t>
      </w:r>
    </w:p>
    <w:p w14:paraId="7533FB4E" w14:textId="77777777" w:rsidR="000807E0" w:rsidRDefault="000807E0" w:rsidP="00CB71BF"/>
    <w:p w14:paraId="453966D5" w14:textId="77777777" w:rsidR="000807E0" w:rsidRDefault="000807E0" w:rsidP="00CB71BF"/>
    <w:p w14:paraId="57FA546E" w14:textId="77777777" w:rsidR="000807E0" w:rsidRDefault="000807E0" w:rsidP="00CB71BF"/>
    <w:p w14:paraId="2B9ACB90" w14:textId="77777777" w:rsidR="000807E0" w:rsidRDefault="000807E0" w:rsidP="00CB71BF"/>
    <w:p w14:paraId="1A3724CB" w14:textId="77777777" w:rsidR="000807E0" w:rsidRDefault="000807E0" w:rsidP="00CB71BF"/>
    <w:p w14:paraId="105E6040" w14:textId="77777777" w:rsidR="000807E0" w:rsidRDefault="000807E0" w:rsidP="00CB71BF"/>
    <w:p w14:paraId="2E28B886" w14:textId="77777777" w:rsidR="005B6F3D" w:rsidRPr="00AD2066" w:rsidRDefault="005B6F3D" w:rsidP="005B6F3D">
      <w:pPr>
        <w:pStyle w:val="Heading1"/>
      </w:pPr>
      <w:bookmarkStart w:id="138" w:name="_Toc144830571"/>
      <w:bookmarkStart w:id="139" w:name="_Toc165482234"/>
      <w:bookmarkStart w:id="140" w:name="_Toc165497198"/>
      <w:r>
        <w:lastRenderedPageBreak/>
        <w:t>8. RAP early performance assessment</w:t>
      </w:r>
      <w:bookmarkEnd w:id="138"/>
      <w:bookmarkEnd w:id="139"/>
      <w:bookmarkEnd w:id="140"/>
    </w:p>
    <w:p w14:paraId="6B3BC0D2" w14:textId="611EFE0B" w:rsidR="005B6F3D" w:rsidRPr="00F47D36" w:rsidRDefault="005B6F3D" w:rsidP="005B6F3D">
      <w:r>
        <w:t xml:space="preserve">The following results within this section provide an indication of the business performance of RAP funded firms compared to a match counterfactual. It must be noted that due to the early stage, post financing, the results are still too early to have fully fed through to the full business performance. We have used the earliest cohort only </w:t>
      </w:r>
      <w:r w:rsidR="005E1C72">
        <w:t xml:space="preserve">using data over 2020 and 2021 </w:t>
      </w:r>
      <w:r w:rsidRPr="000D3E0A">
        <w:t>as</w:t>
      </w:r>
      <w:r w:rsidRPr="00B93EC4">
        <w:t xml:space="preserve"> these RAP funded firms would have</w:t>
      </w:r>
      <w:r w:rsidRPr="00CC6282">
        <w:t xml:space="preserve"> </w:t>
      </w:r>
      <w:r w:rsidRPr="000D3E0A">
        <w:t>been the only firms to have</w:t>
      </w:r>
      <w:r w:rsidRPr="00B93EC4">
        <w:t xml:space="preserve"> experienced one full year post</w:t>
      </w:r>
      <w:r w:rsidRPr="00CC6282">
        <w:t xml:space="preserve"> </w:t>
      </w:r>
      <w:r w:rsidRPr="000D3E0A">
        <w:t>RAP</w:t>
      </w:r>
      <w:r w:rsidRPr="00B93EC4">
        <w:t xml:space="preserve"> financing.</w:t>
      </w:r>
      <w:r>
        <w:t xml:space="preserve"> Cohorts beyond this period may be mixed with some still receiving RAP funding. This assessment has been undertaken to provide indicative insights into the RAP funded firm performance and lay the foundations for future evaluations where a greater number of data points are available post-financing. These findings themselves are not sufficient to judge the overall success of the programme.  </w:t>
      </w:r>
    </w:p>
    <w:p w14:paraId="6E6137D1" w14:textId="77777777" w:rsidR="005B6F3D" w:rsidRDefault="005B6F3D" w:rsidP="005B6F3D">
      <w:pPr>
        <w:pStyle w:val="Heading2"/>
      </w:pPr>
      <w:bookmarkStart w:id="141" w:name="_Toc144830572"/>
      <w:bookmarkStart w:id="142" w:name="_Toc165482235"/>
      <w:bookmarkStart w:id="143" w:name="_Toc165497199"/>
      <w:r>
        <w:t>8.1 Key Findings</w:t>
      </w:r>
      <w:bookmarkEnd w:id="141"/>
      <w:bookmarkEnd w:id="142"/>
      <w:bookmarkEnd w:id="143"/>
    </w:p>
    <w:p w14:paraId="22A72CC3" w14:textId="77777777" w:rsidR="005B6F3D" w:rsidRPr="000A4CA2" w:rsidRDefault="005B6F3D" w:rsidP="00911E06">
      <w:pPr>
        <w:pStyle w:val="Bullet1"/>
        <w:spacing w:line="360" w:lineRule="auto"/>
        <w:rPr>
          <w:sz w:val="24"/>
          <w:szCs w:val="24"/>
        </w:rPr>
      </w:pPr>
      <w:r w:rsidRPr="000A4CA2">
        <w:rPr>
          <w:sz w:val="24"/>
          <w:szCs w:val="24"/>
        </w:rPr>
        <w:t>RAP firms have exhibited better performance in fundraising</w:t>
      </w:r>
      <w:r>
        <w:rPr>
          <w:sz w:val="24"/>
          <w:szCs w:val="24"/>
        </w:rPr>
        <w:t xml:space="preserve"> growth</w:t>
      </w:r>
      <w:r w:rsidRPr="000A4CA2">
        <w:rPr>
          <w:sz w:val="24"/>
          <w:szCs w:val="24"/>
        </w:rPr>
        <w:t xml:space="preserve"> in 2022 compared to the counterfactual group of firms, suggesting that the support provided by RAP may have had a positive impact with RAP funded firms facing a smaller decline in fundraising compared to the counterfactual in 2022 (17% against a 45% decline). Due to the limited sample size, it is challenging to make definitive conclusions about the overall effectiveness of RAP support.</w:t>
      </w:r>
    </w:p>
    <w:p w14:paraId="026CF49C" w14:textId="77777777" w:rsidR="005B6F3D" w:rsidRPr="000A4CA2" w:rsidRDefault="005B6F3D" w:rsidP="00911E06">
      <w:pPr>
        <w:pStyle w:val="Bullet1"/>
        <w:spacing w:line="360" w:lineRule="auto"/>
        <w:rPr>
          <w:sz w:val="24"/>
          <w:szCs w:val="24"/>
        </w:rPr>
      </w:pPr>
      <w:r w:rsidRPr="000A4CA2">
        <w:rPr>
          <w:sz w:val="24"/>
          <w:szCs w:val="24"/>
        </w:rPr>
        <w:t xml:space="preserve">The modelling results suggest a potential uplift in fundraising for RAP funded firms in 2022 </w:t>
      </w:r>
      <w:proofErr w:type="gramStart"/>
      <w:r w:rsidRPr="000A4CA2">
        <w:rPr>
          <w:sz w:val="24"/>
          <w:szCs w:val="24"/>
        </w:rPr>
        <w:t>as a result of</w:t>
      </w:r>
      <w:proofErr w:type="gramEnd"/>
      <w:r w:rsidRPr="000A4CA2">
        <w:rPr>
          <w:sz w:val="24"/>
          <w:szCs w:val="24"/>
        </w:rPr>
        <w:t xml:space="preserve"> the Programme, further confirming the observed trend in fundraisings. The analysis also indicates a more pronounced funding uplift across regions outside London and the </w:t>
      </w:r>
      <w:proofErr w:type="gramStart"/>
      <w:r w:rsidRPr="000A4CA2">
        <w:rPr>
          <w:sz w:val="24"/>
          <w:szCs w:val="24"/>
        </w:rPr>
        <w:t>South East</w:t>
      </w:r>
      <w:proofErr w:type="gramEnd"/>
      <w:r w:rsidRPr="000A4CA2">
        <w:rPr>
          <w:sz w:val="24"/>
          <w:szCs w:val="24"/>
        </w:rPr>
        <w:t xml:space="preserve"> compared to the counterfactual group.</w:t>
      </w:r>
    </w:p>
    <w:p w14:paraId="28F0A7E4" w14:textId="6F7A6DB6" w:rsidR="005B6F3D" w:rsidRPr="000A4CA2" w:rsidRDefault="5AD8CC27" w:rsidP="00911E06">
      <w:pPr>
        <w:pStyle w:val="Bullet1"/>
        <w:spacing w:line="360" w:lineRule="auto"/>
        <w:rPr>
          <w:sz w:val="24"/>
          <w:szCs w:val="24"/>
        </w:rPr>
      </w:pPr>
      <w:r w:rsidRPr="3C803299">
        <w:rPr>
          <w:sz w:val="24"/>
          <w:szCs w:val="24"/>
        </w:rPr>
        <w:t>The figures for post-money valuations and valuation to sales ratio growth trends indicate a relative underperformance of RAP funded firms in 2022 compared to their counterfactual counterparts, hence a lower expectation of improved future growth for RAP funded firms – with a smaller increase of 23% compared to a 76% variation in counterfactual.</w:t>
      </w:r>
      <w:r w:rsidR="006C4EFC">
        <w:rPr>
          <w:sz w:val="24"/>
          <w:szCs w:val="24"/>
        </w:rPr>
        <w:t xml:space="preserve"> </w:t>
      </w:r>
      <w:r w:rsidR="006C4EFC">
        <w:rPr>
          <w:rFonts w:asciiTheme="majorHAnsi" w:hAnsiTheme="majorHAnsi" w:cstheme="majorHAnsi"/>
          <w:sz w:val="24"/>
          <w:szCs w:val="24"/>
        </w:rPr>
        <w:t xml:space="preserve">It is however important exercise caution when interpreting this figure as </w:t>
      </w:r>
      <w:r w:rsidR="006C4EFC">
        <w:rPr>
          <w:rFonts w:asciiTheme="majorHAnsi" w:hAnsiTheme="majorHAnsi" w:cstheme="majorHAnsi"/>
          <w:sz w:val="24"/>
          <w:szCs w:val="24"/>
        </w:rPr>
        <w:lastRenderedPageBreak/>
        <w:t>valuation figures are an estimate based on existing transactions and reflect the volatility of market sentiments.</w:t>
      </w:r>
      <w:r w:rsidRPr="3C803299">
        <w:rPr>
          <w:sz w:val="24"/>
          <w:szCs w:val="24"/>
        </w:rPr>
        <w:t xml:space="preserve"> </w:t>
      </w:r>
    </w:p>
    <w:p w14:paraId="3365978B" w14:textId="77777777" w:rsidR="005B6F3D" w:rsidRPr="000A4CA2" w:rsidRDefault="005B6F3D" w:rsidP="00911E06">
      <w:pPr>
        <w:pStyle w:val="Bullet1"/>
        <w:spacing w:line="360" w:lineRule="auto"/>
        <w:rPr>
          <w:sz w:val="24"/>
          <w:szCs w:val="24"/>
        </w:rPr>
      </w:pPr>
      <w:r w:rsidRPr="000A4CA2">
        <w:rPr>
          <w:sz w:val="24"/>
          <w:szCs w:val="24"/>
        </w:rPr>
        <w:t xml:space="preserve">Employment figures indicate a relative outperformance of RAP funded firms in 2022 (24% vs 14% growth in the counterfactual). Even though early to assess, RAP may have contributed positively to increased investment activities for funded firms, including talent recruitment, salary payments, and intellectual property development. </w:t>
      </w:r>
    </w:p>
    <w:p w14:paraId="5B738570" w14:textId="77777777" w:rsidR="005B6F3D" w:rsidRPr="006C5F18" w:rsidRDefault="005B6F3D" w:rsidP="00911E06">
      <w:pPr>
        <w:pStyle w:val="Bullet1"/>
        <w:spacing w:line="360" w:lineRule="auto"/>
      </w:pPr>
      <w:r w:rsidRPr="000A4CA2">
        <w:rPr>
          <w:sz w:val="24"/>
          <w:szCs w:val="24"/>
        </w:rPr>
        <w:t>The positive relative performance observed for turnover in 2022 signifies positive business sustainability, with an 84% grow</w:t>
      </w:r>
      <w:r>
        <w:rPr>
          <w:sz w:val="24"/>
          <w:szCs w:val="24"/>
        </w:rPr>
        <w:t>th</w:t>
      </w:r>
      <w:r w:rsidRPr="000A4CA2">
        <w:rPr>
          <w:sz w:val="24"/>
          <w:szCs w:val="24"/>
        </w:rPr>
        <w:t xml:space="preserve"> in turnover for RAP funded firms against a 35% increase for the counterfactual comparison. Assessing turnover will require further observation in the future, as it takes time to materialise.</w:t>
      </w:r>
    </w:p>
    <w:p w14:paraId="79D300A3" w14:textId="77777777" w:rsidR="005B6F3D" w:rsidRPr="000D3E0A" w:rsidRDefault="005B6F3D" w:rsidP="00911E06">
      <w:pPr>
        <w:pStyle w:val="Bullet1"/>
        <w:spacing w:line="360" w:lineRule="auto"/>
      </w:pPr>
      <w:r w:rsidRPr="006C5F18">
        <w:rPr>
          <w:color w:val="auto"/>
          <w:sz w:val="24"/>
          <w:szCs w:val="24"/>
        </w:rPr>
        <w:t xml:space="preserve">The </w:t>
      </w:r>
      <w:r w:rsidRPr="00F170C8">
        <w:rPr>
          <w:color w:val="auto"/>
          <w:sz w:val="24"/>
          <w:szCs w:val="24"/>
        </w:rPr>
        <w:t xml:space="preserve">assessment highlights </w:t>
      </w:r>
      <w:r>
        <w:rPr>
          <w:color w:val="auto"/>
          <w:sz w:val="24"/>
          <w:szCs w:val="24"/>
        </w:rPr>
        <w:t>potential</w:t>
      </w:r>
      <w:r w:rsidRPr="00F170C8">
        <w:rPr>
          <w:color w:val="auto"/>
          <w:sz w:val="24"/>
          <w:szCs w:val="24"/>
        </w:rPr>
        <w:t xml:space="preserve"> for improvements in the efficiency of the application process for RAP funding. It recognised that there are positive outcomes and effectiveness of the programme in unlocking investment and supporting early-stage SMEs in underrepresented regions.</w:t>
      </w:r>
      <w:r>
        <w:rPr>
          <w:color w:val="auto"/>
          <w:sz w:val="24"/>
          <w:szCs w:val="24"/>
        </w:rPr>
        <w:t xml:space="preserve"> The application process has been revised since the initial launch and it has resulted in a quicker process from application to receiving funding.</w:t>
      </w:r>
      <w:r w:rsidRPr="00F170C8">
        <w:rPr>
          <w:color w:val="auto"/>
          <w:sz w:val="24"/>
          <w:szCs w:val="24"/>
        </w:rPr>
        <w:t xml:space="preserve"> </w:t>
      </w:r>
    </w:p>
    <w:p w14:paraId="2ECC5D16" w14:textId="77777777" w:rsidR="005B6F3D" w:rsidRPr="000139DC" w:rsidRDefault="005B6F3D" w:rsidP="00911E06">
      <w:pPr>
        <w:pStyle w:val="Bullet1"/>
        <w:spacing w:line="360" w:lineRule="auto"/>
      </w:pPr>
      <w:r w:rsidRPr="00F170C8">
        <w:rPr>
          <w:color w:val="auto"/>
          <w:sz w:val="24"/>
          <w:szCs w:val="24"/>
        </w:rPr>
        <w:t>Equity considerations are raised</w:t>
      </w:r>
      <w:r>
        <w:rPr>
          <w:color w:val="auto"/>
          <w:sz w:val="24"/>
          <w:szCs w:val="24"/>
        </w:rPr>
        <w:t xml:space="preserve"> by stakeholders as to the current funding across regions has room for improvement.</w:t>
      </w:r>
      <w:r w:rsidRPr="00F170C8">
        <w:rPr>
          <w:color w:val="auto"/>
          <w:sz w:val="24"/>
          <w:szCs w:val="24"/>
        </w:rPr>
        <w:t xml:space="preserve"> </w:t>
      </w:r>
      <w:r>
        <w:rPr>
          <w:color w:val="auto"/>
          <w:sz w:val="24"/>
          <w:szCs w:val="24"/>
        </w:rPr>
        <w:t>This suggest a</w:t>
      </w:r>
      <w:r w:rsidRPr="00F170C8">
        <w:rPr>
          <w:color w:val="auto"/>
          <w:sz w:val="24"/>
          <w:szCs w:val="24"/>
        </w:rPr>
        <w:t xml:space="preserve"> need for further efforts to ensure equal access and representation across regions</w:t>
      </w:r>
      <w:r>
        <w:rPr>
          <w:color w:val="auto"/>
          <w:sz w:val="24"/>
          <w:szCs w:val="24"/>
        </w:rPr>
        <w:t xml:space="preserve"> (i.e., access to Angels that aren’t FCA regulated)</w:t>
      </w:r>
      <w:r w:rsidRPr="00F170C8">
        <w:rPr>
          <w:color w:val="auto"/>
          <w:sz w:val="24"/>
          <w:szCs w:val="24"/>
        </w:rPr>
        <w:t xml:space="preserve"> and to assess the long-term impact on regional investment dynamics.</w:t>
      </w:r>
      <w:r w:rsidRPr="00F170C8" w:rsidDel="00623407">
        <w:rPr>
          <w:rFonts w:asciiTheme="minorHAnsi" w:hAnsiTheme="minorHAnsi"/>
          <w:color w:val="auto"/>
          <w:sz w:val="24"/>
        </w:rPr>
        <w:t xml:space="preserve"> </w:t>
      </w:r>
    </w:p>
    <w:p w14:paraId="711BCFCF" w14:textId="77777777" w:rsidR="005B6F3D" w:rsidRDefault="005B6F3D" w:rsidP="005B6F3D">
      <w:pPr>
        <w:pStyle w:val="Heading2"/>
      </w:pPr>
      <w:bookmarkStart w:id="144" w:name="_Toc144830573"/>
      <w:bookmarkStart w:id="145" w:name="_Toc165482236"/>
      <w:bookmarkStart w:id="146" w:name="_Toc165497200"/>
      <w:r>
        <w:t>8.2 Early indicative evidence of funding additionality</w:t>
      </w:r>
      <w:bookmarkEnd w:id="144"/>
      <w:bookmarkEnd w:id="145"/>
      <w:bookmarkEnd w:id="146"/>
    </w:p>
    <w:p w14:paraId="53002897" w14:textId="77777777" w:rsidR="005B6F3D" w:rsidRDefault="005B6F3D" w:rsidP="005B6F3D">
      <w:bookmarkStart w:id="147" w:name="_Hlk138778051"/>
      <w:r w:rsidRPr="00640917">
        <w:t>RAP funded firms marginally outperformed in fundraising growth in 2022, indicating that the early results in attracting fundraising for these firms have been positive</w:t>
      </w:r>
      <w:r>
        <w:t>.</w:t>
      </w:r>
      <w:r w:rsidRPr="00640917">
        <w:t xml:space="preserve"> </w:t>
      </w:r>
      <w:r>
        <w:t>The modelling also partially supports this view</w:t>
      </w:r>
      <w:r w:rsidRPr="00640917">
        <w:t>.</w:t>
      </w:r>
    </w:p>
    <w:p w14:paraId="48221461" w14:textId="77777777" w:rsidR="005B6F3D" w:rsidRDefault="605F4288" w:rsidP="005B6F3D">
      <w:r w:rsidRPr="00640917">
        <w:t xml:space="preserve">These findings </w:t>
      </w:r>
      <w:r>
        <w:t>show</w:t>
      </w:r>
      <w:r w:rsidRPr="00640917">
        <w:t xml:space="preserve"> that the portfolio firms </w:t>
      </w:r>
      <w:r>
        <w:t>outperformed the counterfactual</w:t>
      </w:r>
      <w:r w:rsidRPr="00640917">
        <w:t xml:space="preserve"> in fundraising growth </w:t>
      </w:r>
      <w:r>
        <w:t>with a</w:t>
      </w:r>
      <w:r w:rsidRPr="00640917">
        <w:t xml:space="preserve"> 17% decline in fundraising </w:t>
      </w:r>
      <w:r>
        <w:t>compared to</w:t>
      </w:r>
      <w:r w:rsidRPr="00640917">
        <w:t xml:space="preserve"> a 45% decline</w:t>
      </w:r>
      <w:r>
        <w:t>, respectively</w:t>
      </w:r>
      <w:r w:rsidRPr="00640917">
        <w:t xml:space="preserve">. RAP </w:t>
      </w:r>
      <w:r>
        <w:t>funded firms</w:t>
      </w:r>
      <w:r w:rsidRPr="00640917">
        <w:t xml:space="preserve"> may have </w:t>
      </w:r>
      <w:r>
        <w:t>had additional support (additional funding draw down from the RAP) in 2022,</w:t>
      </w:r>
      <w:r w:rsidRPr="00640917">
        <w:t xml:space="preserve"> mitigating the decline in fundraising that the portfolio firms would have otherwise </w:t>
      </w:r>
      <w:r w:rsidRPr="00640917">
        <w:lastRenderedPageBreak/>
        <w:t>experienced. </w:t>
      </w:r>
      <w:r>
        <w:t>The matching</w:t>
      </w:r>
      <w:r w:rsidR="005B6F3D">
        <w:rPr>
          <w:rStyle w:val="FootnoteReference"/>
        </w:rPr>
        <w:footnoteReference w:id="47"/>
      </w:r>
      <w:r>
        <w:t xml:space="preserve"> also controlled for other scheme participation, isolating the RAP specific impact to an extent.</w:t>
      </w:r>
    </w:p>
    <w:bookmarkEnd w:id="147"/>
    <w:p w14:paraId="7A11CB36" w14:textId="3E0719CC" w:rsidR="0015657C" w:rsidRDefault="005B6F3D" w:rsidP="005B6F3D">
      <w:r w:rsidRPr="0015657C">
        <w:t xml:space="preserve">However, it is important to note that these results may not be representative of the entire population of RAP funded firms due to the limitations of the </w:t>
      </w:r>
      <w:r w:rsidR="00D4492B">
        <w:t>limited</w:t>
      </w:r>
      <w:r w:rsidRPr="0015657C">
        <w:t xml:space="preserve"> sample size</w:t>
      </w:r>
      <w:r>
        <w:t>.</w:t>
      </w:r>
    </w:p>
    <w:p w14:paraId="1A913429" w14:textId="7429E101" w:rsidR="003B7525" w:rsidRDefault="008F1B38" w:rsidP="003B7525">
      <w:pPr>
        <w:pStyle w:val="Caption"/>
        <w:rPr>
          <w:noProof/>
        </w:rPr>
      </w:pPr>
      <w:r>
        <w:t xml:space="preserve">Figure </w:t>
      </w:r>
      <w:r>
        <w:fldChar w:fldCharType="begin"/>
      </w:r>
      <w:r>
        <w:instrText>SEQ Figure \* ARABIC</w:instrText>
      </w:r>
      <w:r>
        <w:fldChar w:fldCharType="separate"/>
      </w:r>
      <w:r w:rsidR="00BC412E">
        <w:rPr>
          <w:noProof/>
        </w:rPr>
        <w:t>13</w:t>
      </w:r>
      <w:r>
        <w:fldChar w:fldCharType="end"/>
      </w:r>
      <w:r>
        <w:t xml:space="preserve">: </w:t>
      </w:r>
      <w:r w:rsidR="0072649D">
        <w:t xml:space="preserve">Average fundraisings growth </w:t>
      </w:r>
      <w:proofErr w:type="gramStart"/>
      <w:r w:rsidR="0072649D">
        <w:t>rate</w:t>
      </w:r>
      <w:proofErr w:type="gramEnd"/>
    </w:p>
    <w:p w14:paraId="27E4F6F3" w14:textId="1269734E" w:rsidR="00911E06" w:rsidRPr="00911E06" w:rsidRDefault="003B7525" w:rsidP="003B7525">
      <w:pPr>
        <w:pStyle w:val="Caption"/>
      </w:pPr>
      <w:r>
        <w:rPr>
          <w:noProof/>
        </w:rPr>
        <w:drawing>
          <wp:inline distT="0" distB="0" distL="0" distR="0" wp14:anchorId="72793539" wp14:editId="3A4E645B">
            <wp:extent cx="6188710" cy="2544445"/>
            <wp:effectExtent l="0" t="0" r="0" b="0"/>
            <wp:docPr id="1845877947" name="Picture 1" descr="Figure 13 is a line graph illustrating the average fundraisings growth rate over a period from 2018 to 2022.&#10;&#10;The x-axis represents years, from 2018 through 2022. The y-axis displays percentages, ranging from -100% to 300%, indicating the growth rate.&#10;&#10;Two key events are labelled on the graph:&#10;&#10;&quot;RAP launched (Q4 2018)&quot; is marked around the end of 2018.&#10;&quot;RAP first SME funding (Early 2020)&quot; is indicated by a vertical dashed line in early 2020.&#10;Two lines traverse the graph:&#10;&#10;The &quot;Portfolio growth rate&quot; is represented by a dark blue line that begins just above 0% in 2018, rises slightly in 2019 and drops to 0% in 2020, and then rises again to 150% in 2021, and then falling just below 0% in 2022.&#10;The &quot;Counterfactual growth rate&quot; is illustrated by a light blue line. This line begins around 125% mark in 2018, decreases till below 50% before flattening between 2019 and 2020. It rises to just above 250% by 2021 before it falls to around -50% b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77947" name="Picture 1" descr="Figure 13 is a line graph illustrating the average fundraisings growth rate over a period from 2018 to 2022.&#10;&#10;The x-axis represents years, from 2018 through 2022. The y-axis displays percentages, ranging from -100% to 300%, indicating the growth rate.&#10;&#10;Two key events are labelled on the graph:&#10;&#10;&quot;RAP launched (Q4 2018)&quot; is marked around the end of 2018.&#10;&quot;RAP first SME funding (Early 2020)&quot; is indicated by a vertical dashed line in early 2020.&#10;Two lines traverse the graph:&#10;&#10;The &quot;Portfolio growth rate&quot; is represented by a dark blue line that begins just above 0% in 2018, rises slightly in 2019 and drops to 0% in 2020, and then rises again to 150% in 2021, and then falling just below 0% in 2022.&#10;The &quot;Counterfactual growth rate&quot; is illustrated by a light blue line. This line begins around 125% mark in 2018, decreases till below 50% before flattening between 2019 and 2020. It rises to just above 250% by 2021 before it falls to around -50% by 2022."/>
                    <pic:cNvPicPr/>
                  </pic:nvPicPr>
                  <pic:blipFill>
                    <a:blip r:embed="rId49"/>
                    <a:stretch>
                      <a:fillRect/>
                    </a:stretch>
                  </pic:blipFill>
                  <pic:spPr>
                    <a:xfrm>
                      <a:off x="0" y="0"/>
                      <a:ext cx="6188710" cy="2544445"/>
                    </a:xfrm>
                    <a:prstGeom prst="rect">
                      <a:avLst/>
                    </a:prstGeom>
                  </pic:spPr>
                </pic:pic>
              </a:graphicData>
            </a:graphic>
          </wp:inline>
        </w:drawing>
      </w:r>
    </w:p>
    <w:p w14:paraId="2D833D1C" w14:textId="10F326C5" w:rsidR="006B29E9" w:rsidRDefault="006B29E9" w:rsidP="00B0108F">
      <w:pPr>
        <w:spacing w:after="0"/>
        <w:rPr>
          <w:i/>
        </w:rPr>
      </w:pPr>
      <w:r w:rsidRPr="005A0C36">
        <w:rPr>
          <w:i/>
          <w:color w:val="555674"/>
        </w:rPr>
        <w:t>Source: IDBR data. N = 84 for the funded firms and N</w:t>
      </w:r>
      <w:r w:rsidR="00120FEE" w:rsidRPr="005A0C36">
        <w:rPr>
          <w:i/>
          <w:color w:val="555674"/>
        </w:rPr>
        <w:t xml:space="preserve"> </w:t>
      </w:r>
      <w:r w:rsidRPr="005A0C36">
        <w:rPr>
          <w:i/>
          <w:color w:val="555674"/>
        </w:rPr>
        <w:t>= 58 for the comparator group</w:t>
      </w:r>
    </w:p>
    <w:p w14:paraId="49A05544" w14:textId="311402CA" w:rsidR="00911E06" w:rsidRPr="00911E06" w:rsidRDefault="005B6F3D" w:rsidP="0087177A">
      <w:pPr>
        <w:pStyle w:val="Caption"/>
      </w:pPr>
      <w:r w:rsidRPr="00640917">
        <w:rPr>
          <w:iCs w:val="0"/>
          <w:color w:val="auto"/>
          <w:szCs w:val="22"/>
        </w:rPr>
        <w:t xml:space="preserve">A similar pattern emerges when examining the regional distribution of fundraising growth, where the decline in fundraising growth in 2022 compares favourably to the counterfactual group in the rest of the UK. Specifically, the portfolio firms experienced a decline of 69% compared to an 89% decrease for the counterfactual group. Moreover, in the London and </w:t>
      </w:r>
      <w:proofErr w:type="gramStart"/>
      <w:r w:rsidRPr="00640917">
        <w:rPr>
          <w:iCs w:val="0"/>
          <w:color w:val="auto"/>
          <w:szCs w:val="22"/>
        </w:rPr>
        <w:t>South East</w:t>
      </w:r>
      <w:proofErr w:type="gramEnd"/>
      <w:r w:rsidRPr="00640917">
        <w:rPr>
          <w:iCs w:val="0"/>
          <w:color w:val="auto"/>
          <w:szCs w:val="22"/>
        </w:rPr>
        <w:t xml:space="preserve"> region, RAP funded firms saw a</w:t>
      </w:r>
      <w:r>
        <w:rPr>
          <w:iCs w:val="0"/>
          <w:color w:val="auto"/>
          <w:szCs w:val="22"/>
        </w:rPr>
        <w:t xml:space="preserve">n </w:t>
      </w:r>
      <w:r w:rsidRPr="00640917">
        <w:rPr>
          <w:iCs w:val="0"/>
          <w:color w:val="auto"/>
          <w:szCs w:val="22"/>
        </w:rPr>
        <w:t>increase of 30% in equity fundraising, while the counterfactual firms in the same region faced a steep decline of 56%.</w:t>
      </w:r>
      <w:r>
        <w:rPr>
          <w:iCs w:val="0"/>
          <w:color w:val="auto"/>
          <w:szCs w:val="22"/>
        </w:rPr>
        <w:t xml:space="preserve"> When London and the </w:t>
      </w:r>
      <w:proofErr w:type="gramStart"/>
      <w:r>
        <w:rPr>
          <w:iCs w:val="0"/>
          <w:color w:val="auto"/>
          <w:szCs w:val="22"/>
        </w:rPr>
        <w:t>South East</w:t>
      </w:r>
      <w:proofErr w:type="gramEnd"/>
      <w:r>
        <w:rPr>
          <w:iCs w:val="0"/>
          <w:color w:val="auto"/>
          <w:szCs w:val="22"/>
        </w:rPr>
        <w:t xml:space="preserve"> are excluded the rest of the portfolio seems to consistently resemble the performance of the counterfactual, albeit with a marginally better growth performance in 2022. </w:t>
      </w:r>
      <w:r w:rsidRPr="000A5D74">
        <w:rPr>
          <w:iCs w:val="0"/>
          <w:color w:val="auto"/>
          <w:szCs w:val="22"/>
        </w:rPr>
        <w:t xml:space="preserve">The marginally higher performance of the London and </w:t>
      </w:r>
      <w:proofErr w:type="gramStart"/>
      <w:r w:rsidRPr="000A5D74">
        <w:rPr>
          <w:iCs w:val="0"/>
          <w:color w:val="auto"/>
          <w:szCs w:val="22"/>
        </w:rPr>
        <w:t>South East</w:t>
      </w:r>
      <w:proofErr w:type="gramEnd"/>
      <w:r w:rsidRPr="000A5D74">
        <w:rPr>
          <w:iCs w:val="0"/>
          <w:color w:val="auto"/>
          <w:szCs w:val="22"/>
        </w:rPr>
        <w:t xml:space="preserve"> portfolio group in 2022, compared to the counterfactual, is attributable to firms in the South East. When analysing fundraising growth separately for London in 2022, we observe an 18% decline for the portfolio group, in contrast to a 52% decline for the counterfactual.</w:t>
      </w:r>
    </w:p>
    <w:p w14:paraId="038DF86D" w14:textId="1C1FD768" w:rsidR="003B7525" w:rsidRDefault="006B29E9" w:rsidP="003B7525">
      <w:pPr>
        <w:pStyle w:val="Caption"/>
        <w:rPr>
          <w:noProof/>
        </w:rPr>
      </w:pPr>
      <w:r>
        <w:lastRenderedPageBreak/>
        <w:t xml:space="preserve">Figure </w:t>
      </w:r>
      <w:r>
        <w:fldChar w:fldCharType="begin"/>
      </w:r>
      <w:r>
        <w:instrText>SEQ Figure \* ARABIC</w:instrText>
      </w:r>
      <w:r>
        <w:fldChar w:fldCharType="separate"/>
      </w:r>
      <w:r w:rsidR="00BC412E">
        <w:rPr>
          <w:noProof/>
        </w:rPr>
        <w:t>14</w:t>
      </w:r>
      <w:r>
        <w:fldChar w:fldCharType="end"/>
      </w:r>
      <w:r>
        <w:t xml:space="preserve">: </w:t>
      </w:r>
      <w:r w:rsidRPr="00272821">
        <w:t xml:space="preserve">Average fundraisings growth rate in London and </w:t>
      </w:r>
      <w:proofErr w:type="gramStart"/>
      <w:r w:rsidRPr="00272821">
        <w:t>South East</w:t>
      </w:r>
      <w:proofErr w:type="gramEnd"/>
      <w:r w:rsidRPr="00272821">
        <w:t xml:space="preserve"> (LHS) and in the rest of the UK (RHS)</w:t>
      </w:r>
    </w:p>
    <w:p w14:paraId="36E6AB6D" w14:textId="70FC4293" w:rsidR="00911E06" w:rsidRPr="00911E06" w:rsidRDefault="003B7525" w:rsidP="003B7525">
      <w:pPr>
        <w:pStyle w:val="Caption"/>
      </w:pPr>
      <w:r>
        <w:rPr>
          <w:noProof/>
        </w:rPr>
        <w:drawing>
          <wp:inline distT="0" distB="0" distL="0" distR="0" wp14:anchorId="18930042" wp14:editId="644F2C4D">
            <wp:extent cx="6188710" cy="2423795"/>
            <wp:effectExtent l="0" t="0" r="0" b="0"/>
            <wp:docPr id="530420457" name="Picture 1" descr="Figure 14 displays two line graphs side by side, illustrating the average fundraisings growth rate in London &amp; the South East (LHS) compared to the rest of the UK (RHS) from 2018 to 2022.&#10;&#10;Both graphs have the same scale and format:&#10;&#10;The x-axis denotes years, ranging from 2018 to 2022.&#10;The y-axis measures percentages, extending from -150% to 450%, signifying the growth rate.&#10;In both charts, two key events are labelled:&#10;&#10;&quot;RAP launched (Q4 2018)&quot; is pinpointed around the end of 2018.&#10;&quot;RAP first SME funding (Early 2020)&quot; is marked by a vertical dashed line in early 2020.&#10;London &amp; South East (LHS):&#10;&#10;The &quot;Portfolio average growth rate&quot; is represented by a dark blue line. This line begins slightly above 100% in 2018, declines to about 25% in 2019 remains fairly steady until the end of 2020, then rises to about 100% in 2021 and then drops about 25%  by 2022.&#10;The &quot;Counterfactual average growth rate&quot; is indicated by a lighter blue line. Starting at about 125% in 2018, it dips to below 50% by 2020, shows an uptick close to 400% in 2021, and falls to -50% by 2022.&#10;&#10;Rest of UK (RHS):&#10;&#10;The &quot;Portfolio average growth rate&quot; (dark blue) begins at about 50% in 2018, decreases slightly through 2019 till close to -50% in 2020, then rises to close 300% in 2021 and then falls to below -50% in 2022.&#10;The &quot;Counterfactual average growth rate&quot; (light blue) initiates around 150% in 2018,drops to-25% in 2019 and stays steady till 2020. rises to 250% in 2021, and drops to lower than -50% b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20457" name="Picture 1" descr="Figure 14 displays two line graphs side by side, illustrating the average fundraisings growth rate in London &amp; the South East (LHS) compared to the rest of the UK (RHS) from 2018 to 2022.&#10;&#10;Both graphs have the same scale and format:&#10;&#10;The x-axis denotes years, ranging from 2018 to 2022.&#10;The y-axis measures percentages, extending from -150% to 450%, signifying the growth rate.&#10;In both charts, two key events are labelled:&#10;&#10;&quot;RAP launched (Q4 2018)&quot; is pinpointed around the end of 2018.&#10;&quot;RAP first SME funding (Early 2020)&quot; is marked by a vertical dashed line in early 2020.&#10;London &amp; South East (LHS):&#10;&#10;The &quot;Portfolio average growth rate&quot; is represented by a dark blue line. This line begins slightly above 100% in 2018, declines to about 25% in 2019 remains fairly steady until the end of 2020, then rises to about 100% in 2021 and then drops about 25%  by 2022.&#10;The &quot;Counterfactual average growth rate&quot; is indicated by a lighter blue line. Starting at about 125% in 2018, it dips to below 50% by 2020, shows an uptick close to 400% in 2021, and falls to -50% by 2022.&#10;&#10;Rest of UK (RHS):&#10;&#10;The &quot;Portfolio average growth rate&quot; (dark blue) begins at about 50% in 2018, decreases slightly through 2019 till close to -50% in 2020, then rises to close 300% in 2021 and then falls to below -50% in 2022.&#10;The &quot;Counterfactual average growth rate&quot; (light blue) initiates around 150% in 2018,drops to-25% in 2019 and stays steady till 2020. rises to 250% in 2021, and drops to lower than -50% by 2022."/>
                    <pic:cNvPicPr/>
                  </pic:nvPicPr>
                  <pic:blipFill>
                    <a:blip r:embed="rId50"/>
                    <a:stretch>
                      <a:fillRect/>
                    </a:stretch>
                  </pic:blipFill>
                  <pic:spPr>
                    <a:xfrm>
                      <a:off x="0" y="0"/>
                      <a:ext cx="6188710" cy="2423795"/>
                    </a:xfrm>
                    <a:prstGeom prst="rect">
                      <a:avLst/>
                    </a:prstGeom>
                  </pic:spPr>
                </pic:pic>
              </a:graphicData>
            </a:graphic>
          </wp:inline>
        </w:drawing>
      </w:r>
    </w:p>
    <w:p w14:paraId="0B996CE5" w14:textId="77777777" w:rsidR="00B16629" w:rsidRDefault="006B29E9" w:rsidP="00B16629">
      <w:pPr>
        <w:rPr>
          <w:i/>
          <w:color w:val="555674"/>
        </w:rPr>
      </w:pPr>
      <w:r w:rsidRPr="005A0C36">
        <w:rPr>
          <w:i/>
          <w:color w:val="555674"/>
        </w:rPr>
        <w:t xml:space="preserve">Source: IDBR data. N = 33 for London and </w:t>
      </w:r>
      <w:proofErr w:type="gramStart"/>
      <w:r w:rsidRPr="005A0C36">
        <w:rPr>
          <w:i/>
          <w:color w:val="555674"/>
        </w:rPr>
        <w:t>South East</w:t>
      </w:r>
      <w:proofErr w:type="gramEnd"/>
      <w:r w:rsidRPr="005A0C36">
        <w:rPr>
          <w:i/>
          <w:color w:val="555674"/>
        </w:rPr>
        <w:t xml:space="preserve"> funded firms, 25 for other regions and N</w:t>
      </w:r>
      <w:r w:rsidR="00120FEE" w:rsidRPr="005A0C36">
        <w:rPr>
          <w:i/>
          <w:color w:val="555674"/>
        </w:rPr>
        <w:t xml:space="preserve"> </w:t>
      </w:r>
      <w:r w:rsidRPr="005A0C36">
        <w:rPr>
          <w:i/>
          <w:color w:val="555674"/>
        </w:rPr>
        <w:t>= 25 for the London and South East comparator group and 59 for other regions</w:t>
      </w:r>
      <w:bookmarkStart w:id="148" w:name="_Toc136851421"/>
      <w:bookmarkStart w:id="149" w:name="_Toc145671321"/>
      <w:bookmarkStart w:id="150" w:name="_Toc145923989"/>
    </w:p>
    <w:p w14:paraId="4A30D01A" w14:textId="2DF42E1A" w:rsidR="00CD0232" w:rsidRPr="00B16629" w:rsidRDefault="00CD0232" w:rsidP="00B16629">
      <w:pPr>
        <w:rPr>
          <w:b/>
          <w:bCs/>
          <w:i/>
        </w:rPr>
      </w:pPr>
      <w:r w:rsidRPr="00B16629">
        <w:rPr>
          <w:b/>
          <w:bCs/>
        </w:rPr>
        <w:t>RAP funding additionality</w:t>
      </w:r>
      <w:r w:rsidR="00037A3B" w:rsidRPr="00B16629">
        <w:rPr>
          <w:b/>
          <w:bCs/>
        </w:rPr>
        <w:t xml:space="preserve"> assessment</w:t>
      </w:r>
      <w:bookmarkEnd w:id="148"/>
      <w:bookmarkEnd w:id="149"/>
      <w:bookmarkEnd w:id="150"/>
    </w:p>
    <w:p w14:paraId="4DAC5F65" w14:textId="6D74E7A0" w:rsidR="00CD0232" w:rsidRDefault="7187880D" w:rsidP="00CD0232">
      <w:r w:rsidRPr="00DB6FAF">
        <w:t xml:space="preserve">Results from </w:t>
      </w:r>
      <w:r>
        <w:t>the</w:t>
      </w:r>
      <w:r w:rsidRPr="00DB6FAF">
        <w:t xml:space="preserve"> econometric modelling</w:t>
      </w:r>
      <w:r w:rsidR="00CD0232">
        <w:rPr>
          <w:rStyle w:val="FootnoteReference"/>
        </w:rPr>
        <w:footnoteReference w:id="48"/>
      </w:r>
      <w:r>
        <w:t xml:space="preserve"> provides further evidence of the </w:t>
      </w:r>
      <w:r w:rsidR="1AC40724">
        <w:t xml:space="preserve">additionality of fundings associated with </w:t>
      </w:r>
      <w:r>
        <w:t xml:space="preserve">RAP funded firms when comparing 2020/21 (RAP funding intervention) to 2022 (fundraisings). Four models </w:t>
      </w:r>
      <w:r w:rsidR="442121E8">
        <w:t xml:space="preserve">(see Annex </w:t>
      </w:r>
      <w:r w:rsidR="7286540D">
        <w:t>H</w:t>
      </w:r>
      <w:r w:rsidR="442121E8">
        <w:t>)</w:t>
      </w:r>
      <w:r>
        <w:t xml:space="preserve"> hav</w:t>
      </w:r>
      <w:r w:rsidR="552B378F">
        <w:t>e</w:t>
      </w:r>
      <w:r>
        <w:t xml:space="preserve">, two national and two </w:t>
      </w:r>
      <w:proofErr w:type="gramStart"/>
      <w:r>
        <w:t>regional</w:t>
      </w:r>
      <w:proofErr w:type="gramEnd"/>
      <w:r>
        <w:t>, signal</w:t>
      </w:r>
      <w:r w:rsidR="552B378F">
        <w:t>led</w:t>
      </w:r>
      <w:r>
        <w:t xml:space="preserve"> a range of impact</w:t>
      </w:r>
      <w:r w:rsidR="552B378F">
        <w:t xml:space="preserve">s </w:t>
      </w:r>
      <w:r w:rsidR="6588642B">
        <w:t>associated</w:t>
      </w:r>
      <w:r w:rsidR="552B378F">
        <w:t xml:space="preserve"> with</w:t>
      </w:r>
      <w:r>
        <w:t xml:space="preserve"> RAP. The lower estimates</w:t>
      </w:r>
      <w:r w:rsidR="02935E09" w:rsidRPr="00F170C8">
        <w:t xml:space="preserve">, which excludes two RAP funded firms, </w:t>
      </w:r>
      <w:r>
        <w:t xml:space="preserve">are </w:t>
      </w:r>
      <w:r w:rsidR="552B378F">
        <w:t xml:space="preserve">more </w:t>
      </w:r>
      <w:r>
        <w:t>statistically insignificant compared to the upper estimates that are marginally insignificant.</w:t>
      </w:r>
      <w:r w:rsidR="02935E09">
        <w:t xml:space="preserve"> This evidences that positive outcomes are driven by a small number of outperformers. </w:t>
      </w:r>
    </w:p>
    <w:p w14:paraId="68D47962" w14:textId="00D33EDE" w:rsidR="00CD0232" w:rsidRPr="00D8407C" w:rsidRDefault="6588642B" w:rsidP="00D8407C">
      <w:pPr>
        <w:rPr>
          <w:rFonts w:ascii="Calibri" w:hAnsi="Calibri" w:cstheme="minorHAnsi"/>
          <w:sz w:val="22"/>
          <w:szCs w:val="24"/>
        </w:rPr>
      </w:pPr>
      <w:r>
        <w:rPr>
          <w:rFonts w:eastAsia="Calibri" w:cstheme="minorHAnsi"/>
          <w:szCs w:val="24"/>
        </w:rPr>
        <w:t xml:space="preserve">Based on the modelling, </w:t>
      </w:r>
      <w:r w:rsidR="7187880D" w:rsidRPr="00D8407C">
        <w:rPr>
          <w:rFonts w:eastAsia="Calibri" w:cstheme="minorHAnsi"/>
          <w:szCs w:val="24"/>
        </w:rPr>
        <w:t xml:space="preserve">RAP funded firms experienced </w:t>
      </w:r>
      <w:r w:rsidR="7187880D" w:rsidRPr="000307AB">
        <w:rPr>
          <w:rFonts w:cstheme="minorHAnsi"/>
          <w:szCs w:val="24"/>
        </w:rPr>
        <w:t>between</w:t>
      </w:r>
      <w:r w:rsidR="7187880D" w:rsidRPr="00D8407C">
        <w:rPr>
          <w:rFonts w:eastAsia="Calibri" w:cstheme="minorHAnsi"/>
          <w:szCs w:val="24"/>
        </w:rPr>
        <w:t xml:space="preserve"> </w:t>
      </w:r>
      <w:r w:rsidR="7187880D" w:rsidRPr="00D8407C">
        <w:rPr>
          <w:rFonts w:cstheme="minorHAnsi"/>
          <w:b/>
          <w:bCs/>
          <w:szCs w:val="24"/>
        </w:rPr>
        <w:t xml:space="preserve">15% to </w:t>
      </w:r>
      <w:r w:rsidR="7187880D" w:rsidRPr="00D8407C">
        <w:rPr>
          <w:rFonts w:eastAsia="Calibri" w:cstheme="minorHAnsi"/>
          <w:b/>
          <w:szCs w:val="24"/>
        </w:rPr>
        <w:t>76%</w:t>
      </w:r>
      <w:r w:rsidR="008C1586">
        <w:rPr>
          <w:rStyle w:val="FootnoteReference"/>
          <w:rFonts w:eastAsia="Calibri" w:cstheme="minorHAnsi"/>
          <w:b/>
          <w:szCs w:val="24"/>
        </w:rPr>
        <w:footnoteReference w:id="49"/>
      </w:r>
      <w:r w:rsidR="7187880D" w:rsidRPr="00D8407C">
        <w:rPr>
          <w:rFonts w:eastAsia="Calibri" w:cstheme="minorHAnsi"/>
          <w:szCs w:val="24"/>
        </w:rPr>
        <w:t xml:space="preserve"> funding uplift compared to the counterfactual</w:t>
      </w:r>
      <w:r>
        <w:rPr>
          <w:rFonts w:eastAsia="Calibri" w:cstheme="minorHAnsi"/>
          <w:szCs w:val="24"/>
        </w:rPr>
        <w:t xml:space="preserve"> at an overall national level</w:t>
      </w:r>
      <w:r w:rsidR="7187880D" w:rsidRPr="00D8407C">
        <w:rPr>
          <w:rFonts w:eastAsia="Calibri" w:cstheme="minorHAnsi"/>
          <w:szCs w:val="24"/>
        </w:rPr>
        <w:t>.</w:t>
      </w:r>
      <w:r w:rsidR="5ACAD517" w:rsidRPr="000307AB">
        <w:rPr>
          <w:rFonts w:cstheme="minorHAnsi"/>
          <w:szCs w:val="24"/>
        </w:rPr>
        <w:t xml:space="preserve"> This suggests that RAP funded firms were able to raise more follow-on funding than the comparator group and invest more into business development through activities such as R&amp;D</w:t>
      </w:r>
      <w:r w:rsidR="42F887A2">
        <w:rPr>
          <w:rFonts w:cstheme="minorHAnsi"/>
          <w:szCs w:val="24"/>
        </w:rPr>
        <w:t>.</w:t>
      </w:r>
      <w:r w:rsidR="5ACAD517" w:rsidRPr="000307AB">
        <w:rPr>
          <w:rFonts w:cstheme="minorHAnsi"/>
          <w:szCs w:val="24"/>
        </w:rPr>
        <w:t xml:space="preserve"> </w:t>
      </w:r>
      <w:r w:rsidR="005A7B44">
        <w:rPr>
          <w:rFonts w:cstheme="minorHAnsi"/>
          <w:szCs w:val="24"/>
        </w:rPr>
        <w:t>These</w:t>
      </w:r>
      <w:r w:rsidR="02935E09">
        <w:rPr>
          <w:rFonts w:cstheme="minorHAnsi"/>
          <w:szCs w:val="24"/>
        </w:rPr>
        <w:t xml:space="preserve"> results are preliminary and</w:t>
      </w:r>
      <w:r w:rsidR="40340AAF">
        <w:rPr>
          <w:rFonts w:cstheme="minorHAnsi"/>
          <w:szCs w:val="24"/>
        </w:rPr>
        <w:t xml:space="preserve"> ranged from</w:t>
      </w:r>
      <w:r w:rsidR="02935E09">
        <w:rPr>
          <w:rFonts w:cstheme="minorHAnsi"/>
          <w:szCs w:val="24"/>
        </w:rPr>
        <w:t xml:space="preserve"> </w:t>
      </w:r>
      <w:r w:rsidR="66E1385C">
        <w:rPr>
          <w:rFonts w:cstheme="minorHAnsi"/>
          <w:szCs w:val="24"/>
        </w:rPr>
        <w:t>in</w:t>
      </w:r>
      <w:r w:rsidR="02935E09">
        <w:rPr>
          <w:rFonts w:cstheme="minorHAnsi"/>
          <w:szCs w:val="24"/>
        </w:rPr>
        <w:t>significant</w:t>
      </w:r>
      <w:r w:rsidR="40340AAF">
        <w:rPr>
          <w:rFonts w:cstheme="minorHAnsi"/>
          <w:szCs w:val="24"/>
        </w:rPr>
        <w:t xml:space="preserve"> (15%) to marginally</w:t>
      </w:r>
      <w:r w:rsidR="66E1385C">
        <w:rPr>
          <w:rFonts w:cstheme="minorHAnsi"/>
          <w:szCs w:val="24"/>
        </w:rPr>
        <w:t xml:space="preserve"> insignificant</w:t>
      </w:r>
      <w:r w:rsidR="40340AAF">
        <w:rPr>
          <w:rFonts w:cstheme="minorHAnsi"/>
          <w:szCs w:val="24"/>
        </w:rPr>
        <w:t xml:space="preserve"> (76%)</w:t>
      </w:r>
      <w:r w:rsidR="02935E09">
        <w:rPr>
          <w:rFonts w:cstheme="minorHAnsi"/>
          <w:szCs w:val="24"/>
        </w:rPr>
        <w:t xml:space="preserve"> which makes it difficult to attribute results to the RAP. However, e</w:t>
      </w:r>
      <w:r w:rsidR="5ACAD517" w:rsidRPr="000307AB">
        <w:rPr>
          <w:rFonts w:cstheme="minorHAnsi"/>
          <w:szCs w:val="24"/>
        </w:rPr>
        <w:t>arly-stage firms</w:t>
      </w:r>
      <w:r>
        <w:rPr>
          <w:rFonts w:cstheme="minorHAnsi"/>
          <w:szCs w:val="24"/>
        </w:rPr>
        <w:t xml:space="preserve"> that</w:t>
      </w:r>
      <w:r w:rsidR="5ACAD517" w:rsidRPr="000307AB">
        <w:rPr>
          <w:rFonts w:cstheme="minorHAnsi"/>
          <w:szCs w:val="24"/>
        </w:rPr>
        <w:t xml:space="preserve"> focus on drawing down viable equity finance are likely to be predominantly engaging in R&amp;D. </w:t>
      </w:r>
      <w:bookmarkStart w:id="151" w:name="_Hlk145068074"/>
      <w:r w:rsidR="7B836F47" w:rsidRPr="000307AB">
        <w:rPr>
          <w:rFonts w:cstheme="minorHAnsi"/>
          <w:szCs w:val="24"/>
        </w:rPr>
        <w:t xml:space="preserve">This </w:t>
      </w:r>
      <w:r w:rsidR="7B836F47" w:rsidRPr="000307AB">
        <w:rPr>
          <w:rFonts w:cstheme="minorHAnsi"/>
          <w:szCs w:val="24"/>
        </w:rPr>
        <w:lastRenderedPageBreak/>
        <w:t>follows from the KPI comparison above where in 2022, the RAP funded firms outperformed the counterfactual group in securing follow-on funding.</w:t>
      </w:r>
      <w:r w:rsidR="442121E8">
        <w:rPr>
          <w:rFonts w:cstheme="minorHAnsi"/>
          <w:szCs w:val="24"/>
        </w:rPr>
        <w:t xml:space="preserve"> </w:t>
      </w:r>
      <w:r w:rsidR="02935E09">
        <w:rPr>
          <w:rFonts w:cstheme="minorHAnsi"/>
          <w:szCs w:val="24"/>
        </w:rPr>
        <w:t>T</w:t>
      </w:r>
      <w:r w:rsidR="442121E8">
        <w:rPr>
          <w:rFonts w:cstheme="minorHAnsi"/>
          <w:szCs w:val="24"/>
        </w:rPr>
        <w:t xml:space="preserve">he RAP funded firms are smaller than the comparator group; this is controlled for in the model. </w:t>
      </w:r>
    </w:p>
    <w:p w14:paraId="3A41A0AF" w14:textId="420C770F" w:rsidR="00CD0232" w:rsidRPr="000307AB" w:rsidRDefault="2D5E985E" w:rsidP="00D8407C">
      <w:r>
        <w:t>The r</w:t>
      </w:r>
      <w:r w:rsidR="6B2BCABC">
        <w:t>egional</w:t>
      </w:r>
      <w:r w:rsidR="6B2BCABC" w:rsidRPr="000307AB">
        <w:t xml:space="preserve"> funding uplift</w:t>
      </w:r>
      <w:r>
        <w:t xml:space="preserve"> was</w:t>
      </w:r>
      <w:r w:rsidR="6B2BCABC" w:rsidRPr="000307AB">
        <w:t xml:space="preserve"> </w:t>
      </w:r>
      <w:r w:rsidR="6B2BCABC">
        <w:t xml:space="preserve">stronger for RAP funded firms based in regions outside London and the </w:t>
      </w:r>
      <w:proofErr w:type="gramStart"/>
      <w:r w:rsidR="6B2BCABC">
        <w:t>South East</w:t>
      </w:r>
      <w:proofErr w:type="gramEnd"/>
      <w:r>
        <w:t xml:space="preserve">. </w:t>
      </w:r>
      <w:r w:rsidR="7187880D" w:rsidRPr="30E555DB">
        <w:t xml:space="preserve">On average, RAP funded firms that were based in the rest of the UK experienced </w:t>
      </w:r>
      <w:r w:rsidR="6B2BCABC" w:rsidRPr="30E555DB">
        <w:t xml:space="preserve">between </w:t>
      </w:r>
      <w:r w:rsidR="6B2BCABC" w:rsidRPr="72AE5611">
        <w:rPr>
          <w:b/>
        </w:rPr>
        <w:t>110% to</w:t>
      </w:r>
      <w:r w:rsidR="7187880D" w:rsidRPr="72AE5611">
        <w:rPr>
          <w:b/>
        </w:rPr>
        <w:t xml:space="preserve"> 150%</w:t>
      </w:r>
      <w:r w:rsidR="008C1586" w:rsidRPr="72AE5611">
        <w:rPr>
          <w:rStyle w:val="FootnoteReference"/>
          <w:b/>
        </w:rPr>
        <w:footnoteReference w:id="50"/>
      </w:r>
      <w:r w:rsidR="7187880D" w:rsidRPr="30E555DB">
        <w:t xml:space="preserve"> </w:t>
      </w:r>
      <w:r w:rsidR="40340AAF">
        <w:t xml:space="preserve">(insignificant 110% to marginally insignificant for 150%) </w:t>
      </w:r>
      <w:r w:rsidR="7187880D" w:rsidRPr="30E555DB">
        <w:t xml:space="preserve">increase in funding compared to the counterfactual group of firms based outside London and the </w:t>
      </w:r>
      <w:proofErr w:type="gramStart"/>
      <w:r w:rsidR="7187880D" w:rsidRPr="30E555DB">
        <w:t>South East</w:t>
      </w:r>
      <w:proofErr w:type="gramEnd"/>
      <w:r w:rsidR="7187880D" w:rsidRPr="30E555DB">
        <w:t xml:space="preserve"> (Rest of the UK) post-RAP financing.</w:t>
      </w:r>
      <w:r w:rsidR="6B2BCABC" w:rsidRPr="30E555DB">
        <w:t xml:space="preserve"> </w:t>
      </w:r>
      <w:r w:rsidR="6588642B" w:rsidRPr="30E555DB">
        <w:t>Therefore, a</w:t>
      </w:r>
      <w:r w:rsidR="6B2BCABC" w:rsidRPr="30E555DB">
        <w:t>cross the regions</w:t>
      </w:r>
      <w:r w:rsidRPr="30E555DB">
        <w:t>,</w:t>
      </w:r>
      <w:r w:rsidR="6B2BCABC" w:rsidRPr="30E555DB">
        <w:t xml:space="preserve"> the uplift </w:t>
      </w:r>
      <w:r w:rsidR="6588642B" w:rsidRPr="30E555DB">
        <w:t>appears</w:t>
      </w:r>
      <w:r w:rsidR="6B2BCABC" w:rsidRPr="30E555DB">
        <w:t xml:space="preserve"> stronger</w:t>
      </w:r>
      <w:r w:rsidRPr="30E555DB">
        <w:t>,</w:t>
      </w:r>
      <w:r w:rsidR="6B2BCABC" w:rsidRPr="30E555DB">
        <w:t xml:space="preserve"> </w:t>
      </w:r>
      <w:r w:rsidRPr="30E555DB">
        <w:t xml:space="preserve">strengthening the case for achieving the short-term funding supply objective. </w:t>
      </w:r>
      <w:r w:rsidR="442121E8">
        <w:t xml:space="preserve">RAP funded firms are larger in </w:t>
      </w:r>
      <w:r w:rsidR="3078BB98">
        <w:t xml:space="preserve">London and the </w:t>
      </w:r>
      <w:proofErr w:type="gramStart"/>
      <w:r w:rsidR="3078BB98">
        <w:t>South East</w:t>
      </w:r>
      <w:proofErr w:type="gramEnd"/>
      <w:r w:rsidR="442121E8">
        <w:t xml:space="preserve"> </w:t>
      </w:r>
      <w:r w:rsidR="7B561BB7">
        <w:t xml:space="preserve">and </w:t>
      </w:r>
      <w:r w:rsidR="201F039A">
        <w:t xml:space="preserve">the regional control helps explain </w:t>
      </w:r>
      <w:r w:rsidR="7B561BB7">
        <w:t>variation in fundraising activity</w:t>
      </w:r>
      <w:r w:rsidR="0581B9D3">
        <w:t>.</w:t>
      </w:r>
      <w:r w:rsidR="5959D409">
        <w:t xml:space="preserve"> </w:t>
      </w:r>
    </w:p>
    <w:p w14:paraId="620A4AD3" w14:textId="6E431B70" w:rsidR="006D49D5" w:rsidRPr="006D49D5" w:rsidRDefault="00CD0232" w:rsidP="006D49D5">
      <w:r>
        <w:rPr>
          <w:rFonts w:asciiTheme="majorHAnsi" w:hAnsiTheme="majorHAnsi" w:cstheme="majorHAnsi"/>
        </w:rPr>
        <w:t xml:space="preserve">The small sample size poses data limitations. </w:t>
      </w:r>
      <w:r w:rsidR="005C68EB">
        <w:rPr>
          <w:rFonts w:asciiTheme="majorHAnsi" w:hAnsiTheme="majorHAnsi" w:cstheme="majorHAnsi"/>
        </w:rPr>
        <w:t xml:space="preserve">As a </w:t>
      </w:r>
      <w:r w:rsidR="005A7B44">
        <w:rPr>
          <w:rFonts w:asciiTheme="majorHAnsi" w:hAnsiTheme="majorHAnsi" w:cstheme="majorHAnsi"/>
        </w:rPr>
        <w:t>result,</w:t>
      </w:r>
      <w:r w:rsidR="005C68EB">
        <w:rPr>
          <w:rFonts w:asciiTheme="majorHAnsi" w:hAnsiTheme="majorHAnsi" w:cstheme="majorHAnsi"/>
        </w:rPr>
        <w:t xml:space="preserve"> some variables were excluded from the matching</w:t>
      </w:r>
      <w:r>
        <w:rPr>
          <w:rFonts w:asciiTheme="majorHAnsi" w:hAnsiTheme="majorHAnsi" w:cstheme="majorHAnsi"/>
        </w:rPr>
        <w:t xml:space="preserve"> such as year of the establishment, number of employees as an indicator of size, and volume of RAP investment received.</w:t>
      </w:r>
      <w:r w:rsidR="002D70FD">
        <w:rPr>
          <w:rFonts w:asciiTheme="majorHAnsi" w:hAnsiTheme="majorHAnsi" w:cstheme="majorHAnsi"/>
        </w:rPr>
        <w:t xml:space="preserve"> The</w:t>
      </w:r>
      <w:r w:rsidR="005C68EB">
        <w:rPr>
          <w:rFonts w:asciiTheme="majorHAnsi" w:hAnsiTheme="majorHAnsi" w:cstheme="majorHAnsi"/>
        </w:rPr>
        <w:t xml:space="preserve"> RAP funding</w:t>
      </w:r>
      <w:r w:rsidR="002D70FD">
        <w:rPr>
          <w:rFonts w:asciiTheme="majorHAnsi" w:hAnsiTheme="majorHAnsi" w:cstheme="majorHAnsi"/>
        </w:rPr>
        <w:t xml:space="preserve"> impact differentials are also insignificant, albeit marginally insignificant. Further data outturns and fuller data sets would be required to improve the matching and modelling significance. All-in-all, the results should be considered indicative of the expected impact.</w:t>
      </w:r>
      <w:r w:rsidR="001726EA">
        <w:rPr>
          <w:rFonts w:asciiTheme="majorHAnsi" w:hAnsiTheme="majorHAnsi" w:cstheme="majorHAnsi"/>
        </w:rPr>
        <w:t xml:space="preserve"> (See Annex </w:t>
      </w:r>
      <w:r w:rsidR="003D2049">
        <w:rPr>
          <w:rFonts w:asciiTheme="majorHAnsi" w:hAnsiTheme="majorHAnsi" w:cstheme="majorHAnsi"/>
        </w:rPr>
        <w:t>H</w:t>
      </w:r>
      <w:r w:rsidR="001726EA">
        <w:rPr>
          <w:rFonts w:asciiTheme="majorHAnsi" w:hAnsiTheme="majorHAnsi" w:cstheme="majorHAnsi"/>
        </w:rPr>
        <w:t xml:space="preserve"> for full modelling results)</w:t>
      </w:r>
      <w:r w:rsidR="00B94064">
        <w:rPr>
          <w:rFonts w:asciiTheme="majorHAnsi" w:hAnsiTheme="majorHAnsi" w:cstheme="majorHAnsi"/>
        </w:rPr>
        <w:t>.</w:t>
      </w:r>
    </w:p>
    <w:p w14:paraId="7BBB933E" w14:textId="77777777" w:rsidR="002767B2" w:rsidRDefault="002767B2" w:rsidP="002767B2">
      <w:pPr>
        <w:pStyle w:val="Heading2"/>
      </w:pPr>
      <w:bookmarkStart w:id="152" w:name="_Toc144830575"/>
      <w:bookmarkStart w:id="153" w:name="_Toc165482237"/>
      <w:bookmarkStart w:id="154" w:name="_Toc165497201"/>
      <w:bookmarkEnd w:id="151"/>
      <w:r>
        <w:t xml:space="preserve">8.3 </w:t>
      </w:r>
      <w:proofErr w:type="gramStart"/>
      <w:r>
        <w:t>P</w:t>
      </w:r>
      <w:r w:rsidRPr="00F96F36">
        <w:t>ost</w:t>
      </w:r>
      <w:r>
        <w:t>-</w:t>
      </w:r>
      <w:r w:rsidRPr="00F96F36">
        <w:t>money</w:t>
      </w:r>
      <w:proofErr w:type="gramEnd"/>
      <w:r w:rsidRPr="00F96F36">
        <w:t xml:space="preserve"> valuation</w:t>
      </w:r>
      <w:r>
        <w:t>s suggest weaker expected growth trajectory of RAP funded firms</w:t>
      </w:r>
      <w:bookmarkEnd w:id="152"/>
      <w:bookmarkEnd w:id="153"/>
      <w:bookmarkEnd w:id="154"/>
    </w:p>
    <w:p w14:paraId="25DDB6A6" w14:textId="77777777" w:rsidR="00750025" w:rsidRDefault="00750025" w:rsidP="00750025">
      <w:r>
        <w:t xml:space="preserve">RAP portfolio firms have </w:t>
      </w:r>
      <w:r w:rsidRPr="00F23C5E">
        <w:t xml:space="preserve">shown lower </w:t>
      </w:r>
      <w:r>
        <w:t xml:space="preserve">relative </w:t>
      </w:r>
      <w:r w:rsidRPr="00F23C5E">
        <w:t>performance in terms of</w:t>
      </w:r>
      <w:r>
        <w:t xml:space="preserve"> median post-money valuation figures in 2022 compared to the counterfactual group</w:t>
      </w:r>
      <w:r w:rsidRPr="00F23C5E">
        <w:t xml:space="preserve">, with </w:t>
      </w:r>
      <w:r>
        <w:t>an increase of 23% compared to a 76% increase in valuation for the counterfactual</w:t>
      </w:r>
      <w:r w:rsidRPr="00F23C5E">
        <w:t>.</w:t>
      </w:r>
    </w:p>
    <w:p w14:paraId="11BA2AEC" w14:textId="77777777" w:rsidR="002767B2" w:rsidRDefault="002767B2" w:rsidP="002767B2">
      <w:r w:rsidRPr="00F23C5E">
        <w:t>Post-money valuation is a</w:t>
      </w:r>
      <w:r>
        <w:t>n</w:t>
      </w:r>
      <w:r w:rsidRPr="00F23C5E">
        <w:t xml:space="preserve"> </w:t>
      </w:r>
      <w:r>
        <w:t>important</w:t>
      </w:r>
      <w:r w:rsidRPr="00F23C5E">
        <w:t xml:space="preserve"> estimate as it </w:t>
      </w:r>
      <w:r>
        <w:t xml:space="preserve">can </w:t>
      </w:r>
      <w:r w:rsidRPr="00F23C5E">
        <w:t>incorporate investors' expectations of future cash flows, which is particularly relevant for younger firms lacking an extensive track record of business performance. However, this approach has its limitations, including the assumption that the investment price per share paid would be the same if the entire company were to be acquired</w:t>
      </w:r>
      <w:r>
        <w:t xml:space="preserve"> and that this is an actual reflection of the firm’s value</w:t>
      </w:r>
      <w:r w:rsidRPr="00F23C5E">
        <w:t>.</w:t>
      </w:r>
    </w:p>
    <w:p w14:paraId="3B9884AF" w14:textId="2E0D5562" w:rsidR="005C7FE3" w:rsidRPr="00F23C5E" w:rsidRDefault="002767B2" w:rsidP="002767B2">
      <w:r w:rsidRPr="00F23C5E">
        <w:lastRenderedPageBreak/>
        <w:t>Moreover, it is essential to exercise caution when interpreting these trends due to potential inaccuracies in share allotments and other complexities such as shares tied to other companies or multi-layered corporate structures, as well as the inclusion of share issuance structures like options, which can impact this estimate.</w:t>
      </w:r>
      <w:r>
        <w:t xml:space="preserve"> </w:t>
      </w:r>
      <w:r w:rsidRPr="00F23C5E">
        <w:t>Therefore, it is crucial to approach this metric with caution</w:t>
      </w:r>
      <w:r>
        <w:t>.</w:t>
      </w:r>
    </w:p>
    <w:p w14:paraId="66516152" w14:textId="30B341C2" w:rsidR="003B7525" w:rsidRDefault="0042793A" w:rsidP="003B7525">
      <w:pPr>
        <w:pStyle w:val="Caption"/>
        <w:rPr>
          <w:noProof/>
        </w:rPr>
      </w:pPr>
      <w:bookmarkStart w:id="155" w:name="_Ref145071446"/>
      <w:r>
        <w:t xml:space="preserve">Figure </w:t>
      </w:r>
      <w:r>
        <w:fldChar w:fldCharType="begin"/>
      </w:r>
      <w:r>
        <w:instrText>SEQ Figure \* ARABIC</w:instrText>
      </w:r>
      <w:r>
        <w:fldChar w:fldCharType="separate"/>
      </w:r>
      <w:r w:rsidR="00BC412E">
        <w:rPr>
          <w:noProof/>
        </w:rPr>
        <w:t>15</w:t>
      </w:r>
      <w:r>
        <w:fldChar w:fldCharType="end"/>
      </w:r>
      <w:bookmarkEnd w:id="155"/>
      <w:r>
        <w:t xml:space="preserve">: </w:t>
      </w:r>
      <w:r w:rsidRPr="007E7AD7">
        <w:t xml:space="preserve">Median matched cohort post-money </w:t>
      </w:r>
      <w:proofErr w:type="gramStart"/>
      <w:r w:rsidRPr="007E7AD7">
        <w:t>valuation</w:t>
      </w:r>
      <w:proofErr w:type="gramEnd"/>
    </w:p>
    <w:p w14:paraId="791F0643" w14:textId="11FEA048" w:rsidR="00891876" w:rsidRPr="00891876" w:rsidRDefault="003B7525" w:rsidP="003B7525">
      <w:pPr>
        <w:pStyle w:val="Caption"/>
        <w:jc w:val="center"/>
      </w:pPr>
      <w:r>
        <w:rPr>
          <w:noProof/>
        </w:rPr>
        <w:drawing>
          <wp:inline distT="0" distB="0" distL="0" distR="0" wp14:anchorId="7057A0DA" wp14:editId="52F5CF69">
            <wp:extent cx="4667416" cy="4055110"/>
            <wp:effectExtent l="0" t="0" r="0" b="0"/>
            <wp:docPr id="212463363" name="Picture 1" descr="Figure 15 is a line graph that illustrates the median matched cohort post-money valuation from 2018 to 2022, showing the comparison between the &quot;Portfolio median growth rate&quot; and the &quot;Counterfactual median growth rate.&quot;&#10;&#10;The following key features are present:&#10;&#10;The x-axis represents years, spanning from 2018 to 2022.&#10;The y-axis measures growth percentages, ranging from -60% to 120%.&#10;Two major events are labelled on the graph:&#10;&quot;RAP launched (Q4 2018)&quot; positioned near the end of 2018.&#10;&quot;RAP first SME funding (Early 2020)&quot; denoted by a vertical dashed line in early 2020.&#10;Two lines depict the growth rates:&#10;&#10;Counterfactual median growth rate (light blue line): This line starts around 70% in 2018, drops to 40% in 2019, maintains this till 2020, rises close to 100% in 2021, and then dips to below 80% in 2022.&#10;&#10;Portfolio median growth rate (dark blue line): Beginning just above -40% in 2018, rises to just above 100% in 2019, drops to 40% in 2020, drops further below 20% in 2021, and rises slightly above 2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3363" name="Picture 1" descr="Figure 15 is a line graph that illustrates the median matched cohort post-money valuation from 2018 to 2022, showing the comparison between the &quot;Portfolio median growth rate&quot; and the &quot;Counterfactual median growth rate.&quot;&#10;&#10;The following key features are present:&#10;&#10;The x-axis represents years, spanning from 2018 to 2022.&#10;The y-axis measures growth percentages, ranging from -60% to 120%.&#10;Two major events are labelled on the graph:&#10;&quot;RAP launched (Q4 2018)&quot; positioned near the end of 2018.&#10;&quot;RAP first SME funding (Early 2020)&quot; denoted by a vertical dashed line in early 2020.&#10;Two lines depict the growth rates:&#10;&#10;Counterfactual median growth rate (light blue line): This line starts around 70% in 2018, drops to 40% in 2019, maintains this till 2020, rises close to 100% in 2021, and then dips to below 80% in 2022.&#10;&#10;Portfolio median growth rate (dark blue line): Beginning just above -40% in 2018, rises to just above 100% in 2019, drops to 40% in 2020, drops further below 20% in 2021, and rises slightly above 20% in 2022."/>
                    <pic:cNvPicPr/>
                  </pic:nvPicPr>
                  <pic:blipFill>
                    <a:blip r:embed="rId51"/>
                    <a:stretch>
                      <a:fillRect/>
                    </a:stretch>
                  </pic:blipFill>
                  <pic:spPr>
                    <a:xfrm>
                      <a:off x="0" y="0"/>
                      <a:ext cx="4671572" cy="4058721"/>
                    </a:xfrm>
                    <a:prstGeom prst="rect">
                      <a:avLst/>
                    </a:prstGeom>
                  </pic:spPr>
                </pic:pic>
              </a:graphicData>
            </a:graphic>
          </wp:inline>
        </w:drawing>
      </w:r>
    </w:p>
    <w:p w14:paraId="658860BE" w14:textId="5750D725" w:rsidR="00B01838" w:rsidRDefault="00B01838" w:rsidP="00B01838">
      <w:pPr>
        <w:rPr>
          <w:i/>
        </w:rPr>
      </w:pPr>
      <w:r w:rsidRPr="005A0C36">
        <w:rPr>
          <w:i/>
          <w:color w:val="555674"/>
        </w:rPr>
        <w:t xml:space="preserve">Source: </w:t>
      </w:r>
      <w:r w:rsidRPr="005A0C36" w:rsidDel="00816E72">
        <w:rPr>
          <w:i/>
          <w:color w:val="555674"/>
        </w:rPr>
        <w:t>IDBR</w:t>
      </w:r>
      <w:r w:rsidR="00930236" w:rsidRPr="005A0C36">
        <w:rPr>
          <w:i/>
          <w:color w:val="555674"/>
        </w:rPr>
        <w:t>,</w:t>
      </w:r>
      <w:r w:rsidRPr="005A0C36" w:rsidDel="00816E72">
        <w:rPr>
          <w:i/>
          <w:color w:val="555674"/>
        </w:rPr>
        <w:t xml:space="preserve"> </w:t>
      </w:r>
      <w:proofErr w:type="spellStart"/>
      <w:r w:rsidR="00816E72" w:rsidRPr="005A0C36">
        <w:rPr>
          <w:i/>
          <w:color w:val="555674"/>
        </w:rPr>
        <w:t>Beauhurst</w:t>
      </w:r>
      <w:proofErr w:type="spellEnd"/>
      <w:r w:rsidR="00816E72" w:rsidRPr="005A0C36">
        <w:rPr>
          <w:i/>
          <w:color w:val="555674"/>
        </w:rPr>
        <w:t xml:space="preserve"> </w:t>
      </w:r>
      <w:r w:rsidRPr="005A0C36">
        <w:rPr>
          <w:i/>
          <w:color w:val="555674"/>
        </w:rPr>
        <w:t>data. N = 84 for the funded firms and N</w:t>
      </w:r>
      <w:r w:rsidR="00120FEE" w:rsidRPr="005A0C36">
        <w:rPr>
          <w:i/>
          <w:color w:val="555674"/>
        </w:rPr>
        <w:t xml:space="preserve"> </w:t>
      </w:r>
      <w:r w:rsidRPr="005A0C36">
        <w:rPr>
          <w:i/>
          <w:color w:val="555674"/>
        </w:rPr>
        <w:t>= 58 for the comparator group</w:t>
      </w:r>
    </w:p>
    <w:p w14:paraId="05D48A15" w14:textId="4D8F86BD" w:rsidR="00470476" w:rsidRDefault="00572327" w:rsidP="003B7525">
      <w:r>
        <w:fldChar w:fldCharType="begin"/>
      </w:r>
      <w:r>
        <w:instrText xml:space="preserve"> REF _Ref145071411 \h </w:instrText>
      </w:r>
      <w:r>
        <w:fldChar w:fldCharType="separate"/>
      </w:r>
      <w:r w:rsidR="00BC412E">
        <w:t xml:space="preserve">Figure </w:t>
      </w:r>
      <w:r w:rsidR="00BC412E">
        <w:rPr>
          <w:noProof/>
        </w:rPr>
        <w:t>16</w:t>
      </w:r>
      <w:r>
        <w:fldChar w:fldCharType="end"/>
      </w:r>
      <w:r w:rsidR="002767B2" w:rsidRPr="00A52373">
        <w:t xml:space="preserve"> (LHS) illustrates that the median post-money valuation growth for firms located in London and the </w:t>
      </w:r>
      <w:proofErr w:type="gramStart"/>
      <w:r w:rsidR="002767B2" w:rsidRPr="00A52373">
        <w:t>South East</w:t>
      </w:r>
      <w:proofErr w:type="gramEnd"/>
      <w:r w:rsidR="002767B2" w:rsidRPr="00A52373">
        <w:t xml:space="preserve"> exhibit</w:t>
      </w:r>
      <w:r w:rsidR="002767B2">
        <w:t xml:space="preserve"> </w:t>
      </w:r>
      <w:r w:rsidR="002767B2" w:rsidRPr="00A52373">
        <w:t xml:space="preserve">outperformance compared to their counterfactual peers, with a 54% increase in valuation compared to 44% in the counterfactual group. However, the overall performance observed in the national context, as depicted in </w:t>
      </w:r>
      <w:r>
        <w:fldChar w:fldCharType="begin"/>
      </w:r>
      <w:r>
        <w:instrText xml:space="preserve"> REF _Ref145071446 \h </w:instrText>
      </w:r>
      <w:r>
        <w:fldChar w:fldCharType="separate"/>
      </w:r>
      <w:r w:rsidR="00BC412E">
        <w:t xml:space="preserve">Figure </w:t>
      </w:r>
      <w:r w:rsidR="00BC412E">
        <w:rPr>
          <w:noProof/>
        </w:rPr>
        <w:t>15</w:t>
      </w:r>
      <w:r>
        <w:fldChar w:fldCharType="end"/>
      </w:r>
      <w:r w:rsidR="002767B2" w:rsidRPr="00A52373">
        <w:t xml:space="preserve"> above, is exacerbated by the significant underperformance of RAP funded firms in the rest of the UK. Specifically, there is a 22% increase in valuation for RAP funded firms in contrast to a substantial 102% increase for the counterfactual group</w:t>
      </w:r>
      <w:r w:rsidR="002767B2">
        <w:t xml:space="preserve"> in 2022.</w:t>
      </w:r>
    </w:p>
    <w:p w14:paraId="766868A4" w14:textId="770D8F49" w:rsidR="00891876" w:rsidRDefault="00891876" w:rsidP="00810117">
      <w:pPr>
        <w:pStyle w:val="Caption"/>
        <w:rPr>
          <w:noProof/>
        </w:rPr>
      </w:pPr>
      <w:bookmarkStart w:id="156" w:name="_Ref145071411"/>
      <w:r>
        <w:lastRenderedPageBreak/>
        <w:t xml:space="preserve">Figure </w:t>
      </w:r>
      <w:r>
        <w:fldChar w:fldCharType="begin"/>
      </w:r>
      <w:r>
        <w:instrText>SEQ Figure \* ARABIC</w:instrText>
      </w:r>
      <w:r>
        <w:fldChar w:fldCharType="separate"/>
      </w:r>
      <w:r w:rsidR="00BC412E">
        <w:rPr>
          <w:noProof/>
        </w:rPr>
        <w:t>16</w:t>
      </w:r>
      <w:r>
        <w:fldChar w:fldCharType="end"/>
      </w:r>
      <w:bookmarkEnd w:id="156"/>
      <w:r>
        <w:t xml:space="preserve">: </w:t>
      </w:r>
      <w:r w:rsidRPr="008E3519">
        <w:t>M</w:t>
      </w:r>
      <w:r>
        <w:t>edian m</w:t>
      </w:r>
      <w:r w:rsidRPr="008E3519">
        <w:t xml:space="preserve">atched </w:t>
      </w:r>
      <w:r>
        <w:t>c</w:t>
      </w:r>
      <w:r w:rsidRPr="008E3519">
        <w:t>ohort post-money valuation</w:t>
      </w:r>
      <w:r>
        <w:t xml:space="preserve"> by region, London and The </w:t>
      </w:r>
      <w:proofErr w:type="gramStart"/>
      <w:r>
        <w:t>South East</w:t>
      </w:r>
      <w:proofErr w:type="gramEnd"/>
      <w:r>
        <w:t xml:space="preserve"> (LHS), Rest of the UK (RHS)</w:t>
      </w:r>
    </w:p>
    <w:p w14:paraId="2708E8E3" w14:textId="56DB1DF4" w:rsidR="00810117" w:rsidRPr="00810117" w:rsidRDefault="00810117" w:rsidP="00810117">
      <w:r>
        <w:rPr>
          <w:noProof/>
        </w:rPr>
        <w:drawing>
          <wp:inline distT="0" distB="0" distL="0" distR="0" wp14:anchorId="2F1906F6" wp14:editId="7D11ED8C">
            <wp:extent cx="6188710" cy="2296795"/>
            <wp:effectExtent l="0" t="0" r="0" b="0"/>
            <wp:docPr id="360503729" name="Picture 1" descr="Figure 16 displays a side-by-side comparison of median post-money valuation growth for RAP-funded firms and their counterfactual counterparts, broken down by region: London and the South East on the left-hand side (LHS) and the Rest of the UK on the right-hand side (RHS).&#10;&#10;Both graphs share the same axes and format: &#10;&#10;The x-axis represents the years from 2018 through 2022.&#10;The y-axis indicates the growth rate percentages, ranging from -150% to 450%.&#10;&#10;Two significant events are highlighted in both charts:&#10;&quot;RAP launched (Q4 2018)&quot; is indicated at the end of 2018.&#10;&quot;RAP first SME funding (Early 2020)&quot; is marked with a vertical dashed line in early 2020.&#10;&#10;In the London &amp; South East graph (LHS): &#10;&#10;The &quot;Portfolio average growth rate&quot; is shown with a dark blue line, which starts around 0% in 2018, starts about constant through to 2019, rises to 200% in 2020, drops to around 50% in 2021 and stays the same fairly constant through 2022.&#10;The &quot;Counterfactual average growth rate&quot; is depicted by a  lighter blue line, beginning around 100% in 2018, drops close to -50% in 2020, rises close to 800% in 2021, then drops close to 0% in 2022.&#10;&#10;For the Rest of UK graph (RHS): &#10;The &quot;Portfolio average growth rate&quot; is shown with a dark blue line, which starts at -50% in 2018, then rises to about 125% in 2019, drops to lower than 50% in 2020, drops further to 0% in 2021, then rises slightly in 2022.&#10;The &quot;Counterfactual average growth rate&quot; is represented by a light blue line, which begins around 25% in 2018 and rises to close to 50% in 2019, rising further close to 150%, before drops close to -50% before rising close to 75%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03729" name="Picture 1" descr="Figure 16 displays a side-by-side comparison of median post-money valuation growth for RAP-funded firms and their counterfactual counterparts, broken down by region: London and the South East on the left-hand side (LHS) and the Rest of the UK on the right-hand side (RHS).&#10;&#10;Both graphs share the same axes and format: &#10;&#10;The x-axis represents the years from 2018 through 2022.&#10;The y-axis indicates the growth rate percentages, ranging from -150% to 450%.&#10;&#10;Two significant events are highlighted in both charts:&#10;&quot;RAP launched (Q4 2018)&quot; is indicated at the end of 2018.&#10;&quot;RAP first SME funding (Early 2020)&quot; is marked with a vertical dashed line in early 2020.&#10;&#10;In the London &amp; South East graph (LHS): &#10;&#10;The &quot;Portfolio average growth rate&quot; is shown with a dark blue line, which starts around 0% in 2018, starts about constant through to 2019, rises to 200% in 2020, drops to around 50% in 2021 and stays the same fairly constant through 2022.&#10;The &quot;Counterfactual average growth rate&quot; is depicted by a  lighter blue line, beginning around 100% in 2018, drops close to -50% in 2020, rises close to 800% in 2021, then drops close to 0% in 2022.&#10;&#10;For the Rest of UK graph (RHS): &#10;The &quot;Portfolio average growth rate&quot; is shown with a dark blue line, which starts at -50% in 2018, then rises to about 125% in 2019, drops to lower than 50% in 2020, drops further to 0% in 2021, then rises slightly in 2022.&#10;The &quot;Counterfactual average growth rate&quot; is represented by a light blue line, which begins around 25% in 2018 and rises to close to 50% in 2019, rising further close to 150%, before drops close to -50% before rising close to 75% in 2022. "/>
                    <pic:cNvPicPr/>
                  </pic:nvPicPr>
                  <pic:blipFill>
                    <a:blip r:embed="rId52"/>
                    <a:stretch>
                      <a:fillRect/>
                    </a:stretch>
                  </pic:blipFill>
                  <pic:spPr>
                    <a:xfrm>
                      <a:off x="0" y="0"/>
                      <a:ext cx="6188710" cy="2296795"/>
                    </a:xfrm>
                    <a:prstGeom prst="rect">
                      <a:avLst/>
                    </a:prstGeom>
                  </pic:spPr>
                </pic:pic>
              </a:graphicData>
            </a:graphic>
          </wp:inline>
        </w:drawing>
      </w:r>
    </w:p>
    <w:p w14:paraId="0569E3DA" w14:textId="535A97A8" w:rsidR="00891876" w:rsidRDefault="00891876" w:rsidP="00B01838">
      <w:pPr>
        <w:rPr>
          <w:i/>
          <w:iCs/>
        </w:rPr>
      </w:pPr>
      <w:r w:rsidRPr="005A0C36">
        <w:rPr>
          <w:i/>
          <w:color w:val="555674"/>
        </w:rPr>
        <w:t xml:space="preserve">Source: </w:t>
      </w:r>
      <w:r w:rsidRPr="005A0C36" w:rsidDel="00816E72">
        <w:rPr>
          <w:i/>
          <w:color w:val="555674"/>
        </w:rPr>
        <w:t>IDBR</w:t>
      </w:r>
      <w:r w:rsidR="00930236" w:rsidRPr="005A0C36">
        <w:rPr>
          <w:i/>
          <w:color w:val="555674"/>
        </w:rPr>
        <w:t>,</w:t>
      </w:r>
      <w:r w:rsidRPr="005A0C36" w:rsidDel="00816E72">
        <w:rPr>
          <w:i/>
          <w:color w:val="555674"/>
        </w:rPr>
        <w:t xml:space="preserve"> </w:t>
      </w:r>
      <w:proofErr w:type="spellStart"/>
      <w:r w:rsidR="00816E72" w:rsidRPr="005A0C36">
        <w:rPr>
          <w:i/>
          <w:color w:val="555674"/>
        </w:rPr>
        <w:t>Beuahurst</w:t>
      </w:r>
      <w:proofErr w:type="spellEnd"/>
      <w:r w:rsidR="00816E72" w:rsidRPr="005A0C36">
        <w:rPr>
          <w:i/>
          <w:color w:val="555674"/>
        </w:rPr>
        <w:t xml:space="preserve"> </w:t>
      </w:r>
      <w:r w:rsidRPr="005A0C36">
        <w:rPr>
          <w:i/>
          <w:color w:val="555674"/>
        </w:rPr>
        <w:t xml:space="preserve">data. N = 33 for London and </w:t>
      </w:r>
      <w:proofErr w:type="gramStart"/>
      <w:r w:rsidRPr="005A0C36">
        <w:rPr>
          <w:i/>
          <w:color w:val="555674"/>
        </w:rPr>
        <w:t>South East</w:t>
      </w:r>
      <w:proofErr w:type="gramEnd"/>
      <w:r w:rsidRPr="005A0C36">
        <w:rPr>
          <w:i/>
          <w:color w:val="555674"/>
        </w:rPr>
        <w:t xml:space="preserve"> funded firms, 25 for other regions and N</w:t>
      </w:r>
      <w:r w:rsidR="00120FEE" w:rsidRPr="005A0C36">
        <w:rPr>
          <w:i/>
          <w:color w:val="555674"/>
        </w:rPr>
        <w:t xml:space="preserve"> </w:t>
      </w:r>
      <w:r w:rsidRPr="005A0C36">
        <w:rPr>
          <w:i/>
          <w:color w:val="555674"/>
        </w:rPr>
        <w:t>= 25 for the London and South East comparator group and 59 for other regions</w:t>
      </w:r>
    </w:p>
    <w:p w14:paraId="3D262A05" w14:textId="0B6D0C3C" w:rsidR="002767B2" w:rsidRPr="00D8407C" w:rsidRDefault="002767B2" w:rsidP="002767B2">
      <w:pPr>
        <w:pStyle w:val="Heading2"/>
      </w:pPr>
      <w:bookmarkStart w:id="157" w:name="_Toc144830576"/>
      <w:bookmarkStart w:id="158" w:name="_Toc165482238"/>
      <w:bookmarkStart w:id="159" w:name="_Toc165497202"/>
      <w:r>
        <w:t xml:space="preserve">8.4 </w:t>
      </w:r>
      <w:r w:rsidR="00750025">
        <w:t xml:space="preserve">Valuation to sales ratio shows similar story to post-money </w:t>
      </w:r>
      <w:proofErr w:type="gramStart"/>
      <w:r w:rsidR="00750025">
        <w:t>valuations</w:t>
      </w:r>
      <w:bookmarkEnd w:id="157"/>
      <w:bookmarkEnd w:id="158"/>
      <w:bookmarkEnd w:id="159"/>
      <w:proofErr w:type="gramEnd"/>
    </w:p>
    <w:p w14:paraId="533E070B" w14:textId="7C26CEC4" w:rsidR="008901A7" w:rsidRDefault="002767B2" w:rsidP="002767B2">
      <w:proofErr w:type="gramStart"/>
      <w:r w:rsidRPr="003E17D5">
        <w:t>Similar to</w:t>
      </w:r>
      <w:proofErr w:type="gramEnd"/>
      <w:r w:rsidRPr="003E17D5">
        <w:t xml:space="preserve"> the post-money valuations trend in 2022, RAP funded firms exhibited a relative underperformance compared to the counterfactual group in terms of the valuation to sales ratio</w:t>
      </w:r>
      <w:r>
        <w:t xml:space="preserve"> growth since the RAP intervention</w:t>
      </w:r>
      <w:r w:rsidRPr="003E17D5">
        <w:t>. The portfolio group experienced a decline of 33% in this ratio, while the counterfactual group saw an increase of 30%. It is important to note that the impact of the RAP Programme is still in the process of influencing revenue performance, and therefore, this ratio may not have captured any additional revenue generation experienced by RAP funded firms that would contribute to this metric.</w:t>
      </w:r>
    </w:p>
    <w:p w14:paraId="4571F7E0" w14:textId="33BCCF73" w:rsidR="000B5AA6" w:rsidRDefault="000B5AA6" w:rsidP="00D8407C">
      <w:pPr>
        <w:pStyle w:val="Caption"/>
      </w:pPr>
    </w:p>
    <w:p w14:paraId="6D6F495D" w14:textId="615E65C6" w:rsidR="000B5AA6" w:rsidRDefault="000B5AA6" w:rsidP="00D8407C">
      <w:pPr>
        <w:pStyle w:val="Caption"/>
      </w:pPr>
    </w:p>
    <w:p w14:paraId="7D7359D5" w14:textId="4D4A38B7" w:rsidR="000B5AA6" w:rsidRDefault="000B5AA6" w:rsidP="00D8407C">
      <w:pPr>
        <w:pStyle w:val="Caption"/>
      </w:pPr>
    </w:p>
    <w:p w14:paraId="336E9388" w14:textId="341E9416" w:rsidR="000B5AA6" w:rsidRDefault="000B5AA6" w:rsidP="00D8407C">
      <w:pPr>
        <w:pStyle w:val="Caption"/>
      </w:pPr>
    </w:p>
    <w:p w14:paraId="5BD989BD" w14:textId="77777777" w:rsidR="00470476" w:rsidRPr="00470476" w:rsidRDefault="00470476" w:rsidP="00470476"/>
    <w:p w14:paraId="56A0A319" w14:textId="77777777" w:rsidR="006C4EFC" w:rsidRPr="006C4EFC" w:rsidRDefault="006C4EFC" w:rsidP="006C4EFC"/>
    <w:p w14:paraId="0A0BAB7D" w14:textId="29BC4A9C" w:rsidR="00810117" w:rsidRDefault="00891876" w:rsidP="00810117">
      <w:pPr>
        <w:pStyle w:val="Caption"/>
        <w:rPr>
          <w:noProof/>
        </w:rPr>
      </w:pPr>
      <w:r>
        <w:lastRenderedPageBreak/>
        <w:t xml:space="preserve">Figure </w:t>
      </w:r>
      <w:r>
        <w:fldChar w:fldCharType="begin"/>
      </w:r>
      <w:r>
        <w:instrText>SEQ Figure \* ARABIC</w:instrText>
      </w:r>
      <w:r>
        <w:fldChar w:fldCharType="separate"/>
      </w:r>
      <w:r w:rsidR="00BC412E">
        <w:rPr>
          <w:noProof/>
        </w:rPr>
        <w:t>17</w:t>
      </w:r>
      <w:r>
        <w:fldChar w:fldCharType="end"/>
      </w:r>
      <w:r>
        <w:t xml:space="preserve">: Median matched cohort valuation to sales </w:t>
      </w:r>
      <w:proofErr w:type="gramStart"/>
      <w:r>
        <w:t>ratio</w:t>
      </w:r>
      <w:proofErr w:type="gramEnd"/>
    </w:p>
    <w:p w14:paraId="09446E1C" w14:textId="6602B8EF" w:rsidR="00891876" w:rsidRDefault="00810117" w:rsidP="00810117">
      <w:pPr>
        <w:pStyle w:val="Caption"/>
        <w:jc w:val="center"/>
      </w:pPr>
      <w:r>
        <w:rPr>
          <w:noProof/>
        </w:rPr>
        <w:drawing>
          <wp:inline distT="0" distB="0" distL="0" distR="0" wp14:anchorId="117DA56F" wp14:editId="39CDC6B2">
            <wp:extent cx="4858603" cy="3793490"/>
            <wp:effectExtent l="0" t="0" r="0" b="0"/>
            <wp:docPr id="2078459394" name="Picture 1" descr="Figure 17 displays the median valuation-to-sales ratio for RAP-funded firms and their counterfactual counterparts in a matched cohort from 2018 to 2022.&#10;&#10;Key events are labelled on the chart:&#10;&#10;&quot;RAP launched (Q4 2018)&quot; is marked at the end of 2018.&#10;&quot;RAP first SME funding (Early 2020)&quot; is indicated by a vertical dashed line in early 2020.&#10;&#10;The x-axis denotes the years from 2018 to 2022, while the y-axis measures the percentage change from -80% to 120%.&#10;&#10;The &quot;Portfolio median growth rate&quot; represented by a dark blue line shows an increase from around -80% in 2018 close to 120% in 2019, then drops close to 20% in 2020 and then drops further close to -40%.&#10;&#10;The &quot;Counterfactual median growth rate&quot; represented by a light blue line rises from around -30% in 2018 to around -10% in 2019, drops just below -20% in 2020, rises to 40% in 2021 and drops slightly to around 3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59394" name="Picture 1" descr="Figure 17 displays the median valuation-to-sales ratio for RAP-funded firms and their counterfactual counterparts in a matched cohort from 2018 to 2022.&#10;&#10;Key events are labelled on the chart:&#10;&#10;&quot;RAP launched (Q4 2018)&quot; is marked at the end of 2018.&#10;&quot;RAP first SME funding (Early 2020)&quot; is indicated by a vertical dashed line in early 2020.&#10;&#10;The x-axis denotes the years from 2018 to 2022, while the y-axis measures the percentage change from -80% to 120%.&#10;&#10;The &quot;Portfolio median growth rate&quot; represented by a dark blue line shows an increase from around -80% in 2018 close to 120% in 2019, then drops close to 20% in 2020 and then drops further close to -40%.&#10;&#10;The &quot;Counterfactual median growth rate&quot; represented by a light blue line rises from around -30% in 2018 to around -10% in 2019, drops just below -20% in 2020, rises to 40% in 2021 and drops slightly to around 30% in 2022."/>
                    <pic:cNvPicPr/>
                  </pic:nvPicPr>
                  <pic:blipFill>
                    <a:blip r:embed="rId53"/>
                    <a:stretch>
                      <a:fillRect/>
                    </a:stretch>
                  </pic:blipFill>
                  <pic:spPr>
                    <a:xfrm>
                      <a:off x="0" y="0"/>
                      <a:ext cx="4865656" cy="3798997"/>
                    </a:xfrm>
                    <a:prstGeom prst="rect">
                      <a:avLst/>
                    </a:prstGeom>
                  </pic:spPr>
                </pic:pic>
              </a:graphicData>
            </a:graphic>
          </wp:inline>
        </w:drawing>
      </w:r>
    </w:p>
    <w:p w14:paraId="10709216" w14:textId="5578F37A" w:rsidR="00891876" w:rsidRPr="00D8407C" w:rsidRDefault="00891876" w:rsidP="00B01838">
      <w:pPr>
        <w:rPr>
          <w:i/>
          <w:iCs/>
        </w:rPr>
      </w:pPr>
      <w:r w:rsidRPr="005A0C36">
        <w:rPr>
          <w:i/>
          <w:color w:val="555674"/>
        </w:rPr>
        <w:t>Source: IDBR</w:t>
      </w:r>
      <w:r w:rsidR="00930236" w:rsidRPr="005A0C36">
        <w:rPr>
          <w:i/>
          <w:color w:val="555674"/>
        </w:rPr>
        <w:t>,</w:t>
      </w:r>
      <w:r w:rsidR="00816E72" w:rsidRPr="005A0C36">
        <w:rPr>
          <w:i/>
          <w:color w:val="555674"/>
        </w:rPr>
        <w:t xml:space="preserve"> </w:t>
      </w:r>
      <w:proofErr w:type="spellStart"/>
      <w:r w:rsidR="00816E72" w:rsidRPr="005A0C36">
        <w:rPr>
          <w:i/>
          <w:color w:val="555674"/>
        </w:rPr>
        <w:t>Beahurst</w:t>
      </w:r>
      <w:proofErr w:type="spellEnd"/>
      <w:r w:rsidRPr="005A0C36">
        <w:rPr>
          <w:i/>
          <w:color w:val="555674"/>
        </w:rPr>
        <w:t xml:space="preserve"> data. N = 84 for the funded firms and N</w:t>
      </w:r>
      <w:r w:rsidR="00120FEE" w:rsidRPr="005A0C36">
        <w:rPr>
          <w:i/>
          <w:color w:val="555674"/>
        </w:rPr>
        <w:t xml:space="preserve"> </w:t>
      </w:r>
      <w:r w:rsidRPr="005A0C36">
        <w:rPr>
          <w:i/>
          <w:color w:val="555674"/>
        </w:rPr>
        <w:t>= 58 for the comparator group</w:t>
      </w:r>
    </w:p>
    <w:p w14:paraId="28744F6C" w14:textId="7A0F42C3" w:rsidR="002767B2" w:rsidRPr="00F170C8" w:rsidRDefault="002767B2" w:rsidP="002767B2">
      <w:bookmarkStart w:id="160" w:name="_Hlk130809874"/>
      <w:r w:rsidRPr="003E17D5">
        <w:t>The</w:t>
      </w:r>
      <w:r>
        <w:t xml:space="preserve"> </w:t>
      </w:r>
      <w:r w:rsidRPr="00CB67C7">
        <w:t>valuation to sales ratio</w:t>
      </w:r>
      <w:r>
        <w:t xml:space="preserve"> </w:t>
      </w:r>
      <w:r w:rsidRPr="003E17D5">
        <w:t>serves as a valuable</w:t>
      </w:r>
      <w:r w:rsidR="00C6572F">
        <w:t xml:space="preserve"> potential</w:t>
      </w:r>
      <w:r w:rsidRPr="003E17D5">
        <w:t xml:space="preserve"> indicator of a firm's growth prospects as it quantifies the number of times an investor may be willing to pay for revenues as part of an acquisition. This ratio </w:t>
      </w:r>
      <w:r>
        <w:t>can</w:t>
      </w:r>
      <w:r w:rsidRPr="003E17D5">
        <w:t xml:space="preserve"> signal the potential for future realisation of those revenues.</w:t>
      </w:r>
      <w:r>
        <w:t xml:space="preserve"> </w:t>
      </w:r>
      <w:r w:rsidRPr="003E17D5">
        <w:t xml:space="preserve">However, it is important to recognise that this ratio </w:t>
      </w:r>
      <w:r>
        <w:t xml:space="preserve">is underpinned by the </w:t>
      </w:r>
      <w:r w:rsidR="00C6572F">
        <w:t>similar</w:t>
      </w:r>
      <w:r>
        <w:t xml:space="preserve"> limitations as with the valuation figures prior.</w:t>
      </w:r>
      <w:bookmarkEnd w:id="160"/>
    </w:p>
    <w:p w14:paraId="11179A6F" w14:textId="77777777" w:rsidR="002767B2" w:rsidRDefault="002767B2" w:rsidP="002767B2">
      <w:pPr>
        <w:pStyle w:val="Heading2"/>
      </w:pPr>
      <w:bookmarkStart w:id="161" w:name="_Toc144830577"/>
      <w:bookmarkStart w:id="162" w:name="_Toc165482239"/>
      <w:bookmarkStart w:id="163" w:name="_Toc165497203"/>
      <w:r w:rsidRPr="00D8407C">
        <w:t xml:space="preserve">8.5 Impact on turnover is likely limited at this early </w:t>
      </w:r>
      <w:proofErr w:type="gramStart"/>
      <w:r w:rsidRPr="00D8407C">
        <w:t>stage</w:t>
      </w:r>
      <w:bookmarkEnd w:id="161"/>
      <w:bookmarkEnd w:id="162"/>
      <w:bookmarkEnd w:id="163"/>
      <w:proofErr w:type="gramEnd"/>
    </w:p>
    <w:p w14:paraId="518C50A4" w14:textId="77777777" w:rsidR="002767B2" w:rsidRDefault="002767B2" w:rsidP="002767B2">
      <w:r w:rsidRPr="00B06264">
        <w:t xml:space="preserve">The </w:t>
      </w:r>
      <w:r>
        <w:t xml:space="preserve">median </w:t>
      </w:r>
      <w:r w:rsidRPr="00AF2084">
        <w:t xml:space="preserve">RAP funded firm </w:t>
      </w:r>
      <w:r>
        <w:t xml:space="preserve">has </w:t>
      </w:r>
      <w:r w:rsidRPr="00B06264">
        <w:t xml:space="preserve">shown </w:t>
      </w:r>
      <w:r>
        <w:t xml:space="preserve">a higher </w:t>
      </w:r>
      <w:r w:rsidRPr="00AF2084">
        <w:t>growth</w:t>
      </w:r>
      <w:r>
        <w:t xml:space="preserve"> in turnover</w:t>
      </w:r>
      <w:r w:rsidRPr="00AF2084">
        <w:t xml:space="preserve"> </w:t>
      </w:r>
      <w:r>
        <w:t xml:space="preserve">in </w:t>
      </w:r>
      <w:r w:rsidRPr="00AF2084">
        <w:t>2022</w:t>
      </w:r>
      <w:r>
        <w:t xml:space="preserve"> </w:t>
      </w:r>
      <w:r w:rsidRPr="00B06264">
        <w:t>compared</w:t>
      </w:r>
      <w:r>
        <w:t xml:space="preserve"> to the median firm in the comparator group</w:t>
      </w:r>
      <w:r w:rsidRPr="00AF2084">
        <w:t>.</w:t>
      </w:r>
      <w:r>
        <w:t xml:space="preserve"> RAP funded firms have outperformed the counterfactual </w:t>
      </w:r>
      <w:r w:rsidRPr="00B06264">
        <w:t>group</w:t>
      </w:r>
      <w:r>
        <w:t xml:space="preserve"> with </w:t>
      </w:r>
      <w:r w:rsidRPr="00B06264">
        <w:t>an</w:t>
      </w:r>
      <w:r>
        <w:t xml:space="preserve"> 84% increase in median turnover</w:t>
      </w:r>
      <w:r w:rsidRPr="00B06264">
        <w:t xml:space="preserve">, while </w:t>
      </w:r>
      <w:r>
        <w:t>the counterfactual</w:t>
      </w:r>
      <w:r w:rsidRPr="00B06264">
        <w:t xml:space="preserve"> group experienced a 35% increase.</w:t>
      </w:r>
    </w:p>
    <w:p w14:paraId="6D19DD9B" w14:textId="0EFE85E3" w:rsidR="00ED361E" w:rsidRDefault="002767B2" w:rsidP="002767B2">
      <w:r>
        <w:t xml:space="preserve">This encouraging </w:t>
      </w:r>
      <w:r w:rsidRPr="00B06264">
        <w:t>trend indicates positive</w:t>
      </w:r>
      <w:r>
        <w:t xml:space="preserve"> business health for RAP funded firms</w:t>
      </w:r>
      <w:r w:rsidRPr="00B06264">
        <w:t>, although it is important to note that</w:t>
      </w:r>
      <w:r>
        <w:t xml:space="preserve"> it is </w:t>
      </w:r>
      <w:r w:rsidRPr="00B06264">
        <w:t xml:space="preserve">still </w:t>
      </w:r>
      <w:r>
        <w:t xml:space="preserve">too early to </w:t>
      </w:r>
      <w:r w:rsidRPr="00B06264">
        <w:t xml:space="preserve">make definitive conclusions. Turnover </w:t>
      </w:r>
      <w:r>
        <w:t xml:space="preserve">takes </w:t>
      </w:r>
      <w:r>
        <w:lastRenderedPageBreak/>
        <w:t>time to</w:t>
      </w:r>
      <w:r w:rsidRPr="00B06264">
        <w:t xml:space="preserve"> materialise, particularly for </w:t>
      </w:r>
      <w:r>
        <w:t xml:space="preserve">early-stage firms like </w:t>
      </w:r>
      <w:r w:rsidRPr="00B06264">
        <w:t>those</w:t>
      </w:r>
      <w:r>
        <w:t xml:space="preserve"> funded by the Programme.</w:t>
      </w:r>
      <w:r w:rsidRPr="00B06264">
        <w:t xml:space="preserve"> Therefore, further observation and analysis will be necessary to assess the long-term impact on turnover and ascertain the sustained growth and success of RAP funded firms.</w:t>
      </w:r>
    </w:p>
    <w:p w14:paraId="6CDC6905" w14:textId="6AE2000E" w:rsidR="00810117" w:rsidRDefault="00B668B0" w:rsidP="00810117">
      <w:pPr>
        <w:pStyle w:val="Caption"/>
        <w:rPr>
          <w:iCs w:val="0"/>
          <w:noProof/>
        </w:rPr>
      </w:pPr>
      <w:r>
        <w:t xml:space="preserve">Figure </w:t>
      </w:r>
      <w:r>
        <w:fldChar w:fldCharType="begin"/>
      </w:r>
      <w:r>
        <w:instrText>SEQ Figure \* ARABIC</w:instrText>
      </w:r>
      <w:r>
        <w:fldChar w:fldCharType="separate"/>
      </w:r>
      <w:r w:rsidR="00BC412E">
        <w:rPr>
          <w:noProof/>
        </w:rPr>
        <w:t>18</w:t>
      </w:r>
      <w:r>
        <w:fldChar w:fldCharType="end"/>
      </w:r>
      <w:r w:rsidR="00CF05F6">
        <w:t>:</w:t>
      </w:r>
      <w:r w:rsidR="0042793A" w:rsidRPr="0042793A">
        <w:t xml:space="preserve"> </w:t>
      </w:r>
      <w:r w:rsidR="0042793A">
        <w:t xml:space="preserve">Median turnover growth </w:t>
      </w:r>
      <w:proofErr w:type="gramStart"/>
      <w:r w:rsidR="0042793A">
        <w:t>rate</w:t>
      </w:r>
      <w:proofErr w:type="gramEnd"/>
    </w:p>
    <w:p w14:paraId="7A48C015" w14:textId="148E4A5A" w:rsidR="00B668B0" w:rsidRDefault="00810117" w:rsidP="00810117">
      <w:pPr>
        <w:pStyle w:val="Caption"/>
        <w:rPr>
          <w:iCs w:val="0"/>
        </w:rPr>
      </w:pPr>
      <w:r>
        <w:rPr>
          <w:noProof/>
        </w:rPr>
        <w:drawing>
          <wp:inline distT="0" distB="0" distL="0" distR="0" wp14:anchorId="31C712C6" wp14:editId="12F4C25C">
            <wp:extent cx="6188710" cy="2825750"/>
            <wp:effectExtent l="0" t="0" r="0" b="0"/>
            <wp:docPr id="1473379255" name="Picture 1" descr="Figure 18 display a line graph illustrating the median turnover growth rate for RAP-funded firms compared to a matched cohort of counterfactual firms.&#10;&#10;The x-axis represents time from 2018 to 2022, and the y-axis shows the percentage growth ranging from -20% to 160%. &#10;&#10;There are two marker events on the chart:&#10;&quot;RAP launched (Q4 2018)&quot; is noted at the end of 2018.&#10;&quot;RAP first SME funding (Early 2020)&quot; is represented by a dashed vertical line at the start of 2020. &#10;&#10;The &quot;Portfolio median growth rate&quot; represented by a dark blue line starts just above 80% in 2018, drops just below 0% in 2019, rises through 2020 to around 20% in 2021, then rises again close to 80% in 2022.&#10;&#10;The &quot;Counterfactual median growth rate&quot; represented by a light blue line starts at 140% in 2018, drops to 60% in 2019, rises just above 80% in 2020, drops just below 40% in 2021 and stay fairly constant til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79255" name="Picture 1" descr="Figure 18 display a line graph illustrating the median turnover growth rate for RAP-funded firms compared to a matched cohort of counterfactual firms.&#10;&#10;The x-axis represents time from 2018 to 2022, and the y-axis shows the percentage growth ranging from -20% to 160%. &#10;&#10;There are two marker events on the chart:&#10;&quot;RAP launched (Q4 2018)&quot; is noted at the end of 2018.&#10;&quot;RAP first SME funding (Early 2020)&quot; is represented by a dashed vertical line at the start of 2020. &#10;&#10;The &quot;Portfolio median growth rate&quot; represented by a dark blue line starts just above 80% in 2018, drops just below 0% in 2019, rises through 2020 to around 20% in 2021, then rises again close to 80% in 2022.&#10;&#10;The &quot;Counterfactual median growth rate&quot; represented by a light blue line starts at 140% in 2018, drops to 60% in 2019, rises just above 80% in 2020, drops just below 40% in 2021 and stay fairly constant till 2022."/>
                    <pic:cNvPicPr/>
                  </pic:nvPicPr>
                  <pic:blipFill>
                    <a:blip r:embed="rId54"/>
                    <a:stretch>
                      <a:fillRect/>
                    </a:stretch>
                  </pic:blipFill>
                  <pic:spPr>
                    <a:xfrm>
                      <a:off x="0" y="0"/>
                      <a:ext cx="6188710" cy="2825750"/>
                    </a:xfrm>
                    <a:prstGeom prst="rect">
                      <a:avLst/>
                    </a:prstGeom>
                  </pic:spPr>
                </pic:pic>
              </a:graphicData>
            </a:graphic>
          </wp:inline>
        </w:drawing>
      </w:r>
    </w:p>
    <w:p w14:paraId="53FDD32C" w14:textId="76A7FD81" w:rsidR="00B668B0" w:rsidRPr="00D8407C" w:rsidRDefault="00B668B0" w:rsidP="00B668B0">
      <w:pPr>
        <w:rPr>
          <w:i/>
          <w:iCs/>
        </w:rPr>
      </w:pPr>
      <w:r w:rsidRPr="005A0C36">
        <w:rPr>
          <w:i/>
          <w:color w:val="555674"/>
        </w:rPr>
        <w:t>Source: IDBR</w:t>
      </w:r>
      <w:r w:rsidR="00930236" w:rsidRPr="005A0C36">
        <w:rPr>
          <w:i/>
          <w:color w:val="555674"/>
        </w:rPr>
        <w:t xml:space="preserve">, </w:t>
      </w:r>
      <w:proofErr w:type="spellStart"/>
      <w:r w:rsidR="00930236" w:rsidRPr="005A0C36">
        <w:rPr>
          <w:i/>
          <w:color w:val="555674"/>
        </w:rPr>
        <w:t>Beauhurst</w:t>
      </w:r>
      <w:proofErr w:type="spellEnd"/>
      <w:r w:rsidRPr="005A0C36">
        <w:rPr>
          <w:i/>
          <w:color w:val="555674"/>
        </w:rPr>
        <w:t xml:space="preserve"> data. N = 84 for the funded firms and N</w:t>
      </w:r>
      <w:r w:rsidR="00335CF3" w:rsidRPr="005A0C36">
        <w:rPr>
          <w:i/>
          <w:color w:val="555674"/>
        </w:rPr>
        <w:t xml:space="preserve"> </w:t>
      </w:r>
      <w:r w:rsidRPr="005A0C36">
        <w:rPr>
          <w:i/>
          <w:color w:val="555674"/>
        </w:rPr>
        <w:t>= 58 for the comparator group</w:t>
      </w:r>
    </w:p>
    <w:p w14:paraId="526C3B72" w14:textId="28AC7B63" w:rsidR="00B06264" w:rsidRDefault="00B06264" w:rsidP="00B06264">
      <w:r w:rsidRPr="00B06264">
        <w:t xml:space="preserve">When examining turnover by region, it becomes evident that firms based in London and the </w:t>
      </w:r>
      <w:proofErr w:type="gramStart"/>
      <w:r w:rsidRPr="00B06264">
        <w:t>South East</w:t>
      </w:r>
      <w:proofErr w:type="gramEnd"/>
      <w:r w:rsidRPr="00B06264">
        <w:t xml:space="preserve"> experienced higher growth in 2022. However, RAP funded firms in the rest of the UK displayed an underperformance compared to the counterfactual group. In particular, the median growth rate for London and the </w:t>
      </w:r>
      <w:proofErr w:type="gramStart"/>
      <w:r w:rsidRPr="00B06264">
        <w:t>South East</w:t>
      </w:r>
      <w:proofErr w:type="gramEnd"/>
      <w:r w:rsidRPr="00B06264">
        <w:t xml:space="preserve"> exceeded 100%, while the median growth rates for other regions remained below 30%.</w:t>
      </w:r>
    </w:p>
    <w:p w14:paraId="37159530" w14:textId="77777777" w:rsidR="002767B2" w:rsidRDefault="002767B2" w:rsidP="00B06264"/>
    <w:p w14:paraId="456D2C08" w14:textId="77777777" w:rsidR="002767B2" w:rsidRDefault="002767B2" w:rsidP="00B06264"/>
    <w:p w14:paraId="2ACBAFF0" w14:textId="77777777" w:rsidR="00D67514" w:rsidRDefault="00D67514" w:rsidP="00B06264"/>
    <w:p w14:paraId="6A5BC7C9" w14:textId="77777777" w:rsidR="00D67514" w:rsidRDefault="00D67514" w:rsidP="00B06264"/>
    <w:p w14:paraId="38105590" w14:textId="77777777" w:rsidR="00D67514" w:rsidRDefault="00D67514" w:rsidP="00B06264"/>
    <w:p w14:paraId="77FCB980" w14:textId="77777777" w:rsidR="002767B2" w:rsidRDefault="002767B2" w:rsidP="00B06264"/>
    <w:p w14:paraId="04260204" w14:textId="2EA5060F" w:rsidR="00810117" w:rsidRDefault="0042793A" w:rsidP="00810117">
      <w:pPr>
        <w:pStyle w:val="Caption"/>
        <w:rPr>
          <w:noProof/>
        </w:rPr>
      </w:pPr>
      <w:r>
        <w:lastRenderedPageBreak/>
        <w:t xml:space="preserve">Figure </w:t>
      </w:r>
      <w:r>
        <w:fldChar w:fldCharType="begin"/>
      </w:r>
      <w:r>
        <w:instrText>SEQ Figure \* ARABIC</w:instrText>
      </w:r>
      <w:r>
        <w:fldChar w:fldCharType="separate"/>
      </w:r>
      <w:r w:rsidR="00BC412E">
        <w:rPr>
          <w:noProof/>
        </w:rPr>
        <w:t>19</w:t>
      </w:r>
      <w:r>
        <w:fldChar w:fldCharType="end"/>
      </w:r>
      <w:r>
        <w:t xml:space="preserve">: </w:t>
      </w:r>
      <w:r w:rsidRPr="008A37C3">
        <w:t xml:space="preserve">Median turnover growth rate by region, London and the </w:t>
      </w:r>
      <w:proofErr w:type="gramStart"/>
      <w:r w:rsidRPr="008A37C3">
        <w:t>South East</w:t>
      </w:r>
      <w:proofErr w:type="gramEnd"/>
      <w:r w:rsidRPr="008A37C3">
        <w:t xml:space="preserve"> (LHS), Rest of the UK (RHS)</w:t>
      </w:r>
      <w:r w:rsidR="00470476">
        <w:t xml:space="preserve"> </w:t>
      </w:r>
    </w:p>
    <w:p w14:paraId="19A14FD3" w14:textId="6892C903" w:rsidR="00D67514" w:rsidRPr="00D67514" w:rsidRDefault="00810117" w:rsidP="00810117">
      <w:pPr>
        <w:pStyle w:val="Caption"/>
      </w:pPr>
      <w:r>
        <w:rPr>
          <w:noProof/>
        </w:rPr>
        <w:drawing>
          <wp:inline distT="0" distB="0" distL="0" distR="0" wp14:anchorId="623672E5" wp14:editId="7C771C90">
            <wp:extent cx="6188710" cy="2305685"/>
            <wp:effectExtent l="0" t="0" r="0" b="0"/>
            <wp:docPr id="138654242" name="Picture 1" descr="Figure 19 displays two line graphs side by side, comparing the median turnover growth rate in London &amp; the South East (LHS) compared to the rest of the UK (RHS) from 2018 to 2022.&#10;&#10;Both graphs have the same scale and format:&#10;&#10;The x-axis denotes years, ranging from 2018 to 2022.&#10;The y-axis measures percentages, extending from -10% to 350%, signifying the growth rate.&#10;In both charts, two key events are labelled:&#10;&#10;&quot;RAP launched (Q4 2018)&quot; is pinpointed around the end of 2018.&#10;&quot;RAP first SME funding (Early 2020)&quot; is marked by a vertical dashed line in early 2020.&#10;&#10;London &amp; South East (LHS):&#10;The dark blue line, representing the &quot;London &amp; SE (Portfolio average growth rate)&quot;, starts at 50% in 2018, drops to 0% in 2019, rises above 25% in 2020, stays fairly constant till 2021, then rises past 100% in 2022.&#10;&#10;The lighter blue line, depicting the &quot;London &amp; SE (Counterfactual average growth rate)&quot;, starts around 130% in 2018, drops below 50% in 2019, rises close to 300% in 2020, drops close to 0% in 2021, and then rises close to 100% in 2022.&#10;&#10;In the right chart (Rest of UK):&#10;&#10;The dark blue line, for the &quot;Rest of UK (Portfolio average growth rate)&quot; starts at 30% in 2018, declines slightly in 2019, drops to 10% in 2020, rises till reaches close to 30% in 2022.&#10;&#10;The lighter blue line, showing the &quot;Rest of UK (Counterfactual average growth rate)&quot; starts at 0% in 2018, rises to around 80% in 2019, drops below 70% in 2020, rises to around 80% in 2021, before declining below 5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242" name="Picture 1" descr="Figure 19 displays two line graphs side by side, comparing the median turnover growth rate in London &amp; the South East (LHS) compared to the rest of the UK (RHS) from 2018 to 2022.&#10;&#10;Both graphs have the same scale and format:&#10;&#10;The x-axis denotes years, ranging from 2018 to 2022.&#10;The y-axis measures percentages, extending from -10% to 350%, signifying the growth rate.&#10;In both charts, two key events are labelled:&#10;&#10;&quot;RAP launched (Q4 2018)&quot; is pinpointed around the end of 2018.&#10;&quot;RAP first SME funding (Early 2020)&quot; is marked by a vertical dashed line in early 2020.&#10;&#10;London &amp; South East (LHS):&#10;The dark blue line, representing the &quot;London &amp; SE (Portfolio average growth rate)&quot;, starts at 50% in 2018, drops to 0% in 2019, rises above 25% in 2020, stays fairly constant till 2021, then rises past 100% in 2022.&#10;&#10;The lighter blue line, depicting the &quot;London &amp; SE (Counterfactual average growth rate)&quot;, starts around 130% in 2018, drops below 50% in 2019, rises close to 300% in 2020, drops close to 0% in 2021, and then rises close to 100% in 2022.&#10;&#10;In the right chart (Rest of UK):&#10;&#10;The dark blue line, for the &quot;Rest of UK (Portfolio average growth rate)&quot; starts at 30% in 2018, declines slightly in 2019, drops to 10% in 2020, rises till reaches close to 30% in 2022.&#10;&#10;The lighter blue line, showing the &quot;Rest of UK (Counterfactual average growth rate)&quot; starts at 0% in 2018, rises to around 80% in 2019, drops below 70% in 2020, rises to around 80% in 2021, before declining below 50% in 2022."/>
                    <pic:cNvPicPr/>
                  </pic:nvPicPr>
                  <pic:blipFill>
                    <a:blip r:embed="rId55"/>
                    <a:stretch>
                      <a:fillRect/>
                    </a:stretch>
                  </pic:blipFill>
                  <pic:spPr>
                    <a:xfrm>
                      <a:off x="0" y="0"/>
                      <a:ext cx="6188710" cy="2305685"/>
                    </a:xfrm>
                    <a:prstGeom prst="rect">
                      <a:avLst/>
                    </a:prstGeom>
                  </pic:spPr>
                </pic:pic>
              </a:graphicData>
            </a:graphic>
          </wp:inline>
        </w:drawing>
      </w:r>
    </w:p>
    <w:p w14:paraId="71B2A472" w14:textId="6AB32BE6" w:rsidR="00B668B0" w:rsidRPr="00335CF3" w:rsidRDefault="00B668B0" w:rsidP="00335CF3">
      <w:pPr>
        <w:rPr>
          <w:i/>
          <w:iCs/>
        </w:rPr>
      </w:pPr>
      <w:r w:rsidRPr="005A0C36">
        <w:rPr>
          <w:i/>
          <w:color w:val="555674"/>
        </w:rPr>
        <w:t>Source: IDBR</w:t>
      </w:r>
      <w:r w:rsidR="00930236" w:rsidRPr="005A0C36">
        <w:rPr>
          <w:i/>
          <w:color w:val="555674"/>
        </w:rPr>
        <w:t xml:space="preserve">, </w:t>
      </w:r>
      <w:proofErr w:type="spellStart"/>
      <w:r w:rsidR="00930236" w:rsidRPr="005A0C36">
        <w:rPr>
          <w:i/>
          <w:color w:val="555674"/>
        </w:rPr>
        <w:t>Beauhusrt</w:t>
      </w:r>
      <w:proofErr w:type="spellEnd"/>
      <w:r w:rsidRPr="005A0C36">
        <w:rPr>
          <w:i/>
          <w:color w:val="555674"/>
        </w:rPr>
        <w:t xml:space="preserve"> data. N = 33 for London and </w:t>
      </w:r>
      <w:proofErr w:type="gramStart"/>
      <w:r w:rsidR="00773060" w:rsidRPr="005A0C36">
        <w:rPr>
          <w:i/>
          <w:color w:val="555674"/>
        </w:rPr>
        <w:t>South East</w:t>
      </w:r>
      <w:proofErr w:type="gramEnd"/>
      <w:r w:rsidRPr="005A0C36">
        <w:rPr>
          <w:i/>
          <w:color w:val="555674"/>
        </w:rPr>
        <w:t xml:space="preserve"> funded firms, 25 for other regions and N</w:t>
      </w:r>
      <w:r w:rsidR="00335CF3" w:rsidRPr="005A0C36">
        <w:rPr>
          <w:i/>
          <w:color w:val="555674"/>
        </w:rPr>
        <w:t xml:space="preserve"> </w:t>
      </w:r>
      <w:r w:rsidRPr="005A0C36">
        <w:rPr>
          <w:i/>
          <w:color w:val="555674"/>
        </w:rPr>
        <w:t xml:space="preserve">= 25 for the London and </w:t>
      </w:r>
      <w:r w:rsidR="00773060" w:rsidRPr="005A0C36">
        <w:rPr>
          <w:i/>
          <w:color w:val="555674"/>
        </w:rPr>
        <w:t>South East</w:t>
      </w:r>
      <w:r w:rsidRPr="005A0C36">
        <w:rPr>
          <w:i/>
          <w:color w:val="555674"/>
        </w:rPr>
        <w:t xml:space="preserve"> comparator group and 59 for other regions</w:t>
      </w:r>
    </w:p>
    <w:p w14:paraId="0A7B9EB0" w14:textId="77777777" w:rsidR="002767B2" w:rsidRDefault="002767B2" w:rsidP="002767B2">
      <w:pPr>
        <w:pStyle w:val="Heading2"/>
      </w:pPr>
      <w:bookmarkStart w:id="164" w:name="_Toc144830578"/>
      <w:bookmarkStart w:id="165" w:name="_Toc165482240"/>
      <w:bookmarkStart w:id="166" w:name="_Toc165497204"/>
      <w:r>
        <w:t>8.6 Employment trend proxy for business investment – salary payments/ IP production</w:t>
      </w:r>
      <w:bookmarkEnd w:id="164"/>
      <w:bookmarkEnd w:id="165"/>
      <w:bookmarkEnd w:id="166"/>
    </w:p>
    <w:p w14:paraId="43837E0F" w14:textId="77777777" w:rsidR="002767B2" w:rsidRPr="00F64244" w:rsidRDefault="002767B2" w:rsidP="002767B2">
      <w:r>
        <w:t xml:space="preserve">Median employment for RAP funded firms </w:t>
      </w:r>
      <w:r w:rsidRPr="00B06264">
        <w:t xml:space="preserve">demonstrated a stronger performance compared to </w:t>
      </w:r>
      <w:r>
        <w:t>the counterfactual group</w:t>
      </w:r>
      <w:r w:rsidRPr="00B06264">
        <w:t xml:space="preserve">, with a growth rate of </w:t>
      </w:r>
      <w:r>
        <w:t xml:space="preserve">24% in 2022 compared to a counterfactual growth </w:t>
      </w:r>
      <w:r w:rsidRPr="00B06264">
        <w:t xml:space="preserve">rate </w:t>
      </w:r>
      <w:r>
        <w:t xml:space="preserve">of 14%. The median employment growth rate indicates </w:t>
      </w:r>
      <w:r w:rsidRPr="00B06264">
        <w:t>even</w:t>
      </w:r>
      <w:r>
        <w:t xml:space="preserve"> stronger relative performance outside of London and the </w:t>
      </w:r>
      <w:proofErr w:type="gramStart"/>
      <w:r>
        <w:t>South East</w:t>
      </w:r>
      <w:proofErr w:type="gramEnd"/>
      <w:r>
        <w:t xml:space="preserve">, </w:t>
      </w:r>
      <w:r w:rsidRPr="00B06264">
        <w:t>where it</w:t>
      </w:r>
      <w:r>
        <w:t xml:space="preserve"> increased </w:t>
      </w:r>
      <w:r w:rsidRPr="00B06264">
        <w:t xml:space="preserve">by </w:t>
      </w:r>
      <w:r>
        <w:t>33% in 2022</w:t>
      </w:r>
      <w:r w:rsidRPr="00B06264">
        <w:t>,</w:t>
      </w:r>
      <w:r>
        <w:t xml:space="preserve"> outperforming the growth rate of the comparator group</w:t>
      </w:r>
      <w:r w:rsidRPr="00B06264">
        <w:t>, which saw a mere</w:t>
      </w:r>
      <w:r>
        <w:t xml:space="preserve"> 8% </w:t>
      </w:r>
      <w:r w:rsidRPr="00B06264">
        <w:t xml:space="preserve">increase </w:t>
      </w:r>
      <w:r>
        <w:t xml:space="preserve">in 2022. </w:t>
      </w:r>
      <w:r w:rsidRPr="00B06264">
        <w:t>In</w:t>
      </w:r>
      <w:r>
        <w:t xml:space="preserve"> the London and </w:t>
      </w:r>
      <w:proofErr w:type="gramStart"/>
      <w:r>
        <w:t>South East</w:t>
      </w:r>
      <w:proofErr w:type="gramEnd"/>
      <w:r>
        <w:t xml:space="preserve"> group</w:t>
      </w:r>
      <w:r w:rsidRPr="00B06264">
        <w:t>, the data</w:t>
      </w:r>
      <w:r>
        <w:t xml:space="preserve"> shows a smaller gap between the two </w:t>
      </w:r>
      <w:r w:rsidRPr="00B06264">
        <w:t>groups'</w:t>
      </w:r>
      <w:r>
        <w:t xml:space="preserve"> relative performance</w:t>
      </w:r>
      <w:r w:rsidRPr="00B06264">
        <w:t>,</w:t>
      </w:r>
      <w:r>
        <w:t xml:space="preserve"> with RAP funded firms outperforming the counterfactual group with a 25% increase in employment in 2022</w:t>
      </w:r>
      <w:r w:rsidRPr="00B06264">
        <w:t>, compared to an</w:t>
      </w:r>
      <w:r>
        <w:t xml:space="preserve"> 18% increase </w:t>
      </w:r>
      <w:r w:rsidRPr="00B06264">
        <w:t>for the comparator group.</w:t>
      </w:r>
      <w:r>
        <w:t xml:space="preserve"> A similar</w:t>
      </w:r>
      <w:r w:rsidRPr="00F64244">
        <w:t xml:space="preserve"> picture emerges when analy</w:t>
      </w:r>
      <w:r>
        <w:t>s</w:t>
      </w:r>
      <w:r w:rsidRPr="00F64244">
        <w:t>ing the 2022 performance of London RAP-funded firms compared to those in the rest of the UK.</w:t>
      </w:r>
    </w:p>
    <w:p w14:paraId="449811BE" w14:textId="2687E12A" w:rsidR="00AB5052" w:rsidRDefault="002767B2" w:rsidP="002767B2">
      <w:r w:rsidRPr="00B06264">
        <w:t xml:space="preserve">These findings suggest that the RAP may have contributed to increased </w:t>
      </w:r>
      <w:r>
        <w:t xml:space="preserve">effective/de-facto </w:t>
      </w:r>
      <w:r w:rsidRPr="00B06264">
        <w:t>investment activities for funded firms, including talent recruitment, salary payments, and intellectual property development. However, it is important to note that it is still too early to draw definitive conclusions, as the full effects of the RAP may take more time to materialise in terms of turnover and other key indicators</w:t>
      </w:r>
      <w:r>
        <w:t>.</w:t>
      </w:r>
    </w:p>
    <w:p w14:paraId="75217D77" w14:textId="28624849" w:rsidR="00810117" w:rsidRDefault="0042793A" w:rsidP="00810117">
      <w:pPr>
        <w:pStyle w:val="Caption"/>
        <w:rPr>
          <w:noProof/>
        </w:rPr>
      </w:pPr>
      <w:r>
        <w:lastRenderedPageBreak/>
        <w:t xml:space="preserve">Figure </w:t>
      </w:r>
      <w:r>
        <w:fldChar w:fldCharType="begin"/>
      </w:r>
      <w:r>
        <w:instrText>SEQ Figure \* ARABIC</w:instrText>
      </w:r>
      <w:r>
        <w:fldChar w:fldCharType="separate"/>
      </w:r>
      <w:r w:rsidR="00BC412E">
        <w:rPr>
          <w:noProof/>
        </w:rPr>
        <w:t>20</w:t>
      </w:r>
      <w:r>
        <w:fldChar w:fldCharType="end"/>
      </w:r>
      <w:r>
        <w:t xml:space="preserve">: </w:t>
      </w:r>
      <w:r w:rsidRPr="003E01A5">
        <w:t xml:space="preserve">Median employment </w:t>
      </w:r>
      <w:proofErr w:type="gramStart"/>
      <w:r w:rsidRPr="003E01A5">
        <w:t>growth</w:t>
      </w:r>
      <w:proofErr w:type="gramEnd"/>
    </w:p>
    <w:p w14:paraId="689448E9" w14:textId="6C58F0CD" w:rsidR="00B668B0" w:rsidRDefault="00810117" w:rsidP="00810117">
      <w:pPr>
        <w:pStyle w:val="Caption"/>
      </w:pPr>
      <w:r>
        <w:rPr>
          <w:noProof/>
        </w:rPr>
        <w:drawing>
          <wp:inline distT="0" distB="0" distL="0" distR="0" wp14:anchorId="2B1ADBA4" wp14:editId="1057E75F">
            <wp:extent cx="6188710" cy="2547620"/>
            <wp:effectExtent l="0" t="0" r="0" b="0"/>
            <wp:docPr id="2130927849" name="Picture 1" descr="Figure 20 displays a line graph illustrating the median employment growth among RAP-funded firms and matched counterfactual firms.&#10;&#10;The x-axis of the chart represents the years from 2018 to 2022, and the y-axis indicates the percentage growth, with a range from 0% to 120%.&#10;&#10;Two significant events are marked on the timeline:&#10;&#10;&quot;RAP launched (Q4 2018)&quot; at the end of 2018.&#10;&quot;RAP first SME funding (Early 2020)&quot; with a vertical dashed line in early 2020.&#10;&#10;&quot;Portfolio median growth rate&quot; line represented by dark blue line starts at 100% in 2018 and declines till to about 30% in 2020, remains constant till 2021, then drops slightly in 2022. &#10;&#10;&quot;Counterfactual median growth rate&quot; represented by light blue line starts just below 60% in 2018, drops to 40% in 2019, rises slightly in 2020, before dropping below 20% in 2021. It remains constant trough til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27849" name="Picture 1" descr="Figure 20 displays a line graph illustrating the median employment growth among RAP-funded firms and matched counterfactual firms.&#10;&#10;The x-axis of the chart represents the years from 2018 to 2022, and the y-axis indicates the percentage growth, with a range from 0% to 120%.&#10;&#10;Two significant events are marked on the timeline:&#10;&#10;&quot;RAP launched (Q4 2018)&quot; at the end of 2018.&#10;&quot;RAP first SME funding (Early 2020)&quot; with a vertical dashed line in early 2020.&#10;&#10;&quot;Portfolio median growth rate&quot; line represented by dark blue line starts at 100% in 2018 and declines till to about 30% in 2020, remains constant till 2021, then drops slightly in 2022. &#10;&#10;&quot;Counterfactual median growth rate&quot; represented by light blue line starts just below 60% in 2018, drops to 40% in 2019, rises slightly in 2020, before dropping below 20% in 2021. It remains constant trough till 2022."/>
                    <pic:cNvPicPr/>
                  </pic:nvPicPr>
                  <pic:blipFill>
                    <a:blip r:embed="rId56"/>
                    <a:stretch>
                      <a:fillRect/>
                    </a:stretch>
                  </pic:blipFill>
                  <pic:spPr>
                    <a:xfrm>
                      <a:off x="0" y="0"/>
                      <a:ext cx="6188710" cy="2547620"/>
                    </a:xfrm>
                    <a:prstGeom prst="rect">
                      <a:avLst/>
                    </a:prstGeom>
                  </pic:spPr>
                </pic:pic>
              </a:graphicData>
            </a:graphic>
          </wp:inline>
        </w:drawing>
      </w:r>
    </w:p>
    <w:p w14:paraId="1BBE03F0" w14:textId="1C217B4B" w:rsidR="00B668B0" w:rsidRDefault="00B668B0" w:rsidP="00B668B0">
      <w:pPr>
        <w:rPr>
          <w:i/>
          <w:iCs/>
        </w:rPr>
      </w:pPr>
      <w:r w:rsidRPr="005A0C36">
        <w:rPr>
          <w:i/>
          <w:color w:val="555674"/>
        </w:rPr>
        <w:t>Source: IDBR</w:t>
      </w:r>
      <w:r w:rsidR="00930236" w:rsidRPr="005A0C36">
        <w:rPr>
          <w:i/>
          <w:color w:val="555674"/>
        </w:rPr>
        <w:t xml:space="preserve">, </w:t>
      </w:r>
      <w:proofErr w:type="spellStart"/>
      <w:r w:rsidR="00930236" w:rsidRPr="005A0C36">
        <w:rPr>
          <w:i/>
          <w:color w:val="555674"/>
        </w:rPr>
        <w:t>Beauhurst</w:t>
      </w:r>
      <w:proofErr w:type="spellEnd"/>
      <w:r w:rsidRPr="005A0C36">
        <w:rPr>
          <w:i/>
          <w:color w:val="555674"/>
        </w:rPr>
        <w:t xml:space="preserve"> data. N = 84 for the funded firms and N</w:t>
      </w:r>
      <w:r w:rsidR="00120FEE" w:rsidRPr="005A0C36">
        <w:rPr>
          <w:i/>
          <w:color w:val="555674"/>
        </w:rPr>
        <w:t xml:space="preserve"> </w:t>
      </w:r>
      <w:r w:rsidRPr="005A0C36">
        <w:rPr>
          <w:i/>
          <w:color w:val="555674"/>
        </w:rPr>
        <w:t>= 58 for the comparator group</w:t>
      </w:r>
    </w:p>
    <w:p w14:paraId="0F5165AE" w14:textId="40FD1AC6" w:rsidR="00530869" w:rsidRDefault="005C7FE3" w:rsidP="00530869">
      <w:pPr>
        <w:pStyle w:val="Caption"/>
        <w:rPr>
          <w:noProof/>
        </w:rPr>
      </w:pPr>
      <w:r>
        <w:t xml:space="preserve">Figure </w:t>
      </w:r>
      <w:r>
        <w:fldChar w:fldCharType="begin"/>
      </w:r>
      <w:r>
        <w:instrText>SEQ Figure \* ARABIC</w:instrText>
      </w:r>
      <w:r>
        <w:fldChar w:fldCharType="separate"/>
      </w:r>
      <w:r w:rsidR="00BC412E">
        <w:rPr>
          <w:noProof/>
        </w:rPr>
        <w:t>21</w:t>
      </w:r>
      <w:r>
        <w:fldChar w:fldCharType="end"/>
      </w:r>
      <w:r>
        <w:t xml:space="preserve">: </w:t>
      </w:r>
      <w:r w:rsidRPr="00C162E0">
        <w:t xml:space="preserve">Median employment growth, by region, London and the </w:t>
      </w:r>
      <w:proofErr w:type="gramStart"/>
      <w:r w:rsidRPr="00C162E0">
        <w:t>South East</w:t>
      </w:r>
      <w:proofErr w:type="gramEnd"/>
      <w:r w:rsidRPr="00C162E0">
        <w:t xml:space="preserve"> (LHS), Rest of the UK (RHS)</w:t>
      </w:r>
      <w:r w:rsidR="0042793A">
        <w:t xml:space="preserve"> </w:t>
      </w:r>
    </w:p>
    <w:p w14:paraId="06263E04" w14:textId="369AF33F" w:rsidR="00B668B0" w:rsidRDefault="00530869" w:rsidP="00530869">
      <w:pPr>
        <w:pStyle w:val="Caption"/>
      </w:pPr>
      <w:r>
        <w:rPr>
          <w:noProof/>
        </w:rPr>
        <w:drawing>
          <wp:inline distT="0" distB="0" distL="0" distR="0" wp14:anchorId="71728416" wp14:editId="464A90DA">
            <wp:extent cx="6188710" cy="2199640"/>
            <wp:effectExtent l="0" t="0" r="0" b="0"/>
            <wp:docPr id="654434644" name="Picture 1" descr="Figure 21 displays  two line graphs side by side, comparing the &quot;Portfolio median growth rate&quot; with the &quot;Counterfactual median growth rate&quot; across two different regions: London and the South East on the left-hand side (LHS) and the Rest of the UK on the right-hand side (RHS), from the year 2018 to 2022.&#10;&#10;Each chart includes the same two key events:&#10;&#10;&quot;RAP launched (Q4 2018)&quot; is marked at the end of 2018.&#10;&quot;RAP first SME funding (Early 2020)&quot; is indicated by a dashed vertical line in early 2020.&#10;For London and SE (LHS):&#10;&#10;The &quot;Portfolio median growth rate&quot; depicted by a dark blue line starts from 100% in 2018 through to 2019, drops to around 50% in 2020, falls to around 30% in 2021, and then further still close to 20% in 2022.&#10;The &quot;Counterfactual median growth rate&quot; in light blue starts around 70% in 2018,drops close to 0% in 2019, rises to 120% in 2020, drops to 0% in 2021, rises close to 20% in 2022. &#10;&#10;For the Rest of UK (RHS):&#10;&#10;The &quot;Portfolio median growth rate&quot; in dark blue shows a starts from 100% in 2018, drops to around 50% in 2019, drops further below 20% in 2020, before rising to around 30% in 2021, and closer to 40% in 2022.&#10;The &quot;Counterfactual median growth rate&quot; in light blue starts around 30% in 2018, rises and drops mildly around the same level all through to 2021, before dropping close to 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34644" name="Picture 1" descr="Figure 21 displays  two line graphs side by side, comparing the &quot;Portfolio median growth rate&quot; with the &quot;Counterfactual median growth rate&quot; across two different regions: London and the South East on the left-hand side (LHS) and the Rest of the UK on the right-hand side (RHS), from the year 2018 to 2022.&#10;&#10;Each chart includes the same two key events:&#10;&#10;&quot;RAP launched (Q4 2018)&quot; is marked at the end of 2018.&#10;&quot;RAP first SME funding (Early 2020)&quot; is indicated by a dashed vertical line in early 2020.&#10;For London and SE (LHS):&#10;&#10;The &quot;Portfolio median growth rate&quot; depicted by a dark blue line starts from 100% in 2018 through to 2019, drops to around 50% in 2020, falls to around 30% in 2021, and then further still close to 20% in 2022.&#10;The &quot;Counterfactual median growth rate&quot; in light blue starts around 70% in 2018,drops close to 0% in 2019, rises to 120% in 2020, drops to 0% in 2021, rises close to 20% in 2022. &#10;&#10;For the Rest of UK (RHS):&#10;&#10;The &quot;Portfolio median growth rate&quot; in dark blue shows a starts from 100% in 2018, drops to around 50% in 2019, drops further below 20% in 2020, before rising to around 30% in 2021, and closer to 40% in 2022.&#10;The &quot;Counterfactual median growth rate&quot; in light blue starts around 30% in 2018, rises and drops mildly around the same level all through to 2021, before dropping close to 0% in 2022."/>
                    <pic:cNvPicPr/>
                  </pic:nvPicPr>
                  <pic:blipFill>
                    <a:blip r:embed="rId57"/>
                    <a:stretch>
                      <a:fillRect/>
                    </a:stretch>
                  </pic:blipFill>
                  <pic:spPr>
                    <a:xfrm>
                      <a:off x="0" y="0"/>
                      <a:ext cx="6188710" cy="2199640"/>
                    </a:xfrm>
                    <a:prstGeom prst="rect">
                      <a:avLst/>
                    </a:prstGeom>
                  </pic:spPr>
                </pic:pic>
              </a:graphicData>
            </a:graphic>
          </wp:inline>
        </w:drawing>
      </w:r>
    </w:p>
    <w:p w14:paraId="339D924A" w14:textId="6D3FCE21" w:rsidR="00203957" w:rsidRPr="0094303C" w:rsidRDefault="00B668B0" w:rsidP="00203957">
      <w:pPr>
        <w:rPr>
          <w:rFonts w:asciiTheme="majorHAnsi" w:hAnsiTheme="majorHAnsi" w:cstheme="majorHAnsi"/>
        </w:rPr>
      </w:pPr>
      <w:r w:rsidRPr="005A0C36">
        <w:rPr>
          <w:i/>
          <w:color w:val="555674"/>
        </w:rPr>
        <w:t>Source: IDBR</w:t>
      </w:r>
      <w:r w:rsidR="00930236" w:rsidRPr="005A0C36">
        <w:rPr>
          <w:i/>
          <w:color w:val="555674"/>
        </w:rPr>
        <w:t xml:space="preserve">, </w:t>
      </w:r>
      <w:proofErr w:type="spellStart"/>
      <w:r w:rsidR="00930236" w:rsidRPr="005A0C36">
        <w:rPr>
          <w:i/>
          <w:color w:val="555674"/>
        </w:rPr>
        <w:t>Beauhurst</w:t>
      </w:r>
      <w:proofErr w:type="spellEnd"/>
      <w:r w:rsidRPr="005A0C36">
        <w:rPr>
          <w:i/>
          <w:color w:val="555674"/>
        </w:rPr>
        <w:t xml:space="preserve"> data. N = 33 for London and </w:t>
      </w:r>
      <w:proofErr w:type="gramStart"/>
      <w:r w:rsidR="00773060" w:rsidRPr="005A0C36">
        <w:rPr>
          <w:i/>
          <w:color w:val="555674"/>
        </w:rPr>
        <w:t>South East</w:t>
      </w:r>
      <w:proofErr w:type="gramEnd"/>
      <w:r w:rsidRPr="005A0C36">
        <w:rPr>
          <w:i/>
          <w:color w:val="555674"/>
        </w:rPr>
        <w:t xml:space="preserve"> funded firms, 25 for other regions and N</w:t>
      </w:r>
      <w:r w:rsidR="00690670">
        <w:rPr>
          <w:i/>
          <w:color w:val="555674"/>
        </w:rPr>
        <w:t xml:space="preserve"> </w:t>
      </w:r>
      <w:r w:rsidRPr="005A0C36">
        <w:rPr>
          <w:i/>
          <w:color w:val="555674"/>
        </w:rPr>
        <w:t xml:space="preserve">= 25 for the London and </w:t>
      </w:r>
      <w:r w:rsidR="00773060" w:rsidRPr="005A0C36">
        <w:rPr>
          <w:i/>
          <w:color w:val="555674"/>
        </w:rPr>
        <w:t>South East</w:t>
      </w:r>
      <w:r w:rsidRPr="005A0C36">
        <w:rPr>
          <w:i/>
          <w:color w:val="555674"/>
        </w:rPr>
        <w:t xml:space="preserve"> comparator group and 59 for other regions</w:t>
      </w:r>
    </w:p>
    <w:p w14:paraId="79D24576" w14:textId="77777777" w:rsidR="002767B2" w:rsidRPr="002767B2" w:rsidRDefault="002767B2" w:rsidP="00784475">
      <w:pPr>
        <w:pStyle w:val="Heading2"/>
      </w:pPr>
      <w:bookmarkStart w:id="167" w:name="_Toc144830579"/>
      <w:bookmarkStart w:id="168" w:name="_Toc165482241"/>
      <w:bookmarkStart w:id="169" w:name="_Toc165497205"/>
      <w:bookmarkStart w:id="170" w:name="_Hlk152055074"/>
      <w:r w:rsidRPr="002767B2">
        <w:lastRenderedPageBreak/>
        <w:t>8.7 Value for Money assessment</w:t>
      </w:r>
      <w:bookmarkEnd w:id="167"/>
      <w:bookmarkEnd w:id="168"/>
      <w:bookmarkEnd w:id="169"/>
      <w:r w:rsidRPr="002767B2">
        <w:t xml:space="preserve"> </w:t>
      </w:r>
    </w:p>
    <w:p w14:paraId="44C41621" w14:textId="77777777" w:rsidR="00784475" w:rsidRDefault="002767B2" w:rsidP="00784475">
      <w:bookmarkStart w:id="171" w:name="_Hlk136419259"/>
      <w:r w:rsidRPr="002767B2">
        <w:t>To assess Value for Money (</w:t>
      </w:r>
      <w:proofErr w:type="spellStart"/>
      <w:r w:rsidRPr="002767B2">
        <w:t>VfM</w:t>
      </w:r>
      <w:proofErr w:type="spellEnd"/>
      <w:r w:rsidRPr="002767B2">
        <w:t>) we can look at the four E’s model – Efficiency, Effectiveness, Equity, and Economy. We have identified preliminary evidence and the type of data that can be used in future Value for Money assessments.</w:t>
      </w:r>
      <w:bookmarkStart w:id="172" w:name="_Toc136851427"/>
      <w:bookmarkStart w:id="173" w:name="_Toc144830580"/>
      <w:bookmarkStart w:id="174" w:name="_Toc145671327"/>
      <w:bookmarkStart w:id="175" w:name="_Toc145923995"/>
      <w:bookmarkEnd w:id="171"/>
    </w:p>
    <w:p w14:paraId="5E2787AA" w14:textId="589E1CCF" w:rsidR="002767B2" w:rsidRPr="00784475" w:rsidRDefault="002767B2" w:rsidP="00784475">
      <w:pPr>
        <w:rPr>
          <w:rStyle w:val="Bold"/>
          <w:b w:val="0"/>
        </w:rPr>
      </w:pPr>
      <w:r w:rsidRPr="00784475">
        <w:rPr>
          <w:rStyle w:val="Bold"/>
        </w:rPr>
        <w:t>8.7.1 Efficiency</w:t>
      </w:r>
      <w:bookmarkEnd w:id="172"/>
      <w:bookmarkEnd w:id="173"/>
      <w:bookmarkEnd w:id="174"/>
      <w:bookmarkEnd w:id="175"/>
    </w:p>
    <w:p w14:paraId="2D8C7899" w14:textId="77777777" w:rsidR="002767B2" w:rsidRPr="002767B2" w:rsidRDefault="002767B2" w:rsidP="002767B2">
      <w:r w:rsidRPr="002767B2">
        <w:t xml:space="preserve">The Partner journey was referred to as positive, but Partners described the application process as rigorous and time consuming, lasting over a year in some cases. As such, the possibility of streamlining the process, without losing its effectiveness, should be investigated. </w:t>
      </w:r>
    </w:p>
    <w:p w14:paraId="08215316" w14:textId="77777777" w:rsidR="00784475" w:rsidRDefault="002767B2" w:rsidP="00784475">
      <w:r w:rsidRPr="002767B2">
        <w:t xml:space="preserve">To the best of our knowledge, funding has been </w:t>
      </w:r>
      <w:r w:rsidR="00086106">
        <w:t>provided</w:t>
      </w:r>
      <w:r w:rsidR="00086106" w:rsidRPr="002767B2">
        <w:t xml:space="preserve"> </w:t>
      </w:r>
      <w:r w:rsidRPr="002767B2">
        <w:t xml:space="preserve">in accordance with the terms agreed with British Business Investments. </w:t>
      </w:r>
      <w:bookmarkStart w:id="176" w:name="_Toc136851428"/>
      <w:bookmarkStart w:id="177" w:name="_Toc144830581"/>
      <w:bookmarkStart w:id="178" w:name="_Toc145671328"/>
      <w:bookmarkStart w:id="179" w:name="_Toc145923996"/>
    </w:p>
    <w:p w14:paraId="457A5010" w14:textId="64E0336A" w:rsidR="002767B2" w:rsidRPr="00784475" w:rsidRDefault="002767B2" w:rsidP="00784475">
      <w:pPr>
        <w:rPr>
          <w:rStyle w:val="Bold"/>
        </w:rPr>
      </w:pPr>
      <w:r w:rsidRPr="00784475">
        <w:rPr>
          <w:rStyle w:val="Bold"/>
        </w:rPr>
        <w:t>8.7.2 Effectiveness</w:t>
      </w:r>
      <w:bookmarkEnd w:id="176"/>
      <w:bookmarkEnd w:id="177"/>
      <w:bookmarkEnd w:id="178"/>
      <w:bookmarkEnd w:id="179"/>
    </w:p>
    <w:p w14:paraId="005E52F4" w14:textId="77777777" w:rsidR="002767B2" w:rsidRPr="002767B2" w:rsidRDefault="002767B2" w:rsidP="002767B2">
      <w:pPr>
        <w:contextualSpacing/>
      </w:pPr>
      <w:r w:rsidRPr="002767B2">
        <w:t xml:space="preserve">In reviewing progress made against the programme Theory of Change, we find that planned activities have taken place and expected outputs have been realised. As envisaged, a substantial proportion of funding has gone towards early-stage SMEs in underrepresented regions. We find that the Programme has helped unlock investment and funded firms have been able to leverage future funding. </w:t>
      </w:r>
    </w:p>
    <w:p w14:paraId="25647346" w14:textId="77777777" w:rsidR="00784475" w:rsidRDefault="002767B2" w:rsidP="00784475">
      <w:r w:rsidRPr="002767B2">
        <w:t>The added value of continued advice and support from investors over the next period will need to be captured as part of future evaluation activity. This will require looking at how the Partners are supporting companies to meet technological advancement and innovation and secure ownership of such innovations. We have no data on any Intellectual Property developments that have been realised due to RAP.</w:t>
      </w:r>
      <w:bookmarkStart w:id="180" w:name="_Toc136851429"/>
      <w:bookmarkStart w:id="181" w:name="_Toc144830582"/>
      <w:bookmarkStart w:id="182" w:name="_Toc145671329"/>
      <w:bookmarkStart w:id="183" w:name="_Toc145923997"/>
    </w:p>
    <w:p w14:paraId="671A6166" w14:textId="43A17DD0" w:rsidR="002767B2" w:rsidRPr="00784475" w:rsidRDefault="002767B2" w:rsidP="00784475">
      <w:pPr>
        <w:rPr>
          <w:rStyle w:val="Bold"/>
          <w:bCs/>
        </w:rPr>
      </w:pPr>
      <w:r w:rsidRPr="00784475">
        <w:rPr>
          <w:rStyle w:val="Bold"/>
          <w:bCs/>
        </w:rPr>
        <w:t>8.7.3 Equity</w:t>
      </w:r>
      <w:bookmarkEnd w:id="180"/>
      <w:bookmarkEnd w:id="181"/>
      <w:bookmarkEnd w:id="182"/>
      <w:bookmarkEnd w:id="183"/>
    </w:p>
    <w:p w14:paraId="1FE65A92" w14:textId="7A176270" w:rsidR="00784A91" w:rsidRDefault="002767B2" w:rsidP="002767B2">
      <w:r w:rsidRPr="002767B2">
        <w:t>Equity can be assessed in terms of the regions (i.e., was access facilitated to firms in all underrepresented regions?), female leadership and representation of ethnic minorities of the funded firms, and diversity in Partners.</w:t>
      </w:r>
      <w:r w:rsidR="00784A91">
        <w:t xml:space="preserve"> </w:t>
      </w:r>
    </w:p>
    <w:p w14:paraId="1CF50539" w14:textId="58B41F6C" w:rsidR="002767B2" w:rsidRDefault="002767B2" w:rsidP="002767B2">
      <w:r>
        <w:t xml:space="preserve">Pockets of funding have gone towards more established firms as well as to firms in regions that are represented in the angel investment space. </w:t>
      </w:r>
      <w:r w:rsidR="00921236">
        <w:t>With almost 2</w:t>
      </w:r>
      <w:r w:rsidR="001B5CE4">
        <w:t>1</w:t>
      </w:r>
      <w:r w:rsidR="00921236">
        <w:t xml:space="preserve">% of the £212m </w:t>
      </w:r>
      <w:r w:rsidR="00921236">
        <w:rPr>
          <w:szCs w:val="24"/>
        </w:rPr>
        <w:t xml:space="preserve">(BBI </w:t>
      </w:r>
      <w:r w:rsidR="00766A32">
        <w:rPr>
          <w:szCs w:val="24"/>
        </w:rPr>
        <w:t>commitment only</w:t>
      </w:r>
      <w:r w:rsidR="00921236">
        <w:rPr>
          <w:szCs w:val="24"/>
        </w:rPr>
        <w:t>)</w:t>
      </w:r>
      <w:r w:rsidR="00921236">
        <w:t xml:space="preserve"> having gone to London based firms, </w:t>
      </w:r>
      <w:r>
        <w:t xml:space="preserve">it is not clear how these investments </w:t>
      </w:r>
      <w:r>
        <w:lastRenderedPageBreak/>
        <w:t>aligned with the Programme scoring, and the amount in consideration is substantial. There may be scope for a future programme/ funding to restrict access to (larger) firms based in the London region (for example) to ensure greater equity. There may also be scope to ensure the portfolio of Partners can represent all regions of the UK appropriately</w:t>
      </w:r>
      <w:r w:rsidR="00491364">
        <w:t>.</w:t>
      </w:r>
      <w:r>
        <w:t xml:space="preserve"> </w:t>
      </w:r>
    </w:p>
    <w:p w14:paraId="7ED6206A" w14:textId="77777777" w:rsidR="002767B2" w:rsidRDefault="002767B2" w:rsidP="002767B2">
      <w:r>
        <w:t xml:space="preserve">Partners have said that the Programme has enabled them to engage with SMEs based in underrepresented regions and have supported these firms in their growth journey, and this may not have happened without the Programme. </w:t>
      </w:r>
    </w:p>
    <w:p w14:paraId="6B396A4A" w14:textId="77A671FF" w:rsidR="00D04EDA" w:rsidRDefault="002767B2" w:rsidP="002767B2">
      <w:r>
        <w:t>Future evaluation is needed to investigate if this Programme has encouraged investors to increase their presence in underrepresented regions over the long term and if it has freed up financial means to invest more in such areas. The Programme was acknowledged by some interviewees to have made a difference to place-based developments, and more data will need to be collected to see if any impact place is sustained and enabled the creation of a local dynamic ecosystem where there is no need for future RAP funding.</w:t>
      </w:r>
      <w:r w:rsidR="00B10CCD">
        <w:t xml:space="preserve"> </w:t>
      </w:r>
    </w:p>
    <w:p w14:paraId="6C3E0A01" w14:textId="1679A746" w:rsidR="004762F7" w:rsidRPr="007A3595" w:rsidRDefault="002767B2" w:rsidP="000F00D5">
      <w:pPr>
        <w:pBdr>
          <w:top w:val="single" w:sz="4" w:space="1" w:color="142855"/>
          <w:left w:val="single" w:sz="4" w:space="4" w:color="142855"/>
          <w:bottom w:val="single" w:sz="4" w:space="1" w:color="142855"/>
          <w:right w:val="single" w:sz="4" w:space="4" w:color="142855"/>
        </w:pBdr>
        <w:shd w:val="clear" w:color="auto" w:fill="AFCAD2"/>
        <w:rPr>
          <w:color w:val="142855"/>
        </w:rPr>
      </w:pPr>
      <w:r w:rsidRPr="002767B2">
        <w:rPr>
          <w:b/>
          <w:bCs/>
          <w:color w:val="142855"/>
        </w:rPr>
        <w:t>Case study C: Investment Director, RAP Partner B</w:t>
      </w:r>
      <w:r w:rsidR="004762F7" w:rsidRPr="007A3595">
        <w:rPr>
          <w:color w:val="142855"/>
        </w:rPr>
        <w:t xml:space="preserve"> </w:t>
      </w:r>
    </w:p>
    <w:p w14:paraId="2E05DAFF" w14:textId="77777777" w:rsidR="009F6C5C" w:rsidRPr="00D97D3C" w:rsidRDefault="009F6C5C" w:rsidP="000F00D5">
      <w:pPr>
        <w:pBdr>
          <w:top w:val="single" w:sz="4" w:space="1" w:color="142855"/>
          <w:left w:val="single" w:sz="4" w:space="4" w:color="142855"/>
          <w:bottom w:val="single" w:sz="4" w:space="1" w:color="142855"/>
          <w:right w:val="single" w:sz="4" w:space="4" w:color="142855"/>
        </w:pBdr>
        <w:shd w:val="clear" w:color="auto" w:fill="AFCAD2"/>
      </w:pPr>
      <w:r w:rsidRPr="00D97D3C">
        <w:t>As a result of the Partner’s involvement in the RAP scheme, its average investment amount increased substantially, growing from</w:t>
      </w:r>
      <w:r>
        <w:t xml:space="preserve"> around</w:t>
      </w:r>
      <w:r w:rsidRPr="00D97D3C">
        <w:t xml:space="preserve"> </w:t>
      </w:r>
      <w:r w:rsidRPr="008A108F">
        <w:rPr>
          <w:b/>
          <w:bCs/>
        </w:rPr>
        <w:t xml:space="preserve">£125k to £215k </w:t>
      </w:r>
      <w:r w:rsidRPr="008A108F">
        <w:t>per round.</w:t>
      </w:r>
      <w:r w:rsidRPr="00D97D3C">
        <w:t xml:space="preserve"> Additionally, the average total funding rounds per company increased from </w:t>
      </w:r>
      <w:r w:rsidRPr="008A108F">
        <w:rPr>
          <w:b/>
          <w:bCs/>
        </w:rPr>
        <w:t>£500k to £1m</w:t>
      </w:r>
      <w:r w:rsidRPr="008A108F">
        <w:t xml:space="preserve">. </w:t>
      </w:r>
      <w:r w:rsidRPr="00D97D3C">
        <w:t>This highlights the positive impact of the scheme on the Partner’s ability to invest in early-stage companies, with this having a transformative impact.</w:t>
      </w:r>
    </w:p>
    <w:p w14:paraId="72654254" w14:textId="2CDF51CB" w:rsidR="00656339" w:rsidRPr="00D8407C" w:rsidRDefault="00656339" w:rsidP="000F00D5">
      <w:pPr>
        <w:pBdr>
          <w:top w:val="single" w:sz="4" w:space="1" w:color="142855"/>
          <w:left w:val="single" w:sz="4" w:space="4" w:color="142855"/>
          <w:bottom w:val="single" w:sz="4" w:space="1" w:color="142855"/>
          <w:right w:val="single" w:sz="4" w:space="4" w:color="142855"/>
        </w:pBdr>
        <w:shd w:val="clear" w:color="auto" w:fill="AFCAD2"/>
        <w:jc w:val="center"/>
        <w:rPr>
          <w:b/>
          <w:bCs/>
          <w:i/>
          <w:iCs/>
        </w:rPr>
      </w:pPr>
      <w:r w:rsidRPr="002D590B">
        <w:rPr>
          <w:b/>
          <w:bCs/>
          <w:i/>
          <w:iCs/>
        </w:rPr>
        <w:t xml:space="preserve">“[RAP] funding has had a transformative effect in catalysing the </w:t>
      </w:r>
      <w:r w:rsidR="009F6C5C" w:rsidRPr="001C1055">
        <w:rPr>
          <w:b/>
          <w:bCs/>
          <w:i/>
          <w:iCs/>
        </w:rPr>
        <w:t>angel</w:t>
      </w:r>
      <w:r w:rsidRPr="002D590B">
        <w:rPr>
          <w:b/>
          <w:bCs/>
          <w:i/>
          <w:iCs/>
        </w:rPr>
        <w:t xml:space="preserve"> investment ecosystem in [the region] over the last 2 years.” </w:t>
      </w:r>
    </w:p>
    <w:p w14:paraId="2E7FE19F" w14:textId="51744E77" w:rsidR="002203FB" w:rsidRDefault="002767B2" w:rsidP="002203FB">
      <w:r w:rsidRPr="0051091B">
        <w:t xml:space="preserve">RAP funded </w:t>
      </w:r>
      <w:r>
        <w:t>firm</w:t>
      </w:r>
      <w:r w:rsidRPr="0051091B">
        <w:t xml:space="preserve">s included representation from female founders and directors and ethnic minorities. </w:t>
      </w:r>
      <w:r>
        <w:t xml:space="preserve">Counterfactual firms sourced from the </w:t>
      </w:r>
      <w:proofErr w:type="spellStart"/>
      <w:r>
        <w:t>Beuahurst</w:t>
      </w:r>
      <w:proofErr w:type="spellEnd"/>
      <w:r>
        <w:t xml:space="preserve"> database had no data on inclusion metrics beyond gender and ethnicity as described below.</w:t>
      </w:r>
      <w:r w:rsidRPr="0051091B">
        <w:t xml:space="preserve"> The diversity of </w:t>
      </w:r>
      <w:r>
        <w:t>firm</w:t>
      </w:r>
      <w:r w:rsidRPr="0051091B">
        <w:t xml:space="preserve">s is greater in London and the </w:t>
      </w:r>
      <w:proofErr w:type="gramStart"/>
      <w:r w:rsidRPr="0051091B">
        <w:t>South East</w:t>
      </w:r>
      <w:proofErr w:type="gramEnd"/>
      <w:r w:rsidRPr="0051091B">
        <w:t xml:space="preserve"> </w:t>
      </w:r>
      <w:r>
        <w:t xml:space="preserve">(20%-25%) </w:t>
      </w:r>
      <w:r w:rsidRPr="0051091B">
        <w:t>compared to other regions</w:t>
      </w:r>
      <w:r>
        <w:t xml:space="preserve"> (14%-18%)</w:t>
      </w:r>
      <w:r w:rsidRPr="0051091B">
        <w:t>.</w:t>
      </w:r>
      <w:r>
        <w:t xml:space="preserve"> Between 9% and 12% of the firms funded are female dominated and 8% is dominated by representation from ethnic minority groups.</w:t>
      </w:r>
      <w:r w:rsidR="002203FB">
        <w:t xml:space="preserve"> </w:t>
      </w:r>
    </w:p>
    <w:p w14:paraId="7928DFEB" w14:textId="77777777" w:rsidR="00784475" w:rsidRDefault="00784475" w:rsidP="002203FB"/>
    <w:p w14:paraId="5007081E" w14:textId="77777777" w:rsidR="00784475" w:rsidRDefault="00784475" w:rsidP="002203FB"/>
    <w:p w14:paraId="676836C3" w14:textId="434B9389" w:rsidR="004762F7" w:rsidRPr="004762F7" w:rsidRDefault="003C06F0" w:rsidP="003C06F0">
      <w:pPr>
        <w:pStyle w:val="Caption"/>
      </w:pPr>
      <w:r>
        <w:lastRenderedPageBreak/>
        <w:t xml:space="preserve">Table </w:t>
      </w:r>
      <w:r w:rsidR="002728D8">
        <w:fldChar w:fldCharType="begin"/>
      </w:r>
      <w:r w:rsidR="002728D8">
        <w:instrText xml:space="preserve"> SEQ Table \* ARABIC </w:instrText>
      </w:r>
      <w:r w:rsidR="002728D8">
        <w:fldChar w:fldCharType="separate"/>
      </w:r>
      <w:r w:rsidR="00BC412E">
        <w:rPr>
          <w:noProof/>
        </w:rPr>
        <w:t>7</w:t>
      </w:r>
      <w:r w:rsidR="002728D8">
        <w:rPr>
          <w:noProof/>
        </w:rPr>
        <w:fldChar w:fldCharType="end"/>
      </w:r>
      <w:r>
        <w:t xml:space="preserve">: </w:t>
      </w:r>
      <w:r w:rsidRPr="00051DB8">
        <w:t>Diversity in leadership of RAP funded firms</w:t>
      </w:r>
    </w:p>
    <w:tbl>
      <w:tblPr>
        <w:tblStyle w:val="PlainTable21"/>
        <w:tblW w:w="9690" w:type="dxa"/>
        <w:tblLook w:val="0420" w:firstRow="1" w:lastRow="0" w:firstColumn="0" w:lastColumn="0" w:noHBand="0" w:noVBand="1"/>
      </w:tblPr>
      <w:tblGrid>
        <w:gridCol w:w="1740"/>
        <w:gridCol w:w="1500"/>
        <w:gridCol w:w="1605"/>
        <w:gridCol w:w="1650"/>
        <w:gridCol w:w="1695"/>
        <w:gridCol w:w="1500"/>
      </w:tblGrid>
      <w:tr w:rsidR="00381BD1" w:rsidRPr="00166BAC" w14:paraId="52D7A3EC" w14:textId="77777777" w:rsidTr="4C93809B">
        <w:trPr>
          <w:cnfStyle w:val="100000000000" w:firstRow="1" w:lastRow="0" w:firstColumn="0" w:lastColumn="0" w:oddVBand="0" w:evenVBand="0" w:oddHBand="0" w:evenHBand="0" w:firstRowFirstColumn="0" w:firstRowLastColumn="0" w:lastRowFirstColumn="0" w:lastRowLastColumn="0"/>
          <w:trHeight w:val="1103"/>
        </w:trPr>
        <w:tc>
          <w:tcPr>
            <w:tcW w:w="1740" w:type="dxa"/>
            <w:tcBorders>
              <w:top w:val="single" w:sz="4" w:space="0" w:color="142855" w:themeColor="text2"/>
              <w:bottom w:val="single" w:sz="4" w:space="0" w:color="142855" w:themeColor="text2"/>
            </w:tcBorders>
            <w:hideMark/>
          </w:tcPr>
          <w:p w14:paraId="2EFD9D6B" w14:textId="77777777" w:rsidR="00381BD1" w:rsidRPr="00166BAC" w:rsidRDefault="00381BD1" w:rsidP="00381BD1"/>
        </w:tc>
        <w:tc>
          <w:tcPr>
            <w:tcW w:w="1500" w:type="dxa"/>
            <w:tcBorders>
              <w:top w:val="single" w:sz="4" w:space="0" w:color="142855" w:themeColor="text2"/>
              <w:bottom w:val="single" w:sz="4" w:space="0" w:color="142855" w:themeColor="text2"/>
            </w:tcBorders>
            <w:hideMark/>
          </w:tcPr>
          <w:p w14:paraId="528CDF6C" w14:textId="77777777" w:rsidR="00381BD1" w:rsidRPr="00166BAC" w:rsidRDefault="00381BD1" w:rsidP="3E2B953A">
            <w:pPr>
              <w:jc w:val="right"/>
              <w:rPr>
                <w:color w:val="142855" w:themeColor="text2"/>
              </w:rPr>
            </w:pPr>
            <w:r w:rsidRPr="3E2B953A">
              <w:rPr>
                <w:color w:val="142855" w:themeColor="text2"/>
              </w:rPr>
              <w:t xml:space="preserve">Female Founders </w:t>
            </w:r>
          </w:p>
        </w:tc>
        <w:tc>
          <w:tcPr>
            <w:tcW w:w="1605" w:type="dxa"/>
            <w:tcBorders>
              <w:top w:val="single" w:sz="4" w:space="0" w:color="142855" w:themeColor="text2"/>
              <w:bottom w:val="single" w:sz="4" w:space="0" w:color="142855" w:themeColor="text2"/>
            </w:tcBorders>
            <w:hideMark/>
          </w:tcPr>
          <w:p w14:paraId="762D26B3" w14:textId="77777777" w:rsidR="00381BD1" w:rsidRPr="00166BAC" w:rsidRDefault="00381BD1" w:rsidP="3E2B953A">
            <w:pPr>
              <w:jc w:val="right"/>
              <w:rPr>
                <w:color w:val="142855" w:themeColor="text2"/>
              </w:rPr>
            </w:pPr>
            <w:r w:rsidRPr="3E2B953A">
              <w:rPr>
                <w:color w:val="142855" w:themeColor="text2"/>
              </w:rPr>
              <w:t xml:space="preserve">Female Directors </w:t>
            </w:r>
          </w:p>
        </w:tc>
        <w:tc>
          <w:tcPr>
            <w:tcW w:w="1650" w:type="dxa"/>
            <w:tcBorders>
              <w:top w:val="single" w:sz="4" w:space="0" w:color="142855" w:themeColor="text2"/>
              <w:bottom w:val="single" w:sz="4" w:space="0" w:color="142855" w:themeColor="text2"/>
            </w:tcBorders>
            <w:hideMark/>
          </w:tcPr>
          <w:p w14:paraId="3D32A4E7" w14:textId="77777777" w:rsidR="00381BD1" w:rsidRPr="00166BAC" w:rsidRDefault="00381BD1" w:rsidP="3E2B953A">
            <w:pPr>
              <w:jc w:val="right"/>
              <w:rPr>
                <w:color w:val="142855" w:themeColor="text2"/>
              </w:rPr>
            </w:pPr>
            <w:r w:rsidRPr="3E2B953A">
              <w:rPr>
                <w:color w:val="142855" w:themeColor="text2"/>
              </w:rPr>
              <w:t xml:space="preserve">Female Key People </w:t>
            </w:r>
          </w:p>
        </w:tc>
        <w:tc>
          <w:tcPr>
            <w:tcW w:w="1695" w:type="dxa"/>
            <w:tcBorders>
              <w:top w:val="single" w:sz="4" w:space="0" w:color="142855" w:themeColor="text2"/>
              <w:bottom w:val="single" w:sz="4" w:space="0" w:color="142855" w:themeColor="text2"/>
            </w:tcBorders>
          </w:tcPr>
          <w:p w14:paraId="4CA5FAC1" w14:textId="4DDD5503" w:rsidR="00381BD1" w:rsidRPr="00166BAC" w:rsidRDefault="00381BD1" w:rsidP="3E2B953A">
            <w:pPr>
              <w:jc w:val="right"/>
              <w:rPr>
                <w:color w:val="142855" w:themeColor="text2"/>
              </w:rPr>
            </w:pPr>
            <w:r w:rsidRPr="3E2B953A">
              <w:rPr>
                <w:color w:val="142855" w:themeColor="text2"/>
              </w:rPr>
              <w:t>Female Directors</w:t>
            </w:r>
          </w:p>
        </w:tc>
        <w:tc>
          <w:tcPr>
            <w:tcW w:w="1500" w:type="dxa"/>
            <w:tcBorders>
              <w:top w:val="single" w:sz="4" w:space="0" w:color="142855" w:themeColor="text2"/>
              <w:bottom w:val="single" w:sz="4" w:space="0" w:color="142855" w:themeColor="text2"/>
            </w:tcBorders>
            <w:hideMark/>
          </w:tcPr>
          <w:p w14:paraId="5AED0B4E" w14:textId="77777777" w:rsidR="00381BD1" w:rsidRPr="00166BAC" w:rsidRDefault="00381BD1" w:rsidP="3E2B953A">
            <w:pPr>
              <w:jc w:val="right"/>
              <w:rPr>
                <w:color w:val="142855" w:themeColor="text2"/>
              </w:rPr>
            </w:pPr>
            <w:r w:rsidRPr="3E2B953A">
              <w:rPr>
                <w:color w:val="142855" w:themeColor="text2"/>
              </w:rPr>
              <w:t>Ethnic Minority</w:t>
            </w:r>
          </w:p>
        </w:tc>
      </w:tr>
      <w:tr w:rsidR="00381BD1" w:rsidRPr="00166BAC" w14:paraId="6A1395E3" w14:textId="77777777" w:rsidTr="4C93809B">
        <w:trPr>
          <w:cnfStyle w:val="000000100000" w:firstRow="0" w:lastRow="0" w:firstColumn="0" w:lastColumn="0" w:oddVBand="0" w:evenVBand="0" w:oddHBand="1" w:evenHBand="0" w:firstRowFirstColumn="0" w:firstRowLastColumn="0" w:lastRowFirstColumn="0" w:lastRowLastColumn="0"/>
          <w:trHeight w:val="1070"/>
        </w:trPr>
        <w:tc>
          <w:tcPr>
            <w:tcW w:w="1740" w:type="dxa"/>
            <w:tcBorders>
              <w:top w:val="single" w:sz="4" w:space="0" w:color="142855" w:themeColor="text2"/>
              <w:bottom w:val="single" w:sz="4" w:space="0" w:color="142855" w:themeColor="text2"/>
            </w:tcBorders>
          </w:tcPr>
          <w:p w14:paraId="35B886DA" w14:textId="77777777" w:rsidR="00381BD1" w:rsidRPr="0051091B" w:rsidRDefault="00381BD1" w:rsidP="00381BD1">
            <w:pPr>
              <w:rPr>
                <w:b/>
                <w:color w:val="1D1D1B" w:themeColor="text1"/>
              </w:rPr>
            </w:pPr>
            <w:r w:rsidRPr="4457CD75">
              <w:rPr>
                <w:b/>
                <w:color w:val="1D1D1B" w:themeColor="text1"/>
              </w:rPr>
              <w:t>Source</w:t>
            </w:r>
          </w:p>
        </w:tc>
        <w:tc>
          <w:tcPr>
            <w:tcW w:w="1500" w:type="dxa"/>
            <w:tcBorders>
              <w:top w:val="single" w:sz="4" w:space="0" w:color="142855" w:themeColor="text2"/>
              <w:bottom w:val="single" w:sz="4" w:space="0" w:color="142855" w:themeColor="text2"/>
            </w:tcBorders>
          </w:tcPr>
          <w:p w14:paraId="031A252D" w14:textId="77777777" w:rsidR="00381BD1" w:rsidRPr="0051091B" w:rsidRDefault="00381BD1" w:rsidP="3E2B953A">
            <w:pPr>
              <w:jc w:val="right"/>
              <w:rPr>
                <w:color w:val="1D1D1B" w:themeColor="text1"/>
              </w:rPr>
            </w:pPr>
            <w:proofErr w:type="spellStart"/>
            <w:r w:rsidRPr="3E2B953A">
              <w:rPr>
                <w:color w:val="1D1D1B" w:themeColor="text1"/>
              </w:rPr>
              <w:t>Beauhurst</w:t>
            </w:r>
            <w:proofErr w:type="spellEnd"/>
          </w:p>
          <w:p w14:paraId="1D10E9DE" w14:textId="77777777" w:rsidR="00381BD1" w:rsidRPr="0051091B" w:rsidRDefault="00381BD1" w:rsidP="3E2B953A">
            <w:pPr>
              <w:jc w:val="right"/>
              <w:rPr>
                <w:color w:val="1D1D1B" w:themeColor="text1"/>
              </w:rPr>
            </w:pPr>
            <w:r w:rsidRPr="3E2B953A">
              <w:rPr>
                <w:color w:val="1D1D1B" w:themeColor="text1"/>
              </w:rPr>
              <w:t>(n = 318)</w:t>
            </w:r>
          </w:p>
        </w:tc>
        <w:tc>
          <w:tcPr>
            <w:tcW w:w="1605" w:type="dxa"/>
            <w:tcBorders>
              <w:top w:val="single" w:sz="4" w:space="0" w:color="142855" w:themeColor="text2"/>
              <w:bottom w:val="single" w:sz="4" w:space="0" w:color="142855" w:themeColor="text2"/>
            </w:tcBorders>
          </w:tcPr>
          <w:p w14:paraId="2A176D14" w14:textId="77777777" w:rsidR="00381BD1" w:rsidRPr="0051091B" w:rsidRDefault="00381BD1" w:rsidP="3E2B953A">
            <w:pPr>
              <w:jc w:val="right"/>
              <w:rPr>
                <w:color w:val="1D1D1B" w:themeColor="text1"/>
              </w:rPr>
            </w:pPr>
            <w:proofErr w:type="spellStart"/>
            <w:r w:rsidRPr="3E2B953A">
              <w:rPr>
                <w:color w:val="1D1D1B" w:themeColor="text1"/>
              </w:rPr>
              <w:t>Beauhurst</w:t>
            </w:r>
            <w:proofErr w:type="spellEnd"/>
          </w:p>
          <w:p w14:paraId="5FC07327" w14:textId="77777777" w:rsidR="00381BD1" w:rsidRPr="0051091B" w:rsidRDefault="00381BD1" w:rsidP="3E2B953A">
            <w:pPr>
              <w:jc w:val="right"/>
              <w:rPr>
                <w:color w:val="1D1D1B" w:themeColor="text1"/>
              </w:rPr>
            </w:pPr>
            <w:r w:rsidRPr="3E2B953A">
              <w:rPr>
                <w:color w:val="1D1D1B" w:themeColor="text1"/>
              </w:rPr>
              <w:t>(n = 301)</w:t>
            </w:r>
          </w:p>
        </w:tc>
        <w:tc>
          <w:tcPr>
            <w:tcW w:w="1650" w:type="dxa"/>
            <w:tcBorders>
              <w:top w:val="single" w:sz="4" w:space="0" w:color="142855" w:themeColor="text2"/>
              <w:bottom w:val="single" w:sz="4" w:space="0" w:color="142855" w:themeColor="text2"/>
            </w:tcBorders>
          </w:tcPr>
          <w:p w14:paraId="750E85AB" w14:textId="77777777" w:rsidR="00381BD1" w:rsidRPr="0051091B" w:rsidRDefault="00381BD1" w:rsidP="3E2B953A">
            <w:pPr>
              <w:jc w:val="right"/>
              <w:rPr>
                <w:color w:val="1D1D1B" w:themeColor="text1"/>
              </w:rPr>
            </w:pPr>
            <w:proofErr w:type="spellStart"/>
            <w:r w:rsidRPr="3E2B953A">
              <w:rPr>
                <w:color w:val="1D1D1B" w:themeColor="text1"/>
              </w:rPr>
              <w:t>Beauhurst</w:t>
            </w:r>
            <w:proofErr w:type="spellEnd"/>
          </w:p>
          <w:p w14:paraId="492ADD8B" w14:textId="77777777" w:rsidR="00381BD1" w:rsidRPr="0051091B" w:rsidRDefault="00381BD1" w:rsidP="3E2B953A">
            <w:pPr>
              <w:jc w:val="right"/>
              <w:rPr>
                <w:color w:val="1D1D1B" w:themeColor="text1"/>
              </w:rPr>
            </w:pPr>
            <w:r w:rsidRPr="3E2B953A">
              <w:rPr>
                <w:color w:val="1D1D1B" w:themeColor="text1"/>
              </w:rPr>
              <w:t>(n = 316)</w:t>
            </w:r>
          </w:p>
        </w:tc>
        <w:tc>
          <w:tcPr>
            <w:tcW w:w="1695" w:type="dxa"/>
            <w:tcBorders>
              <w:top w:val="single" w:sz="4" w:space="0" w:color="142855" w:themeColor="text2"/>
              <w:bottom w:val="single" w:sz="4" w:space="0" w:color="142855" w:themeColor="text2"/>
            </w:tcBorders>
          </w:tcPr>
          <w:p w14:paraId="5C886422" w14:textId="77777777" w:rsidR="00381BD1" w:rsidRPr="0051091B" w:rsidRDefault="00381BD1" w:rsidP="3E2B953A">
            <w:pPr>
              <w:jc w:val="right"/>
              <w:rPr>
                <w:color w:val="1D1D1B" w:themeColor="text1"/>
              </w:rPr>
            </w:pPr>
            <w:r w:rsidRPr="3E2B953A">
              <w:rPr>
                <w:color w:val="1D1D1B" w:themeColor="text1"/>
              </w:rPr>
              <w:t>Monitoring information</w:t>
            </w:r>
          </w:p>
          <w:p w14:paraId="4E3A54FD" w14:textId="7776576C" w:rsidR="00381BD1" w:rsidRPr="0051091B" w:rsidRDefault="00381BD1" w:rsidP="3E2B953A">
            <w:pPr>
              <w:jc w:val="right"/>
              <w:rPr>
                <w:color w:val="1D1D1B" w:themeColor="text1"/>
              </w:rPr>
            </w:pPr>
            <w:r w:rsidRPr="3E2B953A">
              <w:rPr>
                <w:color w:val="1D1D1B" w:themeColor="text1"/>
              </w:rPr>
              <w:t>(n = 372)</w:t>
            </w:r>
          </w:p>
        </w:tc>
        <w:tc>
          <w:tcPr>
            <w:tcW w:w="1500" w:type="dxa"/>
            <w:tcBorders>
              <w:top w:val="single" w:sz="4" w:space="0" w:color="142855" w:themeColor="text2"/>
              <w:bottom w:val="single" w:sz="4" w:space="0" w:color="142855" w:themeColor="text2"/>
            </w:tcBorders>
          </w:tcPr>
          <w:p w14:paraId="0C81F10B" w14:textId="77777777" w:rsidR="00381BD1" w:rsidRPr="0051091B" w:rsidRDefault="00381BD1" w:rsidP="3E2B953A">
            <w:pPr>
              <w:jc w:val="right"/>
              <w:rPr>
                <w:color w:val="1D1D1B" w:themeColor="text1"/>
              </w:rPr>
            </w:pPr>
            <w:r w:rsidRPr="3E2B953A">
              <w:rPr>
                <w:color w:val="1D1D1B" w:themeColor="text1"/>
              </w:rPr>
              <w:t>Monitoring information</w:t>
            </w:r>
          </w:p>
          <w:p w14:paraId="7008FAC6" w14:textId="77777777" w:rsidR="00381BD1" w:rsidRPr="0051091B" w:rsidRDefault="00381BD1" w:rsidP="3E2B953A">
            <w:pPr>
              <w:jc w:val="right"/>
              <w:rPr>
                <w:color w:val="1D1D1B" w:themeColor="text1"/>
              </w:rPr>
            </w:pPr>
            <w:r w:rsidRPr="3E2B953A">
              <w:rPr>
                <w:color w:val="1D1D1B" w:themeColor="text1"/>
              </w:rPr>
              <w:t>(n = 276)</w:t>
            </w:r>
          </w:p>
        </w:tc>
      </w:tr>
      <w:tr w:rsidR="00381BD1" w:rsidRPr="00166BAC" w14:paraId="57036B68" w14:textId="77777777" w:rsidTr="4C93809B">
        <w:trPr>
          <w:trHeight w:val="1070"/>
        </w:trPr>
        <w:tc>
          <w:tcPr>
            <w:tcW w:w="1740" w:type="dxa"/>
            <w:tcBorders>
              <w:top w:val="single" w:sz="4" w:space="0" w:color="142855" w:themeColor="text2"/>
              <w:bottom w:val="single" w:sz="4" w:space="0" w:color="142855" w:themeColor="text2"/>
            </w:tcBorders>
            <w:hideMark/>
          </w:tcPr>
          <w:p w14:paraId="6CC9EF52" w14:textId="77777777" w:rsidR="00381BD1" w:rsidRPr="00166BAC" w:rsidRDefault="00381BD1" w:rsidP="00381BD1">
            <w:pPr>
              <w:rPr>
                <w:b/>
              </w:rPr>
            </w:pPr>
            <w:r w:rsidRPr="4457CD75">
              <w:rPr>
                <w:b/>
              </w:rPr>
              <w:t xml:space="preserve">London &amp; </w:t>
            </w:r>
            <w:proofErr w:type="gramStart"/>
            <w:r w:rsidRPr="4457CD75">
              <w:rPr>
                <w:b/>
              </w:rPr>
              <w:t>South East</w:t>
            </w:r>
            <w:proofErr w:type="gramEnd"/>
          </w:p>
        </w:tc>
        <w:tc>
          <w:tcPr>
            <w:tcW w:w="1500" w:type="dxa"/>
            <w:tcBorders>
              <w:top w:val="single" w:sz="4" w:space="0" w:color="142855" w:themeColor="text2"/>
              <w:bottom w:val="single" w:sz="4" w:space="0" w:color="142855" w:themeColor="text2"/>
            </w:tcBorders>
            <w:hideMark/>
          </w:tcPr>
          <w:p w14:paraId="19EF0AC9" w14:textId="77777777" w:rsidR="00381BD1" w:rsidRPr="00166BAC" w:rsidRDefault="00381BD1" w:rsidP="5F4DA297">
            <w:pPr>
              <w:jc w:val="right"/>
            </w:pPr>
            <w:r>
              <w:t>21.8%</w:t>
            </w:r>
          </w:p>
        </w:tc>
        <w:tc>
          <w:tcPr>
            <w:tcW w:w="1605" w:type="dxa"/>
            <w:tcBorders>
              <w:top w:val="single" w:sz="4" w:space="0" w:color="142855" w:themeColor="text2"/>
              <w:bottom w:val="single" w:sz="4" w:space="0" w:color="142855" w:themeColor="text2"/>
            </w:tcBorders>
            <w:hideMark/>
          </w:tcPr>
          <w:p w14:paraId="25A552E0" w14:textId="77777777" w:rsidR="00381BD1" w:rsidRPr="00166BAC" w:rsidRDefault="00381BD1" w:rsidP="5F4DA297">
            <w:pPr>
              <w:jc w:val="right"/>
            </w:pPr>
            <w:r>
              <w:t>21.5%</w:t>
            </w:r>
          </w:p>
        </w:tc>
        <w:tc>
          <w:tcPr>
            <w:tcW w:w="1650" w:type="dxa"/>
            <w:tcBorders>
              <w:top w:val="single" w:sz="4" w:space="0" w:color="142855" w:themeColor="text2"/>
              <w:bottom w:val="single" w:sz="4" w:space="0" w:color="142855" w:themeColor="text2"/>
            </w:tcBorders>
            <w:hideMark/>
          </w:tcPr>
          <w:p w14:paraId="52691B4A" w14:textId="77777777" w:rsidR="00381BD1" w:rsidRPr="00166BAC" w:rsidRDefault="00381BD1" w:rsidP="5F4DA297">
            <w:pPr>
              <w:jc w:val="right"/>
            </w:pPr>
            <w:r>
              <w:t>25.3%</w:t>
            </w:r>
          </w:p>
        </w:tc>
        <w:tc>
          <w:tcPr>
            <w:tcW w:w="1695" w:type="dxa"/>
            <w:tcBorders>
              <w:top w:val="single" w:sz="4" w:space="0" w:color="142855" w:themeColor="text2"/>
              <w:bottom w:val="single" w:sz="4" w:space="0" w:color="142855" w:themeColor="text2"/>
            </w:tcBorders>
          </w:tcPr>
          <w:p w14:paraId="084357CF" w14:textId="1204B9BB" w:rsidR="00381BD1" w:rsidRPr="00166BAC" w:rsidRDefault="00381BD1" w:rsidP="5F4DA297">
            <w:pPr>
              <w:jc w:val="right"/>
            </w:pPr>
            <w:r>
              <w:t>25.6%</w:t>
            </w:r>
          </w:p>
        </w:tc>
        <w:tc>
          <w:tcPr>
            <w:tcW w:w="1500" w:type="dxa"/>
            <w:tcBorders>
              <w:top w:val="single" w:sz="4" w:space="0" w:color="142855" w:themeColor="text2"/>
              <w:bottom w:val="single" w:sz="4" w:space="0" w:color="142855" w:themeColor="text2"/>
            </w:tcBorders>
            <w:hideMark/>
          </w:tcPr>
          <w:p w14:paraId="2548D467" w14:textId="043AA4B4" w:rsidR="00381BD1" w:rsidRPr="00166BAC" w:rsidRDefault="00381BD1" w:rsidP="5F4DA297">
            <w:pPr>
              <w:jc w:val="right"/>
            </w:pPr>
            <w:r>
              <w:t>20.6%</w:t>
            </w:r>
          </w:p>
        </w:tc>
      </w:tr>
      <w:tr w:rsidR="00381BD1" w:rsidRPr="00166BAC" w14:paraId="58D0928B" w14:textId="77777777" w:rsidTr="4C93809B">
        <w:trPr>
          <w:cnfStyle w:val="000000100000" w:firstRow="0" w:lastRow="0" w:firstColumn="0" w:lastColumn="0" w:oddVBand="0" w:evenVBand="0" w:oddHBand="1" w:evenHBand="0" w:firstRowFirstColumn="0" w:firstRowLastColumn="0" w:lastRowFirstColumn="0" w:lastRowLastColumn="0"/>
          <w:trHeight w:val="1070"/>
        </w:trPr>
        <w:tc>
          <w:tcPr>
            <w:tcW w:w="1740" w:type="dxa"/>
            <w:tcBorders>
              <w:top w:val="single" w:sz="4" w:space="0" w:color="142855" w:themeColor="text2"/>
              <w:bottom w:val="single" w:sz="4" w:space="0" w:color="142855" w:themeColor="text2"/>
            </w:tcBorders>
            <w:hideMark/>
          </w:tcPr>
          <w:p w14:paraId="5D6FD3F3" w14:textId="77777777" w:rsidR="00381BD1" w:rsidRPr="00166BAC" w:rsidRDefault="00381BD1" w:rsidP="00381BD1">
            <w:pPr>
              <w:rPr>
                <w:b/>
              </w:rPr>
            </w:pPr>
            <w:r w:rsidRPr="4457CD75">
              <w:rPr>
                <w:b/>
              </w:rPr>
              <w:t>Rest of the UK</w:t>
            </w:r>
          </w:p>
        </w:tc>
        <w:tc>
          <w:tcPr>
            <w:tcW w:w="1500" w:type="dxa"/>
            <w:tcBorders>
              <w:top w:val="single" w:sz="4" w:space="0" w:color="142855" w:themeColor="text2"/>
              <w:bottom w:val="single" w:sz="4" w:space="0" w:color="142855" w:themeColor="text2"/>
            </w:tcBorders>
            <w:hideMark/>
          </w:tcPr>
          <w:p w14:paraId="2622FA41" w14:textId="77777777" w:rsidR="00381BD1" w:rsidRPr="00166BAC" w:rsidRDefault="00381BD1" w:rsidP="5F4DA297">
            <w:pPr>
              <w:jc w:val="right"/>
            </w:pPr>
            <w:r>
              <w:t>18.4%</w:t>
            </w:r>
          </w:p>
        </w:tc>
        <w:tc>
          <w:tcPr>
            <w:tcW w:w="1605" w:type="dxa"/>
            <w:tcBorders>
              <w:top w:val="single" w:sz="4" w:space="0" w:color="142855" w:themeColor="text2"/>
              <w:bottom w:val="single" w:sz="4" w:space="0" w:color="142855" w:themeColor="text2"/>
            </w:tcBorders>
            <w:hideMark/>
          </w:tcPr>
          <w:p w14:paraId="13C5DB58" w14:textId="77777777" w:rsidR="00381BD1" w:rsidRPr="00166BAC" w:rsidRDefault="00381BD1" w:rsidP="5F4DA297">
            <w:pPr>
              <w:jc w:val="right"/>
            </w:pPr>
            <w:r>
              <w:t>14.1%</w:t>
            </w:r>
          </w:p>
        </w:tc>
        <w:tc>
          <w:tcPr>
            <w:tcW w:w="1650" w:type="dxa"/>
            <w:tcBorders>
              <w:top w:val="single" w:sz="4" w:space="0" w:color="142855" w:themeColor="text2"/>
              <w:bottom w:val="single" w:sz="4" w:space="0" w:color="142855" w:themeColor="text2"/>
            </w:tcBorders>
            <w:hideMark/>
          </w:tcPr>
          <w:p w14:paraId="287C8C26" w14:textId="163D8E3D" w:rsidR="00381BD1" w:rsidRPr="00166BAC" w:rsidRDefault="00381BD1" w:rsidP="5F4DA297">
            <w:pPr>
              <w:jc w:val="right"/>
            </w:pPr>
            <w:r>
              <w:t>18.4%</w:t>
            </w:r>
          </w:p>
        </w:tc>
        <w:tc>
          <w:tcPr>
            <w:tcW w:w="1695" w:type="dxa"/>
            <w:tcBorders>
              <w:top w:val="single" w:sz="4" w:space="0" w:color="142855" w:themeColor="text2"/>
              <w:bottom w:val="single" w:sz="4" w:space="0" w:color="142855" w:themeColor="text2"/>
            </w:tcBorders>
          </w:tcPr>
          <w:p w14:paraId="3DE23028" w14:textId="5A55F933" w:rsidR="00381BD1" w:rsidRPr="00166BAC" w:rsidRDefault="00381BD1" w:rsidP="5F4DA297">
            <w:pPr>
              <w:jc w:val="right"/>
            </w:pPr>
            <w:r>
              <w:t>17.7%</w:t>
            </w:r>
          </w:p>
        </w:tc>
        <w:tc>
          <w:tcPr>
            <w:tcW w:w="1500" w:type="dxa"/>
            <w:tcBorders>
              <w:top w:val="single" w:sz="4" w:space="0" w:color="142855" w:themeColor="text2"/>
              <w:bottom w:val="single" w:sz="4" w:space="0" w:color="142855" w:themeColor="text2"/>
            </w:tcBorders>
            <w:hideMark/>
          </w:tcPr>
          <w:p w14:paraId="4D1944BA" w14:textId="77777777" w:rsidR="00381BD1" w:rsidRPr="00166BAC" w:rsidRDefault="00381BD1" w:rsidP="5F4DA297">
            <w:pPr>
              <w:jc w:val="right"/>
            </w:pPr>
            <w:r>
              <w:t>9.6%</w:t>
            </w:r>
          </w:p>
        </w:tc>
      </w:tr>
      <w:tr w:rsidR="00381BD1" w:rsidRPr="00166BAC" w14:paraId="53F4B81D" w14:textId="77777777" w:rsidTr="4C93809B">
        <w:trPr>
          <w:trHeight w:val="601"/>
        </w:trPr>
        <w:tc>
          <w:tcPr>
            <w:tcW w:w="1740" w:type="dxa"/>
            <w:tcBorders>
              <w:top w:val="single" w:sz="4" w:space="0" w:color="142855" w:themeColor="text2"/>
              <w:bottom w:val="single" w:sz="4" w:space="0" w:color="142855" w:themeColor="text2"/>
            </w:tcBorders>
            <w:hideMark/>
          </w:tcPr>
          <w:p w14:paraId="7139FD5F" w14:textId="77777777" w:rsidR="00381BD1" w:rsidRPr="00166BAC" w:rsidRDefault="00381BD1" w:rsidP="00381BD1">
            <w:pPr>
              <w:rPr>
                <w:b/>
              </w:rPr>
            </w:pPr>
            <w:r w:rsidRPr="4457CD75">
              <w:rPr>
                <w:b/>
              </w:rPr>
              <w:t>National</w:t>
            </w:r>
          </w:p>
        </w:tc>
        <w:tc>
          <w:tcPr>
            <w:tcW w:w="1500" w:type="dxa"/>
            <w:tcBorders>
              <w:top w:val="single" w:sz="4" w:space="0" w:color="142855" w:themeColor="text2"/>
              <w:bottom w:val="single" w:sz="4" w:space="0" w:color="142855" w:themeColor="text2"/>
            </w:tcBorders>
            <w:hideMark/>
          </w:tcPr>
          <w:p w14:paraId="58BA2B55" w14:textId="77777777" w:rsidR="00381BD1" w:rsidRPr="00166BAC" w:rsidRDefault="00381BD1" w:rsidP="5F4DA297">
            <w:pPr>
              <w:jc w:val="right"/>
            </w:pPr>
            <w:r>
              <w:t>19.9%</w:t>
            </w:r>
          </w:p>
        </w:tc>
        <w:tc>
          <w:tcPr>
            <w:tcW w:w="1605" w:type="dxa"/>
            <w:tcBorders>
              <w:top w:val="single" w:sz="4" w:space="0" w:color="142855" w:themeColor="text2"/>
              <w:bottom w:val="single" w:sz="4" w:space="0" w:color="142855" w:themeColor="text2"/>
            </w:tcBorders>
            <w:hideMark/>
          </w:tcPr>
          <w:p w14:paraId="73040A19" w14:textId="77777777" w:rsidR="00381BD1" w:rsidRPr="00166BAC" w:rsidRDefault="00381BD1" w:rsidP="5F4DA297">
            <w:pPr>
              <w:jc w:val="right"/>
            </w:pPr>
            <w:r>
              <w:t>17.5%</w:t>
            </w:r>
          </w:p>
        </w:tc>
        <w:tc>
          <w:tcPr>
            <w:tcW w:w="1650" w:type="dxa"/>
            <w:tcBorders>
              <w:top w:val="single" w:sz="4" w:space="0" w:color="142855" w:themeColor="text2"/>
              <w:bottom w:val="single" w:sz="4" w:space="0" w:color="142855" w:themeColor="text2"/>
            </w:tcBorders>
            <w:hideMark/>
          </w:tcPr>
          <w:p w14:paraId="7D04434F" w14:textId="77777777" w:rsidR="00381BD1" w:rsidRPr="00166BAC" w:rsidRDefault="00381BD1" w:rsidP="5F4DA297">
            <w:pPr>
              <w:jc w:val="right"/>
            </w:pPr>
            <w:r>
              <w:t>21.4%</w:t>
            </w:r>
          </w:p>
        </w:tc>
        <w:tc>
          <w:tcPr>
            <w:tcW w:w="1695" w:type="dxa"/>
            <w:tcBorders>
              <w:top w:val="single" w:sz="4" w:space="0" w:color="142855" w:themeColor="text2"/>
              <w:bottom w:val="single" w:sz="4" w:space="0" w:color="142855" w:themeColor="text2"/>
            </w:tcBorders>
          </w:tcPr>
          <w:p w14:paraId="5D81ED9A" w14:textId="2F45F132" w:rsidR="00381BD1" w:rsidRPr="00166BAC" w:rsidRDefault="00381BD1" w:rsidP="5F4DA297">
            <w:pPr>
              <w:jc w:val="right"/>
            </w:pPr>
            <w:r>
              <w:t>20.9%</w:t>
            </w:r>
          </w:p>
        </w:tc>
        <w:tc>
          <w:tcPr>
            <w:tcW w:w="1500" w:type="dxa"/>
            <w:tcBorders>
              <w:top w:val="single" w:sz="4" w:space="0" w:color="142855" w:themeColor="text2"/>
              <w:bottom w:val="single" w:sz="4" w:space="0" w:color="142855" w:themeColor="text2"/>
            </w:tcBorders>
            <w:hideMark/>
          </w:tcPr>
          <w:p w14:paraId="27973300" w14:textId="3274DCBE" w:rsidR="00381BD1" w:rsidRPr="00166BAC" w:rsidRDefault="00381BD1" w:rsidP="5F4DA297">
            <w:pPr>
              <w:jc w:val="right"/>
            </w:pPr>
            <w:r>
              <w:t>13.8%</w:t>
            </w:r>
          </w:p>
        </w:tc>
      </w:tr>
    </w:tbl>
    <w:p w14:paraId="73F37D71" w14:textId="77777777" w:rsidR="00784475" w:rsidRDefault="00784475" w:rsidP="00784475">
      <w:pPr>
        <w:rPr>
          <w:rStyle w:val="Bold"/>
          <w:bCs/>
        </w:rPr>
      </w:pPr>
      <w:bookmarkStart w:id="184" w:name="_Toc136851430"/>
      <w:bookmarkStart w:id="185" w:name="_Toc144830583"/>
      <w:bookmarkStart w:id="186" w:name="_Toc145671330"/>
      <w:bookmarkStart w:id="187" w:name="_Toc145923998"/>
    </w:p>
    <w:p w14:paraId="753F01A8" w14:textId="7750DB21" w:rsidR="002767B2" w:rsidRPr="00784475" w:rsidRDefault="002767B2" w:rsidP="00784475">
      <w:pPr>
        <w:rPr>
          <w:rStyle w:val="Bold"/>
          <w:bCs/>
        </w:rPr>
      </w:pPr>
      <w:r w:rsidRPr="00784475">
        <w:rPr>
          <w:rStyle w:val="Bold"/>
          <w:bCs/>
        </w:rPr>
        <w:t>8.7.4 Economy</w:t>
      </w:r>
      <w:bookmarkEnd w:id="184"/>
      <w:bookmarkEnd w:id="185"/>
      <w:bookmarkEnd w:id="186"/>
      <w:bookmarkEnd w:id="187"/>
    </w:p>
    <w:p w14:paraId="0D2F812C" w14:textId="77777777" w:rsidR="002767B2" w:rsidRPr="002767B2" w:rsidRDefault="002767B2" w:rsidP="002767B2">
      <w:r w:rsidRPr="002767B2">
        <w:rPr>
          <w:b/>
          <w:bCs/>
        </w:rPr>
        <w:t xml:space="preserve">Direct economic benefits - </w:t>
      </w:r>
      <w:r w:rsidRPr="002767B2">
        <w:t xml:space="preserve">We have collected early evidence that the expected short-term outcomes are in reach. Encouragingly, we find that only a small proportion (1.6% - 6 of 372) of the businesses have failed to date. </w:t>
      </w:r>
    </w:p>
    <w:p w14:paraId="727B2144" w14:textId="77777777" w:rsidR="002767B2" w:rsidRPr="002767B2" w:rsidRDefault="002767B2" w:rsidP="002767B2">
      <w:r w:rsidRPr="002767B2">
        <w:t xml:space="preserve">Evidence from secondary data analysis suggests that the funded firms have grown in turnover and in terms of fundraising value. A longer-term analysis of firms’ development relative to firms’ initial growth stage is needed to fully understand the extent to which the RAP funded firms are outperforming other firms that did not benefit form RAP funding. </w:t>
      </w:r>
      <w:bookmarkStart w:id="188" w:name="_Hlk142303471"/>
      <w:r w:rsidRPr="002767B2">
        <w:t>We have looked at turnover growth until 2022, which is only shortly after the firms benefit from RAP funding and thereby, the programme can only have had a limited impact on company performance.</w:t>
      </w:r>
    </w:p>
    <w:bookmarkEnd w:id="188"/>
    <w:p w14:paraId="78B814F4" w14:textId="77777777" w:rsidR="002767B2" w:rsidRPr="002767B2" w:rsidRDefault="2CDC9294" w:rsidP="002767B2">
      <w:r w:rsidRPr="002767B2">
        <w:rPr>
          <w:b/>
          <w:bCs/>
        </w:rPr>
        <w:t>Indirect economic benefits -</w:t>
      </w:r>
      <w:r w:rsidRPr="002767B2">
        <w:t xml:space="preserve"> The Programme also aims to generate additional regional economic output to the UK economy. It can do this through the dissemination of knowledge gains made possible because of RAP investment. It can also realise this when the economic success of the companies that benefitted spill over to other businesses. </w:t>
      </w:r>
      <w:r w:rsidRPr="002767B2">
        <w:lastRenderedPageBreak/>
        <w:t>Estimations from Samila and Sorenson using a panel data set with US based firms</w:t>
      </w:r>
      <w:r w:rsidR="002767B2" w:rsidRPr="002767B2">
        <w:rPr>
          <w:vertAlign w:val="superscript"/>
        </w:rPr>
        <w:footnoteReference w:id="51"/>
      </w:r>
      <w:r w:rsidRPr="002767B2">
        <w:rPr>
          <w:vertAlign w:val="superscript"/>
        </w:rPr>
        <w:t xml:space="preserve"> </w:t>
      </w:r>
      <w:r w:rsidRPr="002767B2">
        <w:t xml:space="preserve">show that increases in venture capital have a positive effect on the creation of new firms, employment and income in the region and these positive regional effects outweigh the cost of the venture capital investment. </w:t>
      </w:r>
    </w:p>
    <w:p w14:paraId="4908BA2B" w14:textId="77777777" w:rsidR="002767B2" w:rsidRPr="002767B2" w:rsidRDefault="002767B2" w:rsidP="002767B2">
      <w:r w:rsidRPr="002767B2">
        <w:t xml:space="preserve">The total economic benefits will need to be compared to the total cost. </w:t>
      </w:r>
    </w:p>
    <w:p w14:paraId="0CCE50D6" w14:textId="209556EE" w:rsidR="00601DF8" w:rsidRDefault="002767B2" w:rsidP="002767B2">
      <w:pPr>
        <w:pStyle w:val="ListBullet2"/>
        <w:numPr>
          <w:ilvl w:val="0"/>
          <w:numId w:val="0"/>
        </w:numPr>
      </w:pPr>
      <w:r w:rsidRPr="002767B2">
        <w:rPr>
          <w:b/>
          <w:bCs/>
        </w:rPr>
        <w:t>Cost</w:t>
      </w:r>
      <w:r w:rsidRPr="002767B2">
        <w:t xml:space="preserve"> - The total cost of the Programme is £5</w:t>
      </w:r>
      <w:r w:rsidR="00020406">
        <w:t>33</w:t>
      </w:r>
      <w:r w:rsidRPr="002767B2">
        <w:t xml:space="preserve">.5m thus far. This includes the funding </w:t>
      </w:r>
      <w:r w:rsidR="00086106">
        <w:t>provided</w:t>
      </w:r>
      <w:r w:rsidR="00086106" w:rsidRPr="002767B2">
        <w:t xml:space="preserve"> </w:t>
      </w:r>
      <w:r w:rsidRPr="002767B2">
        <w:t xml:space="preserve">by the British Business Bank to the Programme beneficiaries, the total co-funding costs from Partners participating in the </w:t>
      </w:r>
      <w:r w:rsidR="005A7B44" w:rsidRPr="002767B2">
        <w:t>scheme and</w:t>
      </w:r>
      <w:r w:rsidRPr="002767B2">
        <w:t xml:space="preserve"> running costs from year 2020 to 2022</w:t>
      </w:r>
      <w:r w:rsidR="006171E7">
        <w:t xml:space="preserve">. As part of a full CBA this should be discounted at 3.5% or an </w:t>
      </w:r>
      <w:r w:rsidR="00CA70EF">
        <w:t xml:space="preserve">appropriate </w:t>
      </w:r>
      <w:r w:rsidR="006171E7">
        <w:t>rate</w:t>
      </w:r>
      <w:r w:rsidR="00CA70EF">
        <w:t>. This has not been carried out in the calculations below</w:t>
      </w:r>
      <w:r w:rsidR="006171E7">
        <w:t xml:space="preserve">. </w:t>
      </w:r>
    </w:p>
    <w:p w14:paraId="3D3DCF2D" w14:textId="77777777" w:rsidR="00BD20E7" w:rsidRDefault="00BD20E7" w:rsidP="002F0F2A">
      <w:pPr>
        <w:pStyle w:val="ListBullet2"/>
        <w:numPr>
          <w:ilvl w:val="0"/>
          <w:numId w:val="0"/>
        </w:numPr>
      </w:pPr>
    </w:p>
    <w:p w14:paraId="63D579BE" w14:textId="7BB34774" w:rsidR="004762F7" w:rsidRPr="004762F7" w:rsidRDefault="20F8B919" w:rsidP="003C06F0">
      <w:pPr>
        <w:pStyle w:val="Caption"/>
        <w:keepNext/>
      </w:pPr>
      <w:r>
        <w:t xml:space="preserve">Table </w:t>
      </w:r>
      <w:r w:rsidR="002728D8">
        <w:fldChar w:fldCharType="begin"/>
      </w:r>
      <w:r w:rsidR="002728D8">
        <w:instrText xml:space="preserve"> SEQ Table \* ARABIC </w:instrText>
      </w:r>
      <w:r w:rsidR="002728D8">
        <w:fldChar w:fldCharType="separate"/>
      </w:r>
      <w:r w:rsidR="00BC412E">
        <w:rPr>
          <w:noProof/>
        </w:rPr>
        <w:t>8</w:t>
      </w:r>
      <w:r w:rsidR="002728D8">
        <w:rPr>
          <w:noProof/>
        </w:rPr>
        <w:fldChar w:fldCharType="end"/>
      </w:r>
      <w:r>
        <w:t xml:space="preserve">: </w:t>
      </w:r>
      <w:r w:rsidR="005A23DA">
        <w:t>Overview of available</w:t>
      </w:r>
      <w:r w:rsidR="005A23DA" w:rsidRPr="005E2738">
        <w:t xml:space="preserve"> </w:t>
      </w:r>
      <w:r w:rsidRPr="005E2738">
        <w:t>costs for RAP as of Q2 2022</w:t>
      </w:r>
      <w:r w:rsidR="004762F7">
        <w:rPr>
          <w:rStyle w:val="FootnoteReference"/>
        </w:rPr>
        <w:footnoteReference w:id="52"/>
      </w:r>
    </w:p>
    <w:tbl>
      <w:tblPr>
        <w:tblStyle w:val="PlainTable21"/>
        <w:tblW w:w="3328" w:type="pct"/>
        <w:tblLook w:val="04A0" w:firstRow="1" w:lastRow="0" w:firstColumn="1" w:lastColumn="0" w:noHBand="0" w:noVBand="1"/>
      </w:tblPr>
      <w:tblGrid>
        <w:gridCol w:w="3771"/>
        <w:gridCol w:w="904"/>
        <w:gridCol w:w="1956"/>
      </w:tblGrid>
      <w:tr w:rsidR="006171E7" w:rsidRPr="006171E7" w14:paraId="66309591" w14:textId="77777777" w:rsidTr="07F50397">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525" w:type="pct"/>
            <w:gridSpan w:val="2"/>
            <w:tcBorders>
              <w:top w:val="single" w:sz="4" w:space="0" w:color="142855" w:themeColor="text2"/>
              <w:bottom w:val="single" w:sz="4" w:space="0" w:color="142855" w:themeColor="text2"/>
            </w:tcBorders>
          </w:tcPr>
          <w:p w14:paraId="1F00EAFA" w14:textId="77777777" w:rsidR="006171E7" w:rsidRDefault="006171E7" w:rsidP="00D8407C">
            <w:pPr>
              <w:pStyle w:val="ListBullet2"/>
              <w:numPr>
                <w:ilvl w:val="0"/>
                <w:numId w:val="0"/>
              </w:numPr>
              <w:spacing w:after="0"/>
              <w:rPr>
                <w:color w:val="142855" w:themeColor="text2"/>
              </w:rPr>
            </w:pPr>
            <w:r w:rsidRPr="4457CD75">
              <w:rPr>
                <w:color w:val="142855" w:themeColor="text2"/>
              </w:rPr>
              <w:t>Cost item</w:t>
            </w:r>
          </w:p>
        </w:tc>
        <w:tc>
          <w:tcPr>
            <w:tcW w:w="1475" w:type="pct"/>
            <w:tcBorders>
              <w:top w:val="single" w:sz="4" w:space="0" w:color="142855" w:themeColor="text2"/>
              <w:bottom w:val="single" w:sz="4" w:space="0" w:color="142855" w:themeColor="text2"/>
            </w:tcBorders>
          </w:tcPr>
          <w:p w14:paraId="014346E6" w14:textId="77777777" w:rsidR="006171E7" w:rsidRDefault="006171E7" w:rsidP="4457CD75">
            <w:pPr>
              <w:pStyle w:val="ListBullet2"/>
              <w:numPr>
                <w:ilvl w:val="0"/>
                <w:numId w:val="0"/>
              </w:numPr>
              <w:spacing w:after="0"/>
              <w:jc w:val="right"/>
              <w:cnfStyle w:val="100000000000" w:firstRow="1" w:lastRow="0" w:firstColumn="0" w:lastColumn="0" w:oddVBand="0" w:evenVBand="0" w:oddHBand="0" w:evenHBand="0" w:firstRowFirstColumn="0" w:firstRowLastColumn="0" w:lastRowFirstColumn="0" w:lastRowLastColumn="0"/>
              <w:rPr>
                <w:color w:val="142855" w:themeColor="text2"/>
              </w:rPr>
            </w:pPr>
            <w:r w:rsidRPr="4457CD75">
              <w:rPr>
                <w:color w:val="142855" w:themeColor="text2"/>
              </w:rPr>
              <w:t>£m</w:t>
            </w:r>
          </w:p>
        </w:tc>
      </w:tr>
      <w:tr w:rsidR="006171E7" w:rsidRPr="006171E7" w14:paraId="1A900F8E" w14:textId="3D9B382A" w:rsidTr="07F50397">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142855" w:themeColor="text2"/>
              <w:bottom w:val="single" w:sz="4" w:space="0" w:color="142855" w:themeColor="text2"/>
            </w:tcBorders>
          </w:tcPr>
          <w:p w14:paraId="7C8FBC91" w14:textId="3D6156A4" w:rsidR="006171E7" w:rsidRPr="00653065" w:rsidRDefault="006171E7" w:rsidP="00D8407C">
            <w:pPr>
              <w:pStyle w:val="ListBullet2"/>
              <w:numPr>
                <w:ilvl w:val="0"/>
                <w:numId w:val="0"/>
              </w:numPr>
              <w:spacing w:after="0"/>
            </w:pPr>
            <w:r>
              <w:t>BBI</w:t>
            </w:r>
            <w:r w:rsidRPr="00653065">
              <w:t xml:space="preserve"> </w:t>
            </w:r>
            <w:proofErr w:type="gramStart"/>
            <w:r w:rsidRPr="00653065">
              <w:t>investment  from</w:t>
            </w:r>
            <w:proofErr w:type="gramEnd"/>
            <w:r w:rsidRPr="00653065">
              <w:t xml:space="preserve"> 2020</w:t>
            </w:r>
            <w:r>
              <w:t xml:space="preserve"> –</w:t>
            </w:r>
            <w:r w:rsidRPr="0051091B">
              <w:t xml:space="preserve"> June </w:t>
            </w:r>
            <w:r w:rsidRPr="00653065">
              <w:t>202</w:t>
            </w:r>
            <w:r w:rsidRPr="0051091B">
              <w:t>2</w:t>
            </w:r>
          </w:p>
        </w:tc>
        <w:tc>
          <w:tcPr>
            <w:tcW w:w="681" w:type="pct"/>
            <w:tcBorders>
              <w:top w:val="single" w:sz="4" w:space="0" w:color="142855" w:themeColor="text2"/>
              <w:bottom w:val="single" w:sz="4" w:space="0" w:color="142855" w:themeColor="text2"/>
            </w:tcBorders>
          </w:tcPr>
          <w:p w14:paraId="3141F0ED" w14:textId="29A0B822" w:rsidR="006171E7" w:rsidRPr="00653065" w:rsidRDefault="006171E7" w:rsidP="00D8407C">
            <w:pPr>
              <w:pStyle w:val="ListBullet2"/>
              <w:numPr>
                <w:ilvl w:val="0"/>
                <w:numId w:val="0"/>
              </w:numPr>
              <w:spacing w:after="0"/>
              <w:cnfStyle w:val="000000100000" w:firstRow="0" w:lastRow="0" w:firstColumn="0" w:lastColumn="0" w:oddVBand="0" w:evenVBand="0" w:oddHBand="1" w:evenHBand="0" w:firstRowFirstColumn="0" w:firstRowLastColumn="0" w:lastRowFirstColumn="0" w:lastRowLastColumn="0"/>
            </w:pPr>
          </w:p>
        </w:tc>
        <w:tc>
          <w:tcPr>
            <w:tcW w:w="1475" w:type="pct"/>
            <w:tcBorders>
              <w:top w:val="single" w:sz="4" w:space="0" w:color="142855" w:themeColor="text2"/>
              <w:bottom w:val="single" w:sz="4" w:space="0" w:color="142855" w:themeColor="text2"/>
            </w:tcBorders>
          </w:tcPr>
          <w:p w14:paraId="49C47D74" w14:textId="70042ACA" w:rsidR="006171E7" w:rsidRDefault="006171E7" w:rsidP="4457CD75">
            <w:pPr>
              <w:pStyle w:val="ListBullet2"/>
              <w:numPr>
                <w:ilvl w:val="0"/>
                <w:numId w:val="0"/>
              </w:numPr>
              <w:spacing w:after="0"/>
              <w:jc w:val="right"/>
              <w:cnfStyle w:val="000000100000" w:firstRow="0" w:lastRow="0" w:firstColumn="0" w:lastColumn="0" w:oddVBand="0" w:evenVBand="0" w:oddHBand="1" w:evenHBand="0" w:firstRowFirstColumn="0" w:firstRowLastColumn="0" w:lastRowFirstColumn="0" w:lastRowLastColumn="0"/>
            </w:pPr>
            <w:r w:rsidRPr="00653065">
              <w:t>£</w:t>
            </w:r>
            <w:r w:rsidR="00E13645">
              <w:t>59.5</w:t>
            </w:r>
          </w:p>
        </w:tc>
      </w:tr>
      <w:tr w:rsidR="006171E7" w:rsidRPr="006171E7" w14:paraId="6C459827" w14:textId="77777777" w:rsidTr="07F50397">
        <w:trPr>
          <w:trHeight w:val="834"/>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142855" w:themeColor="text2"/>
              <w:bottom w:val="single" w:sz="4" w:space="0" w:color="142855" w:themeColor="text2"/>
            </w:tcBorders>
          </w:tcPr>
          <w:p w14:paraId="59978B85" w14:textId="6AEA7E5E" w:rsidR="006171E7" w:rsidRPr="00653065" w:rsidRDefault="006171E7" w:rsidP="00D8407C">
            <w:pPr>
              <w:pStyle w:val="ListBullet2"/>
              <w:numPr>
                <w:ilvl w:val="0"/>
                <w:numId w:val="0"/>
              </w:numPr>
              <w:spacing w:after="0"/>
            </w:pPr>
            <w:r>
              <w:t xml:space="preserve">Delivery </w:t>
            </w:r>
            <w:r w:rsidR="00BF270E">
              <w:t>p</w:t>
            </w:r>
            <w:r>
              <w:t>artner</w:t>
            </w:r>
            <w:r w:rsidR="00BF270E">
              <w:t>s</w:t>
            </w:r>
            <w:r>
              <w:t xml:space="preserve"> investment</w:t>
            </w:r>
            <w:r w:rsidRPr="00E068F6">
              <w:t xml:space="preserve"> from 2020 – June 2022</w:t>
            </w:r>
          </w:p>
        </w:tc>
        <w:tc>
          <w:tcPr>
            <w:tcW w:w="681" w:type="pct"/>
            <w:tcBorders>
              <w:top w:val="single" w:sz="4" w:space="0" w:color="142855" w:themeColor="text2"/>
              <w:bottom w:val="single" w:sz="4" w:space="0" w:color="142855" w:themeColor="text2"/>
            </w:tcBorders>
          </w:tcPr>
          <w:p w14:paraId="25D05C23" w14:textId="77777777" w:rsidR="006171E7" w:rsidRPr="00653065" w:rsidRDefault="006171E7" w:rsidP="00D8407C">
            <w:pPr>
              <w:pStyle w:val="ListBullet2"/>
              <w:numPr>
                <w:ilvl w:val="0"/>
                <w:numId w:val="0"/>
              </w:numPr>
              <w:spacing w:after="0"/>
              <w:cnfStyle w:val="000000000000" w:firstRow="0" w:lastRow="0" w:firstColumn="0" w:lastColumn="0" w:oddVBand="0" w:evenVBand="0" w:oddHBand="0" w:evenHBand="0" w:firstRowFirstColumn="0" w:firstRowLastColumn="0" w:lastRowFirstColumn="0" w:lastRowLastColumn="0"/>
            </w:pPr>
          </w:p>
        </w:tc>
        <w:tc>
          <w:tcPr>
            <w:tcW w:w="1475" w:type="pct"/>
            <w:tcBorders>
              <w:top w:val="single" w:sz="4" w:space="0" w:color="142855" w:themeColor="text2"/>
              <w:bottom w:val="single" w:sz="4" w:space="0" w:color="142855" w:themeColor="text2"/>
            </w:tcBorders>
          </w:tcPr>
          <w:p w14:paraId="456B76FE" w14:textId="40FEC712" w:rsidR="006171E7" w:rsidRPr="00653065" w:rsidRDefault="006171E7" w:rsidP="4457CD75">
            <w:pPr>
              <w:pStyle w:val="ListBullet2"/>
              <w:numPr>
                <w:ilvl w:val="0"/>
                <w:numId w:val="0"/>
              </w:numPr>
              <w:spacing w:after="0"/>
              <w:jc w:val="right"/>
              <w:cnfStyle w:val="000000000000" w:firstRow="0" w:lastRow="0" w:firstColumn="0" w:lastColumn="0" w:oddVBand="0" w:evenVBand="0" w:oddHBand="0" w:evenHBand="0" w:firstRowFirstColumn="0" w:firstRowLastColumn="0" w:lastRowFirstColumn="0" w:lastRowLastColumn="0"/>
            </w:pPr>
            <w:r>
              <w:t>£</w:t>
            </w:r>
            <w:r w:rsidR="00E13645">
              <w:t>163.5</w:t>
            </w:r>
          </w:p>
        </w:tc>
      </w:tr>
      <w:tr w:rsidR="006171E7" w:rsidRPr="006171E7" w14:paraId="377BB635" w14:textId="0B2ABAE6" w:rsidTr="07F5039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142855" w:themeColor="text2"/>
              <w:bottom w:val="single" w:sz="4" w:space="0" w:color="142855" w:themeColor="text2"/>
            </w:tcBorders>
          </w:tcPr>
          <w:p w14:paraId="2F7F2E5E" w14:textId="15C4B8CF" w:rsidR="006171E7" w:rsidRDefault="7783DA4E" w:rsidP="00D8407C">
            <w:pPr>
              <w:pStyle w:val="ListBullet2"/>
              <w:numPr>
                <w:ilvl w:val="0"/>
                <w:numId w:val="0"/>
              </w:numPr>
              <w:spacing w:after="0"/>
            </w:pPr>
            <w:r>
              <w:t xml:space="preserve">Running costs from </w:t>
            </w:r>
            <w:r w:rsidRPr="00D8407C">
              <w:t>2020-2022</w:t>
            </w:r>
            <w:r w:rsidR="006171E7">
              <w:rPr>
                <w:rStyle w:val="FootnoteReference"/>
              </w:rPr>
              <w:footnoteReference w:id="53"/>
            </w:r>
          </w:p>
        </w:tc>
        <w:tc>
          <w:tcPr>
            <w:tcW w:w="681" w:type="pct"/>
            <w:tcBorders>
              <w:top w:val="single" w:sz="4" w:space="0" w:color="142855" w:themeColor="text2"/>
              <w:bottom w:val="single" w:sz="4" w:space="0" w:color="142855" w:themeColor="text2"/>
            </w:tcBorders>
          </w:tcPr>
          <w:p w14:paraId="3D2294AE" w14:textId="77777777" w:rsidR="006171E7" w:rsidRDefault="006171E7" w:rsidP="00D8407C">
            <w:pPr>
              <w:pStyle w:val="ListBullet2"/>
              <w:numPr>
                <w:ilvl w:val="0"/>
                <w:numId w:val="0"/>
              </w:numPr>
              <w:spacing w:after="0"/>
              <w:cnfStyle w:val="000000100000" w:firstRow="0" w:lastRow="0" w:firstColumn="0" w:lastColumn="0" w:oddVBand="0" w:evenVBand="0" w:oddHBand="1" w:evenHBand="0" w:firstRowFirstColumn="0" w:firstRowLastColumn="0" w:lastRowFirstColumn="0" w:lastRowLastColumn="0"/>
            </w:pPr>
          </w:p>
        </w:tc>
        <w:tc>
          <w:tcPr>
            <w:tcW w:w="1475" w:type="pct"/>
            <w:tcBorders>
              <w:top w:val="single" w:sz="4" w:space="0" w:color="142855" w:themeColor="text2"/>
              <w:bottom w:val="single" w:sz="4" w:space="0" w:color="142855" w:themeColor="text2"/>
            </w:tcBorders>
          </w:tcPr>
          <w:p w14:paraId="72AEAA74" w14:textId="2EC89657" w:rsidR="006171E7" w:rsidRDefault="006171E7" w:rsidP="4457CD75">
            <w:pPr>
              <w:pStyle w:val="ListBullet2"/>
              <w:numPr>
                <w:ilvl w:val="0"/>
                <w:numId w:val="0"/>
              </w:numPr>
              <w:spacing w:after="0"/>
              <w:jc w:val="right"/>
              <w:cnfStyle w:val="000000100000" w:firstRow="0" w:lastRow="0" w:firstColumn="0" w:lastColumn="0" w:oddVBand="0" w:evenVBand="0" w:oddHBand="1" w:evenHBand="0" w:firstRowFirstColumn="0" w:firstRowLastColumn="0" w:lastRowFirstColumn="0" w:lastRowLastColumn="0"/>
            </w:pPr>
            <w:r>
              <w:t>£3.5</w:t>
            </w:r>
          </w:p>
        </w:tc>
      </w:tr>
      <w:tr w:rsidR="006171E7" w:rsidRPr="006171E7" w14:paraId="5C89E9B7" w14:textId="3800FB57" w:rsidTr="07F50397">
        <w:trPr>
          <w:trHeight w:val="834"/>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142855" w:themeColor="text2"/>
              <w:bottom w:val="single" w:sz="4" w:space="0" w:color="142855" w:themeColor="text2"/>
            </w:tcBorders>
          </w:tcPr>
          <w:p w14:paraId="4B32C2DA" w14:textId="0927DF2D" w:rsidR="006171E7" w:rsidRDefault="006171E7" w:rsidP="00D8407C">
            <w:pPr>
              <w:pStyle w:val="ListBullet2"/>
              <w:numPr>
                <w:ilvl w:val="0"/>
                <w:numId w:val="0"/>
              </w:numPr>
              <w:spacing w:after="0"/>
            </w:pPr>
            <w:r>
              <w:t xml:space="preserve">Third party funding </w:t>
            </w:r>
          </w:p>
        </w:tc>
        <w:tc>
          <w:tcPr>
            <w:tcW w:w="681" w:type="pct"/>
            <w:tcBorders>
              <w:top w:val="single" w:sz="4" w:space="0" w:color="142855" w:themeColor="text2"/>
              <w:bottom w:val="single" w:sz="4" w:space="0" w:color="142855" w:themeColor="text2"/>
            </w:tcBorders>
          </w:tcPr>
          <w:p w14:paraId="756A06C0" w14:textId="77777777" w:rsidR="006171E7" w:rsidRDefault="006171E7" w:rsidP="00D8407C">
            <w:pPr>
              <w:pStyle w:val="ListBullet2"/>
              <w:numPr>
                <w:ilvl w:val="0"/>
                <w:numId w:val="0"/>
              </w:numPr>
              <w:spacing w:after="0"/>
              <w:cnfStyle w:val="000000000000" w:firstRow="0" w:lastRow="0" w:firstColumn="0" w:lastColumn="0" w:oddVBand="0" w:evenVBand="0" w:oddHBand="0" w:evenHBand="0" w:firstRowFirstColumn="0" w:firstRowLastColumn="0" w:lastRowFirstColumn="0" w:lastRowLastColumn="0"/>
            </w:pPr>
          </w:p>
        </w:tc>
        <w:tc>
          <w:tcPr>
            <w:tcW w:w="1475" w:type="pct"/>
            <w:tcBorders>
              <w:top w:val="single" w:sz="4" w:space="0" w:color="142855" w:themeColor="text2"/>
              <w:bottom w:val="single" w:sz="4" w:space="0" w:color="142855" w:themeColor="text2"/>
            </w:tcBorders>
          </w:tcPr>
          <w:p w14:paraId="7F91E09E" w14:textId="60017C50" w:rsidR="006171E7" w:rsidRDefault="006171E7" w:rsidP="4457CD75">
            <w:pPr>
              <w:pStyle w:val="ListBullet2"/>
              <w:numPr>
                <w:ilvl w:val="0"/>
                <w:numId w:val="0"/>
              </w:numPr>
              <w:spacing w:after="0"/>
              <w:jc w:val="right"/>
              <w:cnfStyle w:val="000000000000" w:firstRow="0" w:lastRow="0" w:firstColumn="0" w:lastColumn="0" w:oddVBand="0" w:evenVBand="0" w:oddHBand="0" w:evenHBand="0" w:firstRowFirstColumn="0" w:firstRowLastColumn="0" w:lastRowFirstColumn="0" w:lastRowLastColumn="0"/>
            </w:pPr>
            <w:r>
              <w:t>£307</w:t>
            </w:r>
          </w:p>
        </w:tc>
      </w:tr>
      <w:tr w:rsidR="006171E7" w:rsidRPr="006171E7" w14:paraId="0621E99D" w14:textId="08209B95" w:rsidTr="07F5039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142855" w:themeColor="text2"/>
              <w:bottom w:val="single" w:sz="4" w:space="0" w:color="142855" w:themeColor="text2"/>
            </w:tcBorders>
          </w:tcPr>
          <w:p w14:paraId="64A0639B" w14:textId="59A96876" w:rsidR="006171E7" w:rsidRPr="00D8407C" w:rsidRDefault="005A23DA" w:rsidP="00D8407C">
            <w:pPr>
              <w:pStyle w:val="ListBullet2"/>
              <w:numPr>
                <w:ilvl w:val="0"/>
                <w:numId w:val="0"/>
              </w:numPr>
              <w:spacing w:after="0"/>
            </w:pPr>
            <w:r>
              <w:t>Selective total costs</w:t>
            </w:r>
          </w:p>
        </w:tc>
        <w:tc>
          <w:tcPr>
            <w:tcW w:w="681" w:type="pct"/>
            <w:tcBorders>
              <w:top w:val="single" w:sz="4" w:space="0" w:color="142855" w:themeColor="text2"/>
              <w:bottom w:val="single" w:sz="4" w:space="0" w:color="142855" w:themeColor="text2"/>
            </w:tcBorders>
          </w:tcPr>
          <w:p w14:paraId="781A14CF" w14:textId="77777777" w:rsidR="006171E7" w:rsidRPr="00D8407C" w:rsidRDefault="006171E7" w:rsidP="00D8407C">
            <w:pPr>
              <w:pStyle w:val="ListBullet2"/>
              <w:numPr>
                <w:ilvl w:val="0"/>
                <w:numId w:val="0"/>
              </w:numPr>
              <w:spacing w:after="0"/>
              <w:cnfStyle w:val="000000100000" w:firstRow="0" w:lastRow="0" w:firstColumn="0" w:lastColumn="0" w:oddVBand="0" w:evenVBand="0" w:oddHBand="1" w:evenHBand="0" w:firstRowFirstColumn="0" w:firstRowLastColumn="0" w:lastRowFirstColumn="0" w:lastRowLastColumn="0"/>
              <w:rPr>
                <w:b/>
              </w:rPr>
            </w:pPr>
          </w:p>
        </w:tc>
        <w:tc>
          <w:tcPr>
            <w:tcW w:w="1475" w:type="pct"/>
            <w:tcBorders>
              <w:top w:val="single" w:sz="4" w:space="0" w:color="142855" w:themeColor="text2"/>
              <w:bottom w:val="single" w:sz="4" w:space="0" w:color="142855" w:themeColor="text2"/>
            </w:tcBorders>
          </w:tcPr>
          <w:p w14:paraId="1B9D51CC" w14:textId="531949AA" w:rsidR="006171E7" w:rsidRPr="00D8407C" w:rsidRDefault="006171E7" w:rsidP="4457CD75">
            <w:pPr>
              <w:pStyle w:val="ListBullet2"/>
              <w:numPr>
                <w:ilvl w:val="0"/>
                <w:numId w:val="0"/>
              </w:numPr>
              <w:spacing w:after="0"/>
              <w:jc w:val="right"/>
              <w:cnfStyle w:val="000000100000" w:firstRow="0" w:lastRow="0" w:firstColumn="0" w:lastColumn="0" w:oddVBand="0" w:evenVBand="0" w:oddHBand="1" w:evenHBand="0" w:firstRowFirstColumn="0" w:firstRowLastColumn="0" w:lastRowFirstColumn="0" w:lastRowLastColumn="0"/>
              <w:rPr>
                <w:b/>
              </w:rPr>
            </w:pPr>
            <w:r w:rsidRPr="002767B2">
              <w:rPr>
                <w:b/>
                <w:bCs/>
              </w:rPr>
              <w:t>£5</w:t>
            </w:r>
            <w:r w:rsidR="00BB5FB3">
              <w:rPr>
                <w:b/>
                <w:bCs/>
              </w:rPr>
              <w:t>33</w:t>
            </w:r>
            <w:r w:rsidRPr="002767B2">
              <w:rPr>
                <w:b/>
                <w:bCs/>
              </w:rPr>
              <w:t>.5</w:t>
            </w:r>
          </w:p>
        </w:tc>
      </w:tr>
    </w:tbl>
    <w:p w14:paraId="36E1AA78" w14:textId="3F07C686" w:rsidR="00763A53" w:rsidRPr="00335CF3" w:rsidRDefault="0CB2ADCE" w:rsidP="3C803299">
      <w:pPr>
        <w:rPr>
          <w:i/>
          <w:iCs/>
        </w:rPr>
      </w:pPr>
      <w:r w:rsidRPr="3C803299">
        <w:rPr>
          <w:i/>
          <w:iCs/>
          <w:color w:val="555674"/>
        </w:rPr>
        <w:t>Source</w:t>
      </w:r>
      <w:r w:rsidR="73FD8D17" w:rsidRPr="3C803299">
        <w:rPr>
          <w:i/>
          <w:iCs/>
          <w:color w:val="555674"/>
        </w:rPr>
        <w:t>: B</w:t>
      </w:r>
      <w:r w:rsidR="131E1A2C" w:rsidRPr="3C803299">
        <w:rPr>
          <w:i/>
          <w:iCs/>
          <w:color w:val="555674"/>
        </w:rPr>
        <w:t xml:space="preserve">ritish </w:t>
      </w:r>
      <w:r w:rsidR="73FD8D17" w:rsidRPr="3C803299">
        <w:rPr>
          <w:i/>
          <w:iCs/>
          <w:color w:val="555674"/>
        </w:rPr>
        <w:t>B</w:t>
      </w:r>
      <w:r w:rsidR="131E1A2C" w:rsidRPr="3C803299">
        <w:rPr>
          <w:i/>
          <w:iCs/>
          <w:color w:val="555674"/>
        </w:rPr>
        <w:t xml:space="preserve">usiness </w:t>
      </w:r>
      <w:r w:rsidR="73FD8D17" w:rsidRPr="3C803299">
        <w:rPr>
          <w:i/>
          <w:iCs/>
          <w:color w:val="555674"/>
        </w:rPr>
        <w:t>B</w:t>
      </w:r>
      <w:r w:rsidR="131E1A2C" w:rsidRPr="3C803299">
        <w:rPr>
          <w:i/>
          <w:iCs/>
          <w:color w:val="555674"/>
        </w:rPr>
        <w:t>ank</w:t>
      </w:r>
      <w:r w:rsidR="73FD8D17" w:rsidRPr="3C803299">
        <w:rPr>
          <w:i/>
          <w:iCs/>
          <w:color w:val="555674"/>
        </w:rPr>
        <w:t xml:space="preserve"> R</w:t>
      </w:r>
      <w:r w:rsidR="131E1A2C" w:rsidRPr="3C803299">
        <w:rPr>
          <w:i/>
          <w:iCs/>
          <w:color w:val="555674"/>
        </w:rPr>
        <w:t xml:space="preserve">egional </w:t>
      </w:r>
      <w:r w:rsidR="73FD8D17" w:rsidRPr="3C803299">
        <w:rPr>
          <w:i/>
          <w:iCs/>
          <w:color w:val="555674"/>
        </w:rPr>
        <w:t>A</w:t>
      </w:r>
      <w:r w:rsidR="131E1A2C" w:rsidRPr="3C803299">
        <w:rPr>
          <w:i/>
          <w:iCs/>
          <w:color w:val="555674"/>
        </w:rPr>
        <w:t xml:space="preserve">ngels </w:t>
      </w:r>
      <w:r w:rsidR="73FD8D17" w:rsidRPr="3C803299">
        <w:rPr>
          <w:i/>
          <w:iCs/>
          <w:color w:val="555674"/>
        </w:rPr>
        <w:t>P</w:t>
      </w:r>
      <w:r w:rsidR="131E1A2C" w:rsidRPr="3C803299">
        <w:rPr>
          <w:i/>
          <w:iCs/>
          <w:color w:val="555674"/>
        </w:rPr>
        <w:t>rogramme</w:t>
      </w:r>
      <w:r w:rsidR="73FD8D17" w:rsidRPr="3C803299">
        <w:rPr>
          <w:i/>
          <w:iCs/>
          <w:color w:val="555674"/>
        </w:rPr>
        <w:t xml:space="preserve"> MI data and R</w:t>
      </w:r>
      <w:r w:rsidR="131E1A2C" w:rsidRPr="3C803299">
        <w:rPr>
          <w:i/>
          <w:iCs/>
          <w:color w:val="555674"/>
        </w:rPr>
        <w:t xml:space="preserve">egional </w:t>
      </w:r>
      <w:r w:rsidR="73FD8D17" w:rsidRPr="3C803299">
        <w:rPr>
          <w:i/>
          <w:iCs/>
          <w:color w:val="555674"/>
        </w:rPr>
        <w:t>A</w:t>
      </w:r>
      <w:r w:rsidR="131E1A2C" w:rsidRPr="3C803299">
        <w:rPr>
          <w:i/>
          <w:iCs/>
          <w:color w:val="555674"/>
        </w:rPr>
        <w:t xml:space="preserve">ngels </w:t>
      </w:r>
      <w:r w:rsidR="73FD8D17" w:rsidRPr="3C803299">
        <w:rPr>
          <w:i/>
          <w:iCs/>
          <w:color w:val="555674"/>
        </w:rPr>
        <w:t>P</w:t>
      </w:r>
      <w:r w:rsidR="131E1A2C" w:rsidRPr="3C803299">
        <w:rPr>
          <w:i/>
          <w:iCs/>
          <w:color w:val="555674"/>
        </w:rPr>
        <w:t>rogramme</w:t>
      </w:r>
      <w:r w:rsidR="73FD8D17" w:rsidRPr="3C803299">
        <w:rPr>
          <w:i/>
          <w:iCs/>
          <w:color w:val="555674"/>
        </w:rPr>
        <w:t xml:space="preserve"> cost data</w:t>
      </w:r>
    </w:p>
    <w:p w14:paraId="1E593DF2" w14:textId="77777777" w:rsidR="00784475" w:rsidRDefault="00784475" w:rsidP="00784475">
      <w:pPr>
        <w:rPr>
          <w:rStyle w:val="Bold"/>
          <w:bCs/>
        </w:rPr>
      </w:pPr>
      <w:bookmarkStart w:id="189" w:name="_Toc136851431"/>
      <w:bookmarkStart w:id="190" w:name="_Toc144830584"/>
      <w:bookmarkStart w:id="191" w:name="_Toc145671331"/>
      <w:bookmarkStart w:id="192" w:name="_Toc145923999"/>
    </w:p>
    <w:p w14:paraId="7961913B" w14:textId="77777777" w:rsidR="00784475" w:rsidRDefault="00784475" w:rsidP="00784475">
      <w:pPr>
        <w:rPr>
          <w:rStyle w:val="Bold"/>
          <w:bCs/>
        </w:rPr>
      </w:pPr>
    </w:p>
    <w:p w14:paraId="571D7073" w14:textId="60AA1E84" w:rsidR="002767B2" w:rsidRPr="00784475" w:rsidRDefault="002767B2" w:rsidP="00784475">
      <w:pPr>
        <w:rPr>
          <w:rStyle w:val="Bold"/>
          <w:bCs/>
        </w:rPr>
      </w:pPr>
      <w:r w:rsidRPr="00784475">
        <w:rPr>
          <w:rStyle w:val="Bold"/>
          <w:bCs/>
        </w:rPr>
        <w:lastRenderedPageBreak/>
        <w:t xml:space="preserve">8.7.5 Requirements for a full </w:t>
      </w:r>
      <w:proofErr w:type="spellStart"/>
      <w:r w:rsidRPr="00784475">
        <w:rPr>
          <w:rStyle w:val="Bold"/>
          <w:bCs/>
        </w:rPr>
        <w:t>VfM</w:t>
      </w:r>
      <w:bookmarkEnd w:id="189"/>
      <w:bookmarkEnd w:id="190"/>
      <w:bookmarkEnd w:id="191"/>
      <w:bookmarkEnd w:id="192"/>
      <w:proofErr w:type="spellEnd"/>
    </w:p>
    <w:p w14:paraId="1F6FDBA6" w14:textId="7EB8165E" w:rsidR="002767B2" w:rsidRDefault="002767B2" w:rsidP="002767B2">
      <w:r>
        <w:t xml:space="preserve">There are </w:t>
      </w:r>
      <w:proofErr w:type="gramStart"/>
      <w:r>
        <w:t>a number of</w:t>
      </w:r>
      <w:proofErr w:type="gramEnd"/>
      <w:r>
        <w:t xml:space="preserve"> additional factors to be considered for a full </w:t>
      </w:r>
      <w:proofErr w:type="spellStart"/>
      <w:r>
        <w:t>VfM</w:t>
      </w:r>
      <w:proofErr w:type="spellEnd"/>
      <w:r>
        <w:t xml:space="preserve"> of the RAP. These stem from the economic transmission channels present within the </w:t>
      </w:r>
      <w:proofErr w:type="spellStart"/>
      <w:r>
        <w:t>ToC</w:t>
      </w:r>
      <w:proofErr w:type="spellEnd"/>
      <w:r>
        <w:t xml:space="preserve"> as shown in </w:t>
      </w:r>
      <w:r w:rsidR="00572327">
        <w:fldChar w:fldCharType="begin"/>
      </w:r>
      <w:r w:rsidR="00572327">
        <w:instrText xml:space="preserve"> REF _Ref145071479 \h </w:instrText>
      </w:r>
      <w:r w:rsidR="00572327">
        <w:fldChar w:fldCharType="separate"/>
      </w:r>
      <w:r w:rsidR="00BC412E">
        <w:t xml:space="preserve">Figure </w:t>
      </w:r>
      <w:r w:rsidR="00BC412E">
        <w:rPr>
          <w:noProof/>
        </w:rPr>
        <w:t>1</w:t>
      </w:r>
      <w:r w:rsidR="00572327">
        <w:fldChar w:fldCharType="end"/>
      </w:r>
      <w:r>
        <w:t xml:space="preserve"> above. The key requirements are:</w:t>
      </w:r>
    </w:p>
    <w:p w14:paraId="214A2A0D" w14:textId="77777777" w:rsidR="002767B2" w:rsidRPr="005C7FE3" w:rsidRDefault="002767B2" w:rsidP="00870D9C">
      <w:pPr>
        <w:pStyle w:val="Bullet1"/>
        <w:spacing w:line="360" w:lineRule="auto"/>
        <w:rPr>
          <w:sz w:val="24"/>
          <w:szCs w:val="24"/>
        </w:rPr>
      </w:pPr>
      <w:proofErr w:type="gramStart"/>
      <w:r w:rsidRPr="005C7FE3">
        <w:rPr>
          <w:sz w:val="24"/>
          <w:szCs w:val="24"/>
        </w:rPr>
        <w:t>Sufficient amount of</w:t>
      </w:r>
      <w:proofErr w:type="gramEnd"/>
      <w:r w:rsidRPr="005C7FE3">
        <w:rPr>
          <w:sz w:val="24"/>
          <w:szCs w:val="24"/>
        </w:rPr>
        <w:t xml:space="preserve"> time to pass for impacts to feed through to longer-term variables – turnover/ GVA (changes in productive capacity)/ Employment (job creation benefits)/ Average wages (to be used to derive GVA per firm) for the firms receiving funding. </w:t>
      </w:r>
    </w:p>
    <w:p w14:paraId="353BF7C9" w14:textId="77777777" w:rsidR="002767B2" w:rsidRPr="005C7FE3" w:rsidRDefault="002767B2" w:rsidP="00870D9C">
      <w:pPr>
        <w:pStyle w:val="Bullet1"/>
        <w:spacing w:line="360" w:lineRule="auto"/>
        <w:rPr>
          <w:sz w:val="24"/>
          <w:szCs w:val="24"/>
        </w:rPr>
      </w:pPr>
      <w:r w:rsidRPr="005C7FE3">
        <w:rPr>
          <w:sz w:val="24"/>
          <w:szCs w:val="24"/>
        </w:rPr>
        <w:t xml:space="preserve">Sufficient time needs to pass to see whether there is evidence of the funding ecosystem taking place in the specific regions. </w:t>
      </w:r>
    </w:p>
    <w:p w14:paraId="589DA34C" w14:textId="77777777" w:rsidR="002767B2" w:rsidRPr="005C7FE3" w:rsidRDefault="002767B2" w:rsidP="00870D9C">
      <w:pPr>
        <w:pStyle w:val="Bullet1"/>
        <w:spacing w:line="360" w:lineRule="auto"/>
        <w:rPr>
          <w:sz w:val="24"/>
          <w:szCs w:val="24"/>
        </w:rPr>
      </w:pPr>
      <w:r w:rsidRPr="005C7FE3">
        <w:rPr>
          <w:sz w:val="24"/>
          <w:szCs w:val="24"/>
        </w:rPr>
        <w:t>Data on yearly allocations of government funding and private secto</w:t>
      </w:r>
      <w:r>
        <w:rPr>
          <w:sz w:val="24"/>
          <w:szCs w:val="24"/>
        </w:rPr>
        <w:t>r</w:t>
      </w:r>
      <w:r w:rsidRPr="005C7FE3">
        <w:rPr>
          <w:sz w:val="24"/>
          <w:szCs w:val="24"/>
        </w:rPr>
        <w:t xml:space="preserve"> funding – share from private and public sources per RAP funded firm.</w:t>
      </w:r>
    </w:p>
    <w:p w14:paraId="328E8D2D" w14:textId="77777777" w:rsidR="002767B2" w:rsidRPr="005C7FE3" w:rsidRDefault="002767B2" w:rsidP="00870D9C">
      <w:pPr>
        <w:pStyle w:val="Bullet1"/>
        <w:spacing w:line="360" w:lineRule="auto"/>
        <w:rPr>
          <w:sz w:val="24"/>
          <w:szCs w:val="24"/>
        </w:rPr>
      </w:pPr>
      <w:r w:rsidRPr="005C7FE3">
        <w:rPr>
          <w:sz w:val="24"/>
          <w:szCs w:val="24"/>
        </w:rPr>
        <w:t xml:space="preserve">Discussions on the appropriate time horizon to estimate impacts. </w:t>
      </w:r>
    </w:p>
    <w:p w14:paraId="21CAC6C6" w14:textId="77777777" w:rsidR="002767B2" w:rsidRPr="005C7FE3" w:rsidRDefault="002767B2" w:rsidP="00870D9C">
      <w:pPr>
        <w:pStyle w:val="Bullet1"/>
        <w:spacing w:line="360" w:lineRule="auto"/>
        <w:rPr>
          <w:sz w:val="24"/>
          <w:szCs w:val="24"/>
        </w:rPr>
      </w:pPr>
      <w:r w:rsidRPr="005C7FE3">
        <w:rPr>
          <w:sz w:val="24"/>
          <w:szCs w:val="24"/>
        </w:rPr>
        <w:t>Stream of dividend payments to Partners and government – can be used as a proxy or signal for yearly private sector returns and funds that can be redeployed by the government in other schemes to generate further added economic value.</w:t>
      </w:r>
    </w:p>
    <w:p w14:paraId="7B386215" w14:textId="77777777" w:rsidR="002767B2" w:rsidRPr="005C7FE3" w:rsidRDefault="002767B2" w:rsidP="00870D9C">
      <w:pPr>
        <w:pStyle w:val="Bullet1"/>
        <w:spacing w:line="360" w:lineRule="auto"/>
        <w:rPr>
          <w:sz w:val="24"/>
          <w:szCs w:val="24"/>
        </w:rPr>
      </w:pPr>
      <w:r w:rsidRPr="005C7FE3">
        <w:rPr>
          <w:sz w:val="24"/>
          <w:szCs w:val="24"/>
        </w:rPr>
        <w:t>Tax revenue calculations based on increased economic activity measured through GVA and additional job creation.</w:t>
      </w:r>
    </w:p>
    <w:p w14:paraId="3D17BCC2" w14:textId="77777777" w:rsidR="002767B2" w:rsidRPr="005C7FE3" w:rsidRDefault="002767B2" w:rsidP="00870D9C">
      <w:pPr>
        <w:pStyle w:val="Bullet1"/>
        <w:spacing w:line="360" w:lineRule="auto"/>
        <w:rPr>
          <w:sz w:val="24"/>
          <w:szCs w:val="24"/>
        </w:rPr>
      </w:pPr>
      <w:r w:rsidRPr="005C7FE3">
        <w:rPr>
          <w:sz w:val="24"/>
          <w:szCs w:val="24"/>
        </w:rPr>
        <w:t xml:space="preserve">Time series of business closure data (administrations/ insolvencies). This data was extracted from </w:t>
      </w:r>
      <w:proofErr w:type="spellStart"/>
      <w:r w:rsidRPr="005C7FE3">
        <w:rPr>
          <w:sz w:val="24"/>
          <w:szCs w:val="24"/>
        </w:rPr>
        <w:t>Beauhurst</w:t>
      </w:r>
      <w:proofErr w:type="spellEnd"/>
      <w:r w:rsidRPr="005C7FE3">
        <w:rPr>
          <w:sz w:val="24"/>
          <w:szCs w:val="24"/>
        </w:rPr>
        <w:t xml:space="preserve"> but given the scheme is in the early stages, we would need to observe developments over time to forecast expected business closure rates – cost of the scheme in terms of investment write-off.</w:t>
      </w:r>
    </w:p>
    <w:p w14:paraId="52B14581" w14:textId="77777777" w:rsidR="002767B2" w:rsidRPr="005C7FE3" w:rsidRDefault="002767B2" w:rsidP="00870D9C">
      <w:pPr>
        <w:pStyle w:val="Bullet1"/>
        <w:spacing w:line="360" w:lineRule="auto"/>
        <w:rPr>
          <w:sz w:val="24"/>
          <w:szCs w:val="24"/>
        </w:rPr>
      </w:pPr>
      <w:r w:rsidRPr="005C7FE3">
        <w:rPr>
          <w:sz w:val="24"/>
          <w:szCs w:val="24"/>
        </w:rPr>
        <w:t>Further evidence gathered on potential displacement of investment flowing to the regions. The modelling results within this report suggests there was a funding uplift across the regions. This could be confirmed with follow-up qualitative research or further econometric modelling.</w:t>
      </w:r>
    </w:p>
    <w:p w14:paraId="058FC13E" w14:textId="77777777" w:rsidR="00784475" w:rsidRDefault="00784475" w:rsidP="00784475">
      <w:pPr>
        <w:rPr>
          <w:rStyle w:val="Bold"/>
          <w:bCs/>
        </w:rPr>
      </w:pPr>
      <w:bookmarkStart w:id="193" w:name="_Toc136851432"/>
      <w:bookmarkStart w:id="194" w:name="_Toc144830585"/>
      <w:bookmarkStart w:id="195" w:name="_Toc145671332"/>
      <w:bookmarkStart w:id="196" w:name="_Toc145924000"/>
    </w:p>
    <w:p w14:paraId="3621E944" w14:textId="77777777" w:rsidR="00784475" w:rsidRDefault="00784475" w:rsidP="00784475">
      <w:pPr>
        <w:rPr>
          <w:rStyle w:val="Bold"/>
          <w:bCs/>
        </w:rPr>
      </w:pPr>
    </w:p>
    <w:p w14:paraId="75C43655" w14:textId="76F5288F" w:rsidR="002767B2" w:rsidRPr="00784475" w:rsidRDefault="002767B2" w:rsidP="00784475">
      <w:pPr>
        <w:rPr>
          <w:rStyle w:val="Bold"/>
          <w:bCs/>
        </w:rPr>
      </w:pPr>
      <w:r w:rsidRPr="00784475">
        <w:rPr>
          <w:rStyle w:val="Bold"/>
          <w:bCs/>
        </w:rPr>
        <w:lastRenderedPageBreak/>
        <w:t>8.7.6 Steps taken to conduct the RAP CBA</w:t>
      </w:r>
      <w:bookmarkEnd w:id="193"/>
      <w:bookmarkEnd w:id="194"/>
      <w:bookmarkEnd w:id="195"/>
      <w:bookmarkEnd w:id="196"/>
    </w:p>
    <w:p w14:paraId="03655E3B" w14:textId="77777777" w:rsidR="002767B2" w:rsidRDefault="002767B2" w:rsidP="002767B2">
      <w:r>
        <w:t>Obtaining the additional data above would provide a basic amount of input data, in addition to the currently available data on scheme monitoring and administration costs, to estimate the net present value of the RAP scheme.</w:t>
      </w:r>
    </w:p>
    <w:p w14:paraId="62DCC0F1" w14:textId="77777777" w:rsidR="002767B2" w:rsidRDefault="002767B2" w:rsidP="002767B2">
      <w:pPr>
        <w:pStyle w:val="Heading4"/>
      </w:pPr>
      <w:r>
        <w:t>Costs</w:t>
      </w:r>
    </w:p>
    <w:p w14:paraId="49E2D0A4" w14:textId="77777777" w:rsidR="002767B2" w:rsidRDefault="002767B2" w:rsidP="002767B2">
      <w:r>
        <w:t xml:space="preserve">Cost data should be spread over an agreed time horizon (intervention at time t to t+10, for example). In-line with Green Book best practice it is advised a 10-year time horizon is adopted. This is due to the economic property of diminishing marginal returns from the initial RAP investments. Data currently available on scheme design and running costs are available but should be reviewed for accuracy and updated if other costs have emerged. </w:t>
      </w:r>
    </w:p>
    <w:p w14:paraId="1D6AFD6B" w14:textId="77777777" w:rsidR="002767B2" w:rsidRDefault="002767B2" w:rsidP="002767B2">
      <w:r>
        <w:t>Other costs of the scheme would be forgone investment with the funds that have gone to RAP. A baseline comparator to the RAP matched funding will need to be identified.</w:t>
      </w:r>
    </w:p>
    <w:p w14:paraId="2C88C38B" w14:textId="77777777" w:rsidR="002767B2" w:rsidRDefault="002767B2" w:rsidP="002767B2">
      <w:r>
        <w:t xml:space="preserve">Administrations, </w:t>
      </w:r>
      <w:proofErr w:type="gramStart"/>
      <w:r>
        <w:t>insolvencies</w:t>
      </w:r>
      <w:proofErr w:type="gramEnd"/>
      <w:r>
        <w:t xml:space="preserve"> and value declines should be used as additional financial losses of the scheme and projected over the t+10 horizon, using actual outturns for the years post funding where the data is available.</w:t>
      </w:r>
    </w:p>
    <w:p w14:paraId="15C284E3" w14:textId="77777777" w:rsidR="002767B2" w:rsidRDefault="002767B2" w:rsidP="002767B2">
      <w:r>
        <w:t>Once these costs have been established, the standard Green Book assumptions would apply to the discounting costs to the present value (e.g., real 3.5% discount rate). This incorporates the social time preference (placing greater value on consumption today (t) compared to in the future (</w:t>
      </w:r>
      <w:proofErr w:type="spellStart"/>
      <w:r>
        <w:t>t+n</w:t>
      </w:r>
      <w:proofErr w:type="spellEnd"/>
      <w:r>
        <w:t>)) as well as the wealth effect (the desire for income smoothing over an individual’s lifetime).</w:t>
      </w:r>
    </w:p>
    <w:p w14:paraId="6270C6B0" w14:textId="77777777" w:rsidR="002767B2" w:rsidRDefault="002767B2" w:rsidP="002767B2">
      <w:pPr>
        <w:pStyle w:val="Heading4"/>
      </w:pPr>
      <w:r>
        <w:t>Benefits</w:t>
      </w:r>
    </w:p>
    <w:p w14:paraId="1B83400E" w14:textId="77777777" w:rsidR="002767B2" w:rsidRDefault="002767B2" w:rsidP="002767B2">
      <w:r>
        <w:t xml:space="preserve">The benefits from the RAP scheme can be derived through the </w:t>
      </w:r>
      <w:proofErr w:type="spellStart"/>
      <w:r>
        <w:t>ToC</w:t>
      </w:r>
      <w:proofErr w:type="spellEnd"/>
      <w:r>
        <w:t>. The primary benefit would be the additional GVA produced through unlocking productivity across the regions through increased economic output and job creation. This would be calculated through running a PSM-</w:t>
      </w:r>
      <w:proofErr w:type="spellStart"/>
      <w:r>
        <w:t>DiD</w:t>
      </w:r>
      <w:proofErr w:type="spellEnd"/>
      <w:r>
        <w:t xml:space="preserve"> model on a national scale to estimate the additional turnover performance for RAP funded firms. The coefficient derived in the model for additional turnover can be used as primary input into GVA calculations.</w:t>
      </w:r>
    </w:p>
    <w:p w14:paraId="153D2511" w14:textId="77777777" w:rsidR="002767B2" w:rsidRDefault="002767B2" w:rsidP="002767B2">
      <w:r>
        <w:t>To model the future expected GVA benefits, one could add a dynamic modelling approach to the PSM-</w:t>
      </w:r>
      <w:proofErr w:type="spellStart"/>
      <w:r>
        <w:t>DiD</w:t>
      </w:r>
      <w:proofErr w:type="spellEnd"/>
      <w:r>
        <w:t xml:space="preserve"> coefficient. This would entail applying time series econometric modelling </w:t>
      </w:r>
      <w:r>
        <w:lastRenderedPageBreak/>
        <w:t>techniques. Synthetic counterfactuals can be used, derived through macroeconomic funding variables (BoE SME fundraisings for example), to model the funding trajectory over a ten-year horizon. Other macroeconomic variables can be used, together with time series modelling techniques (ARIMA) to project benefits.</w:t>
      </w:r>
    </w:p>
    <w:p w14:paraId="65C3B7B1" w14:textId="77777777" w:rsidR="002767B2" w:rsidRDefault="002767B2" w:rsidP="002767B2">
      <w:r>
        <w:t>Other benefits would include additional job creation and associated social wellbeing benefits, tax payments etc.</w:t>
      </w:r>
    </w:p>
    <w:p w14:paraId="206AFC2F" w14:textId="77777777" w:rsidR="002767B2" w:rsidRDefault="002767B2" w:rsidP="002767B2">
      <w:r>
        <w:t>A similar present value calculation would be applied to the one described in “Costs”.</w:t>
      </w:r>
    </w:p>
    <w:p w14:paraId="43596CB8" w14:textId="77777777" w:rsidR="002767B2" w:rsidRDefault="002767B2" w:rsidP="002767B2">
      <w:pPr>
        <w:pStyle w:val="Heading4"/>
      </w:pPr>
      <w:r>
        <w:t xml:space="preserve">Final </w:t>
      </w:r>
      <w:proofErr w:type="spellStart"/>
      <w:r>
        <w:t>VfM</w:t>
      </w:r>
      <w:proofErr w:type="spellEnd"/>
      <w:r>
        <w:t xml:space="preserve"> calculations</w:t>
      </w:r>
    </w:p>
    <w:p w14:paraId="58AC99EC" w14:textId="77777777" w:rsidR="002767B2" w:rsidRDefault="002767B2" w:rsidP="002767B2">
      <w:r>
        <w:t>The final step would be to calculate the Net Present value (NPV) by subtracting the sum of the present value of costs from the sum of the present value of benefits.</w:t>
      </w:r>
    </w:p>
    <w:p w14:paraId="6AD928ED" w14:textId="7099CCB8" w:rsidR="007A7D73" w:rsidRPr="00E50BB6" w:rsidRDefault="002767B2" w:rsidP="002767B2">
      <w:r>
        <w:t>Other representations such as benefit cost ratios can provide a per unit comparison i.e., a benefit of £x for every £1 of RAP funding.</w:t>
      </w:r>
      <w:r w:rsidR="00BA10E8">
        <w:t xml:space="preserve"> </w:t>
      </w:r>
    </w:p>
    <w:bookmarkEnd w:id="170"/>
    <w:p w14:paraId="53438B74" w14:textId="3C1D0ABB" w:rsidR="007A7D73" w:rsidRPr="00E50BB6" w:rsidRDefault="008256F9" w:rsidP="00F170C8">
      <w:pPr>
        <w:spacing w:after="160" w:line="259" w:lineRule="auto"/>
      </w:pPr>
      <w:r>
        <w:br w:type="page"/>
      </w:r>
    </w:p>
    <w:p w14:paraId="23DE523C" w14:textId="4AFAEEF8" w:rsidR="0097488C" w:rsidRDefault="00B94064" w:rsidP="00D8407C">
      <w:pPr>
        <w:pStyle w:val="Heading1"/>
      </w:pPr>
      <w:bookmarkStart w:id="197" w:name="_Toc165482242"/>
      <w:bookmarkStart w:id="198" w:name="_Toc165497206"/>
      <w:r>
        <w:lastRenderedPageBreak/>
        <w:t>9</w:t>
      </w:r>
      <w:r w:rsidR="006F62BE">
        <w:t xml:space="preserve">. </w:t>
      </w:r>
      <w:bookmarkEnd w:id="65"/>
      <w:bookmarkEnd w:id="66"/>
      <w:bookmarkEnd w:id="67"/>
      <w:r w:rsidR="00834900" w:rsidRPr="00834900">
        <w:t xml:space="preserve">Lessons </w:t>
      </w:r>
      <w:r w:rsidR="007605B1">
        <w:t>l</w:t>
      </w:r>
      <w:r w:rsidR="00834900" w:rsidRPr="00834900">
        <w:t>earnt</w:t>
      </w:r>
      <w:r w:rsidR="007605B1">
        <w:t xml:space="preserve"> and r</w:t>
      </w:r>
      <w:r w:rsidR="00834900" w:rsidRPr="00834900">
        <w:t>ecommendation</w:t>
      </w:r>
      <w:r w:rsidR="00152034">
        <w:t>s</w:t>
      </w:r>
      <w:bookmarkEnd w:id="197"/>
      <w:bookmarkEnd w:id="198"/>
    </w:p>
    <w:p w14:paraId="5058B110" w14:textId="3B6751CE" w:rsidR="00784475" w:rsidRDefault="00784475" w:rsidP="00784475">
      <w:pPr>
        <w:pStyle w:val="Heading2"/>
      </w:pPr>
      <w:bookmarkStart w:id="199" w:name="_Toc165482243"/>
      <w:bookmarkStart w:id="200" w:name="_Toc165497207"/>
      <w:r>
        <w:t xml:space="preserve">9.1 Lessons learnt and </w:t>
      </w:r>
      <w:proofErr w:type="gramStart"/>
      <w:r>
        <w:t>recommendations</w:t>
      </w:r>
      <w:bookmarkEnd w:id="199"/>
      <w:bookmarkEnd w:id="200"/>
      <w:proofErr w:type="gramEnd"/>
    </w:p>
    <w:p w14:paraId="7E85DBAC" w14:textId="31BA3A3B" w:rsidR="002767B2" w:rsidRPr="005C7FE3" w:rsidRDefault="002767B2" w:rsidP="002767B2">
      <w:r>
        <w:rPr>
          <w:szCs w:val="24"/>
        </w:rPr>
        <w:t xml:space="preserve">For the most part, RAP angel investors were satisfied with the application process. </w:t>
      </w:r>
      <w:r w:rsidR="005A7B44">
        <w:rPr>
          <w:szCs w:val="24"/>
        </w:rPr>
        <w:t>However,</w:t>
      </w:r>
      <w:r>
        <w:rPr>
          <w:szCs w:val="24"/>
        </w:rPr>
        <w:t xml:space="preserve"> some did highlight its c</w:t>
      </w:r>
      <w:r w:rsidRPr="00834900" w:rsidDel="00312CE8">
        <w:rPr>
          <w:szCs w:val="24"/>
        </w:rPr>
        <w:t xml:space="preserve">omplexity </w:t>
      </w:r>
      <w:r>
        <w:rPr>
          <w:szCs w:val="24"/>
        </w:rPr>
        <w:t>and stakeholders suggested this could be simplified</w:t>
      </w:r>
      <w:r w:rsidRPr="00834900" w:rsidDel="00312CE8">
        <w:rPr>
          <w:szCs w:val="24"/>
        </w:rPr>
        <w:t>, while balancing out appropriate risks for taxpayer</w:t>
      </w:r>
      <w:r>
        <w:rPr>
          <w:szCs w:val="24"/>
        </w:rPr>
        <w:t xml:space="preserve"> funds</w:t>
      </w:r>
      <w:r w:rsidRPr="00834900" w:rsidDel="00312CE8">
        <w:rPr>
          <w:szCs w:val="24"/>
        </w:rPr>
        <w:t>.</w:t>
      </w:r>
      <w:r>
        <w:rPr>
          <w:szCs w:val="24"/>
        </w:rPr>
        <w:t xml:space="preserve"> </w:t>
      </w:r>
      <w:r>
        <w:t>We found that the r</w:t>
      </w:r>
      <w:r w:rsidRPr="00A8282C">
        <w:t xml:space="preserve">equirement for FCA regulation limited participation to more developed </w:t>
      </w:r>
      <w:r>
        <w:t>a</w:t>
      </w:r>
      <w:r w:rsidRPr="00A8282C">
        <w:t>ngel groups</w:t>
      </w:r>
      <w:r>
        <w:t xml:space="preserve">. Partners, including some who were satisfied with the application process, described it as rigorous and time-consuming, lasting over a year in multiple cases. However, there is early evidence to indicate British Business Investments has refined its due diligence process over time with later cohorts of applicants indicating more positive feedback and understanding of the process. We recommend that British Business Investments continues to refine the due diligence process </w:t>
      </w:r>
      <w:r w:rsidRPr="00312CE8">
        <w:rPr>
          <w:szCs w:val="24"/>
        </w:rPr>
        <w:t>in future</w:t>
      </w:r>
      <w:r>
        <w:rPr>
          <w:szCs w:val="24"/>
        </w:rPr>
        <w:t xml:space="preserve"> to increase reach</w:t>
      </w:r>
      <w:r w:rsidRPr="00312CE8">
        <w:rPr>
          <w:szCs w:val="24"/>
        </w:rPr>
        <w:t>, while balancing out appropriate risks for taxpayer money.</w:t>
      </w:r>
      <w:r>
        <w:rPr>
          <w:szCs w:val="24"/>
        </w:rPr>
        <w:t xml:space="preserve"> </w:t>
      </w:r>
      <w:r w:rsidRPr="005C7FE3">
        <w:rPr>
          <w:szCs w:val="24"/>
        </w:rPr>
        <w:t xml:space="preserve">The </w:t>
      </w:r>
      <w:r w:rsidRPr="005C7FE3">
        <w:t xml:space="preserve">British Business </w:t>
      </w:r>
      <w:r>
        <w:t>Investments</w:t>
      </w:r>
      <w:r w:rsidRPr="005C7FE3">
        <w:t xml:space="preserve"> should explore alternative avenues that can ensure quality in the selection but impose a lower barrier to investors. If FCA regulation is needed, British Business </w:t>
      </w:r>
      <w:r>
        <w:t>Investments</w:t>
      </w:r>
      <w:r w:rsidRPr="005C7FE3">
        <w:t xml:space="preserve"> </w:t>
      </w:r>
      <w:r w:rsidR="00A15372">
        <w:t>c</w:t>
      </w:r>
      <w:r w:rsidR="00A15372" w:rsidRPr="005C7FE3">
        <w:t xml:space="preserve">ould </w:t>
      </w:r>
      <w:r w:rsidRPr="005C7FE3">
        <w:t xml:space="preserve">look to provide </w:t>
      </w:r>
      <w:r w:rsidR="00A15372">
        <w:t>other</w:t>
      </w:r>
      <w:r w:rsidR="00A15372" w:rsidRPr="005C7FE3">
        <w:t xml:space="preserve"> </w:t>
      </w:r>
      <w:r w:rsidRPr="005C7FE3">
        <w:t xml:space="preserve">support to investors to become FCA regulated and/or </w:t>
      </w:r>
      <w:r w:rsidR="000D50B9" w:rsidRPr="005C7FE3">
        <w:t>identify alternative means for investors that are not</w:t>
      </w:r>
      <w:r w:rsidR="00A15372">
        <w:t xml:space="preserve"> directly</w:t>
      </w:r>
      <w:r w:rsidR="000D50B9" w:rsidRPr="005C7FE3">
        <w:t xml:space="preserve"> FCA </w:t>
      </w:r>
      <w:r w:rsidR="005A7B44" w:rsidRPr="005C7FE3">
        <w:t>regulated to</w:t>
      </w:r>
      <w:r w:rsidRPr="005C7FE3">
        <w:t xml:space="preserve"> work in partnership with those that are.</w:t>
      </w:r>
      <w:r>
        <w:t xml:space="preserve"> It must be noted that various investment models are being explored to be more flexible around this requirement for perspective investors.</w:t>
      </w:r>
    </w:p>
    <w:p w14:paraId="52E56223" w14:textId="0C2BCD96" w:rsidR="00E52F74" w:rsidRPr="007605B1" w:rsidRDefault="002767B2" w:rsidP="002767B2">
      <w:pPr>
        <w:rPr>
          <w:szCs w:val="24"/>
        </w:rPr>
      </w:pPr>
      <w:r w:rsidRPr="005C7FE3">
        <w:rPr>
          <w:szCs w:val="24"/>
        </w:rPr>
        <w:t xml:space="preserve">RAP aimed to encourage </w:t>
      </w:r>
      <w:r>
        <w:rPr>
          <w:szCs w:val="24"/>
        </w:rPr>
        <w:t>a</w:t>
      </w:r>
      <w:r w:rsidRPr="005C7FE3">
        <w:rPr>
          <w:szCs w:val="24"/>
        </w:rPr>
        <w:t>ngel investment in firms in underrepresented regions. The Programme</w:t>
      </w:r>
      <w:r>
        <w:rPr>
          <w:szCs w:val="24"/>
        </w:rPr>
        <w:t>’s</w:t>
      </w:r>
      <w:r w:rsidRPr="005C7FE3">
        <w:rPr>
          <w:szCs w:val="24"/>
        </w:rPr>
        <w:t xml:space="preserve"> </w:t>
      </w:r>
      <w:r>
        <w:rPr>
          <w:szCs w:val="24"/>
        </w:rPr>
        <w:t xml:space="preserve">flexible </w:t>
      </w:r>
      <w:r w:rsidRPr="005C7FE3">
        <w:rPr>
          <w:szCs w:val="24"/>
        </w:rPr>
        <w:t xml:space="preserve">eligibility criteria </w:t>
      </w:r>
      <w:r>
        <w:rPr>
          <w:szCs w:val="24"/>
        </w:rPr>
        <w:t>did not provide a</w:t>
      </w:r>
      <w:r w:rsidRPr="005C7FE3">
        <w:rPr>
          <w:szCs w:val="24"/>
        </w:rPr>
        <w:t xml:space="preserve"> </w:t>
      </w:r>
      <w:r>
        <w:rPr>
          <w:szCs w:val="24"/>
        </w:rPr>
        <w:t xml:space="preserve">hard requirement for the trading location of where investors are based or provide any </w:t>
      </w:r>
      <w:r w:rsidRPr="005C7FE3">
        <w:rPr>
          <w:szCs w:val="24"/>
        </w:rPr>
        <w:t xml:space="preserve">caps </w:t>
      </w:r>
      <w:r>
        <w:rPr>
          <w:szCs w:val="24"/>
        </w:rPr>
        <w:t xml:space="preserve">on </w:t>
      </w:r>
      <w:r w:rsidRPr="005C7FE3">
        <w:rPr>
          <w:szCs w:val="24"/>
        </w:rPr>
        <w:t xml:space="preserve">investment in London areas. </w:t>
      </w:r>
      <w:r>
        <w:rPr>
          <w:szCs w:val="24"/>
        </w:rPr>
        <w:t xml:space="preserve">While RAP has shown signs of achieving and encouraging investment outside of London and the </w:t>
      </w:r>
      <w:proofErr w:type="gramStart"/>
      <w:r>
        <w:rPr>
          <w:szCs w:val="24"/>
        </w:rPr>
        <w:t>South East</w:t>
      </w:r>
      <w:proofErr w:type="gramEnd"/>
      <w:r>
        <w:rPr>
          <w:szCs w:val="24"/>
        </w:rPr>
        <w:t xml:space="preserve"> </w:t>
      </w:r>
      <w:r w:rsidR="005B7686">
        <w:rPr>
          <w:szCs w:val="24"/>
        </w:rPr>
        <w:t>–</w:t>
      </w:r>
      <w:r>
        <w:rPr>
          <w:szCs w:val="24"/>
        </w:rPr>
        <w:t xml:space="preserve"> </w:t>
      </w:r>
      <w:r w:rsidR="005B7686">
        <w:rPr>
          <w:szCs w:val="24"/>
        </w:rPr>
        <w:t xml:space="preserve">BBI </w:t>
      </w:r>
      <w:r>
        <w:rPr>
          <w:szCs w:val="24"/>
        </w:rPr>
        <w:t>a</w:t>
      </w:r>
      <w:r w:rsidRPr="005C7FE3">
        <w:rPr>
          <w:szCs w:val="24"/>
        </w:rPr>
        <w:t>ngel investment has gone towards c.</w:t>
      </w:r>
      <w:r>
        <w:rPr>
          <w:szCs w:val="24"/>
        </w:rPr>
        <w:t>28</w:t>
      </w:r>
      <w:r w:rsidRPr="005C7FE3">
        <w:rPr>
          <w:szCs w:val="24"/>
        </w:rPr>
        <w:t>% of</w:t>
      </w:r>
      <w:r>
        <w:rPr>
          <w:szCs w:val="24"/>
        </w:rPr>
        <w:t xml:space="preserve"> firms that are </w:t>
      </w:r>
      <w:r w:rsidRPr="00312CE8">
        <w:rPr>
          <w:szCs w:val="24"/>
        </w:rPr>
        <w:t>based in London and the South East</w:t>
      </w:r>
      <w:r>
        <w:rPr>
          <w:szCs w:val="24"/>
        </w:rPr>
        <w:t xml:space="preserve"> </w:t>
      </w:r>
      <w:r w:rsidR="00D739D7">
        <w:rPr>
          <w:szCs w:val="24"/>
        </w:rPr>
        <w:t>–</w:t>
      </w:r>
      <w:r>
        <w:rPr>
          <w:szCs w:val="24"/>
        </w:rPr>
        <w:t xml:space="preserve"> </w:t>
      </w:r>
      <w:r w:rsidR="00D739D7">
        <w:rPr>
          <w:szCs w:val="24"/>
        </w:rPr>
        <w:t xml:space="preserve">performing favourably compared to </w:t>
      </w:r>
      <w:r>
        <w:rPr>
          <w:szCs w:val="24"/>
        </w:rPr>
        <w:t xml:space="preserve">other schemes and the angel market, there is potential for adding further guidance to encourage a greater proportion of </w:t>
      </w:r>
      <w:r>
        <w:rPr>
          <w:szCs w:val="24"/>
          <w:lang w:eastAsia="en-GB"/>
        </w:rPr>
        <w:t xml:space="preserve">investment to be made outside of London. </w:t>
      </w:r>
      <w:r>
        <w:rPr>
          <w:szCs w:val="24"/>
        </w:rPr>
        <w:t xml:space="preserve">British Business Investments can look to reinforce expectations and strengthening collaborations with existing Partners in the future to ensure they align with the Bank’s goals; as well as working with Partners that have </w:t>
      </w:r>
      <w:r>
        <w:rPr>
          <w:szCs w:val="24"/>
        </w:rPr>
        <w:lastRenderedPageBreak/>
        <w:t xml:space="preserve">a presence and focus on supporting start-ups and firms outside London </w:t>
      </w:r>
      <w:proofErr w:type="gramStart"/>
      <w:r>
        <w:rPr>
          <w:szCs w:val="24"/>
        </w:rPr>
        <w:t>in order to</w:t>
      </w:r>
      <w:proofErr w:type="gramEnd"/>
      <w:r>
        <w:rPr>
          <w:szCs w:val="24"/>
        </w:rPr>
        <w:t xml:space="preserve"> extend its reach and support businesses beyond the Capital.</w:t>
      </w:r>
    </w:p>
    <w:p w14:paraId="7FA556DA" w14:textId="77777777" w:rsidR="002767B2" w:rsidRDefault="002767B2" w:rsidP="002767B2">
      <w:pPr>
        <w:rPr>
          <w:szCs w:val="24"/>
        </w:rPr>
      </w:pPr>
      <w:bookmarkStart w:id="201" w:name="_Toc536277420"/>
      <w:bookmarkEnd w:id="68"/>
      <w:r w:rsidRPr="00834900">
        <w:rPr>
          <w:szCs w:val="24"/>
        </w:rPr>
        <w:t>The evidence show</w:t>
      </w:r>
      <w:r>
        <w:rPr>
          <w:szCs w:val="24"/>
        </w:rPr>
        <w:t xml:space="preserve">s that there could be a </w:t>
      </w:r>
      <w:r w:rsidRPr="00834900">
        <w:rPr>
          <w:szCs w:val="24"/>
        </w:rPr>
        <w:t xml:space="preserve">more clearly defined funding gap </w:t>
      </w:r>
      <w:r>
        <w:rPr>
          <w:szCs w:val="24"/>
        </w:rPr>
        <w:t>in underrepresented regions and a need for intervention. A comparison of the impact on growth in funding provides some/weak evidence suggesting that firms outside of London benefit more from the programme. Altogether,</w:t>
      </w:r>
      <w:r w:rsidRPr="00834900">
        <w:rPr>
          <w:szCs w:val="24"/>
        </w:rPr>
        <w:t xml:space="preserve"> </w:t>
      </w:r>
      <w:r>
        <w:rPr>
          <w:szCs w:val="24"/>
        </w:rPr>
        <w:t xml:space="preserve">there is </w:t>
      </w:r>
      <w:r w:rsidRPr="00834900">
        <w:rPr>
          <w:szCs w:val="24"/>
        </w:rPr>
        <w:t>potential</w:t>
      </w:r>
      <w:r>
        <w:rPr>
          <w:szCs w:val="24"/>
        </w:rPr>
        <w:t>ly</w:t>
      </w:r>
      <w:r w:rsidRPr="00834900">
        <w:rPr>
          <w:szCs w:val="24"/>
        </w:rPr>
        <w:t xml:space="preserve"> </w:t>
      </w:r>
      <w:r>
        <w:rPr>
          <w:szCs w:val="24"/>
        </w:rPr>
        <w:t xml:space="preserve">greater </w:t>
      </w:r>
      <w:r w:rsidRPr="00834900">
        <w:rPr>
          <w:szCs w:val="24"/>
        </w:rPr>
        <w:t xml:space="preserve">additionality </w:t>
      </w:r>
      <w:r>
        <w:rPr>
          <w:szCs w:val="24"/>
        </w:rPr>
        <w:t xml:space="preserve">and Return on Investment from supporting angel investors and firms based </w:t>
      </w:r>
      <w:r w:rsidRPr="00834900">
        <w:rPr>
          <w:szCs w:val="24"/>
        </w:rPr>
        <w:t>outside London</w:t>
      </w:r>
      <w:r>
        <w:rPr>
          <w:szCs w:val="24"/>
        </w:rPr>
        <w:t xml:space="preserve">, </w:t>
      </w:r>
      <w:r w:rsidRPr="00834900">
        <w:rPr>
          <w:szCs w:val="24"/>
        </w:rPr>
        <w:t xml:space="preserve">the </w:t>
      </w:r>
      <w:proofErr w:type="gramStart"/>
      <w:r w:rsidRPr="00834900">
        <w:rPr>
          <w:szCs w:val="24"/>
        </w:rPr>
        <w:t>South East</w:t>
      </w:r>
      <w:proofErr w:type="gramEnd"/>
      <w:r>
        <w:rPr>
          <w:szCs w:val="24"/>
        </w:rPr>
        <w:t xml:space="preserve"> and other more affluent areas</w:t>
      </w:r>
      <w:r w:rsidRPr="00834900">
        <w:rPr>
          <w:szCs w:val="24"/>
        </w:rPr>
        <w:t>.</w:t>
      </w:r>
      <w:r>
        <w:rPr>
          <w:szCs w:val="24"/>
        </w:rPr>
        <w:t xml:space="preserve"> Reinforcing the regionality angle of the programme can help build a case for continued support from Treasury. Such a case needs to be defined in view of the demand for investment in underrepresented regions and possible need for additional support action, as well as a profiling of risk and external mitigating factors. </w:t>
      </w:r>
    </w:p>
    <w:p w14:paraId="24EBE051" w14:textId="0501E19C" w:rsidR="00CD60C2" w:rsidRDefault="002767B2" w:rsidP="002767B2">
      <w:r w:rsidRPr="00D8407C">
        <w:t>One of the main considerations is the timing of impacts. It will take some time to grow an ecosystem meaning there will be a short-to medium term (at least) need for continued support to ensure a commercial rate of return can be experienced and sustained. This support will help to professionalise the market and set a standard required for early-stage equity investment across the UK. This will likely allow investors to continue to invest in other firms and support potentially viable business ventures in underrepresented regions across the UK. Given the scheme is still in the relatively early-stages, government support should be continued and a consideration for increasing the amount of investment in the subsequent tranches.</w:t>
      </w:r>
    </w:p>
    <w:p w14:paraId="463B3BF1" w14:textId="77777777" w:rsidR="00CD60C2" w:rsidRDefault="00CD60C2">
      <w:pPr>
        <w:spacing w:after="160" w:line="259" w:lineRule="auto"/>
      </w:pPr>
      <w:r>
        <w:br w:type="page"/>
      </w:r>
    </w:p>
    <w:p w14:paraId="21AA6E1E" w14:textId="77777777" w:rsidR="00CD60C2" w:rsidRPr="00F34274" w:rsidRDefault="00CD60C2" w:rsidP="00957DB2">
      <w:pPr>
        <w:keepNext/>
        <w:keepLines/>
        <w:spacing w:after="1000"/>
        <w:outlineLvl w:val="0"/>
        <w:rPr>
          <w:rFonts w:eastAsia="SimHei" w:cs="Arial"/>
          <w:b/>
          <w:color w:val="142855"/>
          <w:sz w:val="44"/>
          <w:szCs w:val="32"/>
        </w:rPr>
      </w:pPr>
      <w:bookmarkStart w:id="202" w:name="_Toc165497208"/>
      <w:r w:rsidRPr="00F34274">
        <w:rPr>
          <w:rFonts w:eastAsia="SimHei" w:cs="Arial"/>
          <w:b/>
          <w:color w:val="142855"/>
          <w:sz w:val="44"/>
          <w:szCs w:val="32"/>
        </w:rPr>
        <w:lastRenderedPageBreak/>
        <w:t>Annexes</w:t>
      </w:r>
      <w:bookmarkEnd w:id="202"/>
    </w:p>
    <w:p w14:paraId="224F2C6C" w14:textId="77777777" w:rsidR="00CD60C2" w:rsidRPr="00F34274" w:rsidRDefault="00CD60C2" w:rsidP="00784475">
      <w:pPr>
        <w:pStyle w:val="Heading2"/>
      </w:pPr>
      <w:bookmarkStart w:id="203" w:name="_Toc136592087"/>
      <w:bookmarkStart w:id="204" w:name="_Toc165482244"/>
      <w:bookmarkStart w:id="205" w:name="_Toc165497209"/>
      <w:r w:rsidRPr="00F34274">
        <w:t>Annex</w:t>
      </w:r>
      <w:bookmarkStart w:id="206" w:name="_Ref96713536"/>
      <w:bookmarkStart w:id="207" w:name="_Ref96714514"/>
      <w:bookmarkStart w:id="208" w:name="_Ref96876610"/>
      <w:r w:rsidRPr="00F34274">
        <w:t xml:space="preserve"> A: Research Tools</w:t>
      </w:r>
      <w:bookmarkEnd w:id="203"/>
      <w:bookmarkEnd w:id="204"/>
      <w:bookmarkEnd w:id="205"/>
    </w:p>
    <w:p w14:paraId="5267F590" w14:textId="77777777" w:rsidR="00CD60C2" w:rsidRPr="00F34274" w:rsidRDefault="00CD60C2" w:rsidP="00957DB2">
      <w:pPr>
        <w:keepNext/>
        <w:keepLines/>
        <w:spacing w:before="320" w:after="120"/>
        <w:outlineLvl w:val="4"/>
        <w:rPr>
          <w:rFonts w:eastAsia="SimHei" w:cs="Arial"/>
          <w:b/>
          <w:color w:val="1D1D1B"/>
        </w:rPr>
      </w:pPr>
      <w:bookmarkStart w:id="209" w:name="_Toc130944459"/>
      <w:bookmarkStart w:id="210" w:name="_Toc131415512"/>
      <w:r w:rsidRPr="00F34274">
        <w:rPr>
          <w:rFonts w:eastAsia="SimHei" w:cs="Arial"/>
          <w:b/>
          <w:color w:val="1D1D1B"/>
        </w:rPr>
        <w:t xml:space="preserve">A.1 </w:t>
      </w:r>
      <w:bookmarkEnd w:id="209"/>
      <w:bookmarkEnd w:id="210"/>
      <w:r w:rsidRPr="00F34274">
        <w:rPr>
          <w:rFonts w:eastAsia="SimHei" w:cs="Arial"/>
          <w:b/>
          <w:color w:val="1D1D1B"/>
        </w:rPr>
        <w:t>Interview Topic Guides</w:t>
      </w:r>
    </w:p>
    <w:p w14:paraId="79447657" w14:textId="77777777" w:rsidR="00CD60C2" w:rsidRPr="00F34274" w:rsidRDefault="00CD60C2" w:rsidP="00957DB2">
      <w:pPr>
        <w:keepNext/>
        <w:keepLines/>
        <w:spacing w:before="320" w:after="120"/>
        <w:outlineLvl w:val="4"/>
        <w:rPr>
          <w:rFonts w:eastAsia="SimHei" w:cs="Arial"/>
          <w:b/>
          <w:color w:val="1D1D1B"/>
        </w:rPr>
      </w:pPr>
      <w:bookmarkStart w:id="211" w:name="_Hlk136591799"/>
      <w:r w:rsidRPr="00F34274">
        <w:rPr>
          <w:rFonts w:eastAsia="SimHei" w:cs="Arial"/>
          <w:b/>
          <w:color w:val="1D1D1B"/>
        </w:rPr>
        <w:t xml:space="preserve">A.1.1 </w:t>
      </w:r>
      <w:bookmarkEnd w:id="211"/>
      <w:r w:rsidRPr="00F34274">
        <w:rPr>
          <w:rFonts w:eastAsia="SimHei" w:cs="Arial"/>
          <w:b/>
          <w:color w:val="1D1D1B"/>
        </w:rPr>
        <w:t>RAP Partner interview guide</w:t>
      </w:r>
    </w:p>
    <w:p w14:paraId="527CF06C" w14:textId="77777777" w:rsidR="00CD60C2" w:rsidRPr="00F34274" w:rsidRDefault="00CD60C2" w:rsidP="00957DB2">
      <w:pPr>
        <w:shd w:val="clear" w:color="auto" w:fill="F2F2F2"/>
        <w:rPr>
          <w:rFonts w:eastAsia="Arial" w:cs="Arial"/>
          <w:color w:val="1D1D1B"/>
        </w:rPr>
      </w:pPr>
      <w:r w:rsidRPr="00F34274">
        <w:rPr>
          <w:rFonts w:eastAsia="Arial" w:cs="Arial"/>
          <w:color w:val="1D1D1B"/>
        </w:rPr>
        <w:t>Background</w:t>
      </w:r>
    </w:p>
    <w:p w14:paraId="1E205327" w14:textId="77777777" w:rsidR="00CD60C2" w:rsidRPr="00F34274" w:rsidRDefault="00CD60C2" w:rsidP="00957DB2">
      <w:pPr>
        <w:rPr>
          <w:rFonts w:eastAsia="Arial" w:cs="Arial"/>
          <w:color w:val="1D1D1B"/>
        </w:rPr>
      </w:pPr>
      <w:r w:rsidRPr="00F34274">
        <w:rPr>
          <w:rFonts w:eastAsia="Arial" w:cs="Arial"/>
          <w:color w:val="1D1D1B"/>
        </w:rPr>
        <w:t>1. Can you please give a brief overview of your syndicate?</w:t>
      </w:r>
    </w:p>
    <w:p w14:paraId="5922B291" w14:textId="77777777" w:rsidR="00CD60C2" w:rsidRPr="00F34274" w:rsidRDefault="00CD60C2" w:rsidP="00957DB2">
      <w:pPr>
        <w:rPr>
          <w:rFonts w:eastAsia="Arial" w:cs="Arial"/>
          <w:color w:val="1D1D1B"/>
        </w:rPr>
      </w:pPr>
      <w:r w:rsidRPr="00F34274">
        <w:rPr>
          <w:rFonts w:eastAsia="Arial" w:cs="Arial"/>
          <w:color w:val="1D1D1B"/>
        </w:rPr>
        <w:t xml:space="preserve">2. Can you tell us about your track record/experience of angel investing, with a focus on equity investments in SMEs? </w:t>
      </w:r>
    </w:p>
    <w:p w14:paraId="232955BF"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Motivations for applying to </w:t>
      </w:r>
      <w:proofErr w:type="gramStart"/>
      <w:r w:rsidRPr="00F34274">
        <w:rPr>
          <w:rFonts w:eastAsia="Arial" w:cs="Arial"/>
          <w:color w:val="1D1D1B"/>
        </w:rPr>
        <w:t>RAP</w:t>
      </w:r>
      <w:proofErr w:type="gramEnd"/>
      <w:r w:rsidRPr="00F34274">
        <w:rPr>
          <w:rFonts w:eastAsia="Arial" w:cs="Arial"/>
          <w:color w:val="1D1D1B"/>
        </w:rPr>
        <w:t xml:space="preserve"> </w:t>
      </w:r>
    </w:p>
    <w:p w14:paraId="03CB378A" w14:textId="77777777" w:rsidR="00CD60C2" w:rsidRPr="00F34274" w:rsidRDefault="00CD60C2" w:rsidP="00957DB2">
      <w:pPr>
        <w:rPr>
          <w:rFonts w:eastAsia="Arial" w:cs="Arial"/>
          <w:color w:val="1D1D1B"/>
        </w:rPr>
      </w:pPr>
      <w:r w:rsidRPr="00F34274">
        <w:rPr>
          <w:rFonts w:eastAsia="Arial" w:cs="Arial"/>
          <w:color w:val="1D1D1B"/>
        </w:rPr>
        <w:t>3. Thinking about where the SMEs you have invested in are based, what are the challenges and opportunities associated with investing in SMEs / early-stage businesses?</w:t>
      </w:r>
    </w:p>
    <w:p w14:paraId="261E509F" w14:textId="77777777" w:rsidR="00CD60C2" w:rsidRPr="00F34274" w:rsidRDefault="00CD60C2" w:rsidP="00957DB2">
      <w:pPr>
        <w:rPr>
          <w:rFonts w:eastAsia="Arial" w:cs="Arial"/>
          <w:color w:val="1D1D1B"/>
        </w:rPr>
      </w:pPr>
      <w:r w:rsidRPr="00F34274">
        <w:rPr>
          <w:rFonts w:eastAsia="Arial" w:cs="Arial"/>
          <w:color w:val="1D1D1B"/>
        </w:rPr>
        <w:t xml:space="preserve">4. Before applying for RAP funding, how difficult was it to find co-investors? </w:t>
      </w:r>
    </w:p>
    <w:p w14:paraId="7407B308" w14:textId="77777777" w:rsidR="00CD60C2" w:rsidRPr="00F34274" w:rsidRDefault="00CD60C2" w:rsidP="00957DB2">
      <w:pPr>
        <w:rPr>
          <w:rFonts w:eastAsia="Arial" w:cs="Arial"/>
          <w:color w:val="1D1D1B"/>
        </w:rPr>
      </w:pPr>
      <w:r w:rsidRPr="00F34274">
        <w:rPr>
          <w:rFonts w:eastAsia="Arial" w:cs="Arial"/>
          <w:color w:val="1D1D1B"/>
        </w:rPr>
        <w:t>5. Can you tell us how you heard about the British Business Investments RAP scheme and what prompted you to apply?</w:t>
      </w:r>
    </w:p>
    <w:p w14:paraId="666C40DA" w14:textId="77777777" w:rsidR="00CD60C2" w:rsidRPr="00F34274" w:rsidRDefault="00CD60C2" w:rsidP="00957DB2">
      <w:pPr>
        <w:rPr>
          <w:rFonts w:eastAsia="Arial" w:cs="Arial"/>
          <w:color w:val="1D1D1B"/>
        </w:rPr>
      </w:pPr>
      <w:r w:rsidRPr="00F34274">
        <w:rPr>
          <w:rFonts w:eastAsia="Arial" w:cs="Arial"/>
          <w:color w:val="1D1D1B"/>
        </w:rPr>
        <w:t xml:space="preserve">6. What was the impact of deciding to apply for RAP on relationships with co-investors within your syndicate? </w:t>
      </w:r>
    </w:p>
    <w:p w14:paraId="6200CA47" w14:textId="77777777" w:rsidR="00CD60C2" w:rsidRPr="00F34274" w:rsidRDefault="00CD60C2" w:rsidP="00957DB2">
      <w:pPr>
        <w:rPr>
          <w:rFonts w:eastAsia="Arial" w:cs="Arial"/>
          <w:color w:val="1D1D1B"/>
        </w:rPr>
      </w:pPr>
      <w:r w:rsidRPr="00F34274">
        <w:rPr>
          <w:rFonts w:eastAsia="Arial" w:cs="Arial"/>
          <w:color w:val="1D1D1B"/>
        </w:rPr>
        <w:t>7. Have you previously applied/thought of applying to any other government-backed schemes?</w:t>
      </w:r>
    </w:p>
    <w:p w14:paraId="535CF2E3" w14:textId="77777777" w:rsidR="00CD60C2" w:rsidRPr="00F34274" w:rsidRDefault="00CD60C2" w:rsidP="00957DB2">
      <w:pPr>
        <w:rPr>
          <w:rFonts w:eastAsia="Arial" w:cs="Arial"/>
          <w:color w:val="1D1D1B"/>
        </w:rPr>
      </w:pPr>
      <w:r w:rsidRPr="00F34274">
        <w:rPr>
          <w:rFonts w:eastAsia="Arial" w:cs="Arial"/>
          <w:color w:val="1D1D1B"/>
        </w:rPr>
        <w:t>8. Have recent economic events like Covid/cost of living crisis/fiscal instability prompted you to look to these government backed schemes?</w:t>
      </w:r>
    </w:p>
    <w:p w14:paraId="2FDEDA4A"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Experience of the application process </w:t>
      </w:r>
    </w:p>
    <w:p w14:paraId="13690AF9" w14:textId="77777777" w:rsidR="00CD60C2" w:rsidRPr="00F34274" w:rsidRDefault="00CD60C2" w:rsidP="00957DB2">
      <w:pPr>
        <w:rPr>
          <w:rFonts w:eastAsia="Arial" w:cs="Arial"/>
          <w:color w:val="1D1D1B"/>
        </w:rPr>
      </w:pPr>
      <w:r w:rsidRPr="00F34274">
        <w:rPr>
          <w:rFonts w:eastAsia="Arial" w:cs="Arial"/>
          <w:color w:val="1D1D1B"/>
        </w:rPr>
        <w:t>9. Can you tell us about your overall experience with the RAP application process?</w:t>
      </w:r>
    </w:p>
    <w:p w14:paraId="3FD6ADE0" w14:textId="77777777" w:rsidR="00CD60C2" w:rsidRPr="00F34274" w:rsidRDefault="00CD60C2" w:rsidP="00957DB2">
      <w:pPr>
        <w:rPr>
          <w:rFonts w:eastAsia="Arial" w:cs="Arial"/>
          <w:color w:val="1D1D1B"/>
        </w:rPr>
      </w:pPr>
      <w:r w:rsidRPr="00F34274">
        <w:rPr>
          <w:rFonts w:eastAsia="Arial" w:cs="Arial"/>
          <w:color w:val="1D1D1B"/>
        </w:rPr>
        <w:lastRenderedPageBreak/>
        <w:t>10. Can you recall if the terms and conditions around the funding were proportionate/appropriate?</w:t>
      </w:r>
    </w:p>
    <w:p w14:paraId="29D945CA" w14:textId="77777777" w:rsidR="00CD60C2" w:rsidRPr="00F34274" w:rsidRDefault="00CD60C2" w:rsidP="00957DB2">
      <w:pPr>
        <w:rPr>
          <w:rFonts w:eastAsia="Arial" w:cs="Arial"/>
          <w:color w:val="1D1D1B"/>
        </w:rPr>
      </w:pPr>
      <w:r w:rsidRPr="00F34274">
        <w:rPr>
          <w:rFonts w:eastAsia="Arial" w:cs="Arial"/>
          <w:color w:val="1D1D1B"/>
        </w:rPr>
        <w:t>10a. Can you tell us about your experience of British Business Investments’ due diligence process?</w:t>
      </w:r>
    </w:p>
    <w:p w14:paraId="0F5720F1" w14:textId="77777777" w:rsidR="00CD60C2" w:rsidRPr="00F34274" w:rsidRDefault="00CD60C2" w:rsidP="00957DB2">
      <w:pPr>
        <w:shd w:val="clear" w:color="auto" w:fill="F2F2F2"/>
        <w:rPr>
          <w:rFonts w:eastAsia="Arial" w:cs="Arial"/>
          <w:color w:val="1D1D1B"/>
        </w:rPr>
      </w:pPr>
      <w:r w:rsidRPr="00F34274">
        <w:rPr>
          <w:rFonts w:eastAsia="Arial" w:cs="Arial"/>
          <w:color w:val="1D1D1B"/>
        </w:rPr>
        <w:t>Experience of RAP</w:t>
      </w:r>
    </w:p>
    <w:p w14:paraId="1C9766C4" w14:textId="1643A75A" w:rsidR="00CD60C2" w:rsidRPr="00F34274" w:rsidRDefault="00CD60C2" w:rsidP="00957DB2">
      <w:pPr>
        <w:rPr>
          <w:rFonts w:eastAsia="Arial" w:cs="Arial"/>
          <w:color w:val="1D1D1B"/>
        </w:rPr>
      </w:pPr>
      <w:r w:rsidRPr="00F34274">
        <w:rPr>
          <w:rFonts w:eastAsia="Arial" w:cs="Arial"/>
          <w:color w:val="1D1D1B"/>
        </w:rPr>
        <w:t xml:space="preserve">11. Can you tell us about your experience of reporting on your investments to British Business </w:t>
      </w:r>
      <w:r w:rsidR="005A7B44" w:rsidRPr="00F34274">
        <w:rPr>
          <w:rFonts w:eastAsia="Arial" w:cs="Arial"/>
          <w:color w:val="1D1D1B"/>
        </w:rPr>
        <w:t>Investments?</w:t>
      </w:r>
    </w:p>
    <w:p w14:paraId="774E1CEE" w14:textId="77777777" w:rsidR="00CD60C2" w:rsidRPr="00F34274" w:rsidRDefault="00CD60C2" w:rsidP="00957DB2">
      <w:pPr>
        <w:rPr>
          <w:rFonts w:eastAsia="Arial" w:cs="Arial"/>
          <w:color w:val="1D1D1B"/>
        </w:rPr>
      </w:pPr>
      <w:r w:rsidRPr="00F34274">
        <w:rPr>
          <w:rFonts w:eastAsia="Arial" w:cs="Arial"/>
          <w:color w:val="1D1D1B"/>
        </w:rPr>
        <w:t>12. Can you tell us about the level of engagement of British Business Investments personnel since receiving funding?</w:t>
      </w:r>
    </w:p>
    <w:p w14:paraId="0AB8CB5A" w14:textId="77777777" w:rsidR="00CD60C2" w:rsidRPr="00F34274" w:rsidRDefault="00CD60C2" w:rsidP="00957DB2">
      <w:pPr>
        <w:rPr>
          <w:rFonts w:eastAsia="Arial" w:cs="Arial"/>
          <w:color w:val="1D1D1B"/>
        </w:rPr>
      </w:pPr>
      <w:r w:rsidRPr="00F34274">
        <w:rPr>
          <w:rFonts w:eastAsia="Arial" w:cs="Arial"/>
          <w:color w:val="1D1D1B"/>
        </w:rPr>
        <w:t>13. Can you tell us about your experience of seeking out investment opportunities with the RAP funding?</w:t>
      </w:r>
    </w:p>
    <w:p w14:paraId="6E5DFCF5" w14:textId="77777777" w:rsidR="00CD60C2" w:rsidRPr="00F34274" w:rsidRDefault="00CD60C2" w:rsidP="00957DB2">
      <w:pPr>
        <w:rPr>
          <w:rFonts w:eastAsia="Arial" w:cs="Arial"/>
          <w:color w:val="1D1D1B"/>
        </w:rPr>
      </w:pPr>
      <w:r w:rsidRPr="00F34274">
        <w:rPr>
          <w:rFonts w:eastAsia="Arial" w:cs="Arial"/>
          <w:color w:val="1D1D1B"/>
        </w:rPr>
        <w:t>14. Can you describe your experience of making investments in SMEs with RAP funding?</w:t>
      </w:r>
    </w:p>
    <w:p w14:paraId="26BE24DD" w14:textId="77777777" w:rsidR="00CD60C2" w:rsidRPr="00F34274" w:rsidRDefault="00CD60C2" w:rsidP="00957DB2">
      <w:pPr>
        <w:rPr>
          <w:rFonts w:eastAsia="Arial" w:cs="Arial"/>
          <w:color w:val="1D1D1B"/>
        </w:rPr>
      </w:pPr>
      <w:r w:rsidRPr="00F34274">
        <w:rPr>
          <w:rFonts w:eastAsia="Arial" w:cs="Arial"/>
          <w:color w:val="1D1D1B"/>
        </w:rPr>
        <w:t>14a. Thinking about your overall portfolio, can you describe at what stage companies are usually at when you invest in them?</w:t>
      </w:r>
    </w:p>
    <w:p w14:paraId="6798EE73"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Impact of investments  </w:t>
      </w:r>
    </w:p>
    <w:p w14:paraId="7100AC82" w14:textId="1F15036D" w:rsidR="00CD60C2" w:rsidRPr="00F34274" w:rsidRDefault="00CD60C2" w:rsidP="00957DB2">
      <w:pPr>
        <w:rPr>
          <w:rFonts w:eastAsia="Arial" w:cs="Arial"/>
          <w:color w:val="1D1D1B"/>
        </w:rPr>
      </w:pPr>
      <w:r w:rsidRPr="00F34274">
        <w:rPr>
          <w:rFonts w:eastAsia="Arial" w:cs="Arial"/>
          <w:color w:val="1D1D1B"/>
        </w:rPr>
        <w:t xml:space="preserve">15. Once you received RAP funding, can you tell us about the impact of the funding on your </w:t>
      </w:r>
      <w:r w:rsidR="00577097">
        <w:rPr>
          <w:rFonts w:eastAsia="Arial" w:cs="Arial"/>
          <w:color w:val="1D1D1B"/>
        </w:rPr>
        <w:t>a</w:t>
      </w:r>
      <w:r w:rsidRPr="00F34274">
        <w:rPr>
          <w:rFonts w:eastAsia="Arial" w:cs="Arial"/>
          <w:color w:val="1D1D1B"/>
        </w:rPr>
        <w:t xml:space="preserve">ngel syndicate? </w:t>
      </w:r>
    </w:p>
    <w:p w14:paraId="41E6E54C" w14:textId="77777777" w:rsidR="00CD60C2" w:rsidRPr="00F34274" w:rsidRDefault="00CD60C2" w:rsidP="00957DB2">
      <w:pPr>
        <w:rPr>
          <w:rFonts w:eastAsia="Arial" w:cs="Arial"/>
          <w:color w:val="1D1D1B"/>
        </w:rPr>
      </w:pPr>
      <w:r w:rsidRPr="00F34274">
        <w:rPr>
          <w:rFonts w:eastAsia="Arial" w:cs="Arial"/>
          <w:color w:val="1D1D1B"/>
        </w:rPr>
        <w:t xml:space="preserve">16. In the absence of the RAP scheme, would you still have invested in the SMEs? </w:t>
      </w:r>
    </w:p>
    <w:p w14:paraId="51F76801" w14:textId="77777777" w:rsidR="00CD60C2" w:rsidRPr="00F34274" w:rsidRDefault="00CD60C2" w:rsidP="00957DB2">
      <w:pPr>
        <w:rPr>
          <w:rFonts w:eastAsia="Arial" w:cs="Arial"/>
          <w:color w:val="1D1D1B"/>
        </w:rPr>
      </w:pPr>
      <w:r w:rsidRPr="00F34274">
        <w:rPr>
          <w:rFonts w:eastAsia="Arial" w:cs="Arial"/>
          <w:color w:val="1D1D1B"/>
        </w:rPr>
        <w:t>[IF WOULD HAVE INVESTED ‘LESS/NOTHING’ IN Q16]</w:t>
      </w:r>
    </w:p>
    <w:p w14:paraId="1B5DCE93" w14:textId="77777777" w:rsidR="00CD60C2" w:rsidRPr="00F34274" w:rsidRDefault="00CD60C2" w:rsidP="00957DB2">
      <w:pPr>
        <w:rPr>
          <w:rFonts w:eastAsia="Arial" w:cs="Arial"/>
          <w:color w:val="1D1D1B"/>
        </w:rPr>
      </w:pPr>
      <w:r w:rsidRPr="00F34274">
        <w:rPr>
          <w:rFonts w:eastAsia="Arial" w:cs="Arial"/>
          <w:color w:val="1D1D1B"/>
        </w:rPr>
        <w:t xml:space="preserve">16a. Why would you not have invested in the SMEs? </w:t>
      </w:r>
    </w:p>
    <w:p w14:paraId="78CA9991" w14:textId="77777777" w:rsidR="00CD60C2" w:rsidRPr="00F34274" w:rsidRDefault="00CD60C2" w:rsidP="00957DB2">
      <w:pPr>
        <w:rPr>
          <w:rFonts w:eastAsia="Arial" w:cs="Arial"/>
          <w:color w:val="1D1D1B"/>
        </w:rPr>
      </w:pPr>
      <w:r w:rsidRPr="00F34274">
        <w:rPr>
          <w:rFonts w:eastAsia="Arial" w:cs="Arial"/>
          <w:color w:val="1D1D1B"/>
        </w:rPr>
        <w:t>[IF WOULD HAVE INVESTED THE SAME IN Q16]</w:t>
      </w:r>
    </w:p>
    <w:p w14:paraId="0F724A69" w14:textId="77777777" w:rsidR="00CD60C2" w:rsidRPr="00F34274" w:rsidRDefault="00CD60C2" w:rsidP="00957DB2">
      <w:pPr>
        <w:rPr>
          <w:rFonts w:eastAsia="Arial" w:cs="Arial"/>
          <w:color w:val="1D1D1B"/>
        </w:rPr>
      </w:pPr>
      <w:r w:rsidRPr="00F34274">
        <w:rPr>
          <w:rFonts w:eastAsia="Arial" w:cs="Arial"/>
          <w:color w:val="1D1D1B"/>
        </w:rPr>
        <w:t>16b. Why would you have invested the same?</w:t>
      </w:r>
    </w:p>
    <w:p w14:paraId="2E9D6601" w14:textId="77777777" w:rsidR="00CD60C2" w:rsidRPr="00F34274" w:rsidRDefault="00CD60C2" w:rsidP="00957DB2">
      <w:pPr>
        <w:rPr>
          <w:rFonts w:eastAsia="Arial" w:cs="Arial"/>
          <w:color w:val="1D1D1B"/>
        </w:rPr>
      </w:pPr>
      <w:r w:rsidRPr="00F34274">
        <w:rPr>
          <w:rFonts w:eastAsia="Arial" w:cs="Arial"/>
          <w:color w:val="1D1D1B"/>
        </w:rPr>
        <w:t>17. Thinking about your overall portfolio, to what extent did RAP support help SMEs you invested in in achieving their short-term and long-term goals?</w:t>
      </w:r>
    </w:p>
    <w:p w14:paraId="675EEF41" w14:textId="77777777" w:rsidR="00CD60C2" w:rsidRPr="00F34274" w:rsidRDefault="00CD60C2" w:rsidP="00957DB2">
      <w:pPr>
        <w:rPr>
          <w:rFonts w:eastAsia="Arial" w:cs="Arial"/>
          <w:color w:val="1D1D1B"/>
        </w:rPr>
      </w:pPr>
      <w:r w:rsidRPr="00F34274">
        <w:rPr>
          <w:rFonts w:eastAsia="Arial" w:cs="Arial"/>
          <w:color w:val="1D1D1B"/>
        </w:rPr>
        <w:t>18. Thinking across your portfolio, can you describe how SMEs intended to use the investment and if this changed once you provided the funding?</w:t>
      </w:r>
    </w:p>
    <w:p w14:paraId="400D87F9" w14:textId="77777777" w:rsidR="00CD60C2" w:rsidRPr="00F34274" w:rsidRDefault="00CD60C2" w:rsidP="00957DB2">
      <w:pPr>
        <w:rPr>
          <w:rFonts w:eastAsia="Arial" w:cs="Arial"/>
          <w:color w:val="1D1D1B"/>
        </w:rPr>
      </w:pPr>
      <w:r w:rsidRPr="00F34274">
        <w:rPr>
          <w:rFonts w:eastAsia="Arial" w:cs="Arial"/>
          <w:color w:val="1D1D1B"/>
        </w:rPr>
        <w:lastRenderedPageBreak/>
        <w:t>18b. Which of the following would be the main activities that companies in your portfolio engaged in after they received the funding?</w:t>
      </w:r>
      <w:r w:rsidRPr="00F34274">
        <w:rPr>
          <w:rFonts w:eastAsia="Arial" w:cs="Arial"/>
          <w:color w:val="1D1D1B"/>
        </w:rPr>
        <w:tab/>
        <w:t xml:space="preserve"> </w:t>
      </w:r>
    </w:p>
    <w:p w14:paraId="622642DB" w14:textId="77777777" w:rsidR="00CD60C2" w:rsidRPr="00F34274" w:rsidRDefault="00CD60C2" w:rsidP="00957DB2">
      <w:pPr>
        <w:rPr>
          <w:rFonts w:eastAsia="Arial" w:cs="Arial"/>
          <w:color w:val="1D1D1B"/>
        </w:rPr>
      </w:pPr>
      <w:r w:rsidRPr="00F34274">
        <w:rPr>
          <w:rFonts w:eastAsia="Arial" w:cs="Arial"/>
          <w:color w:val="1D1D1B"/>
        </w:rPr>
        <w:t>19. Based on the performance/projected performance of your portfolio, would you say RAP improved investment outcomes in terms of expected returns for the companies/portfolio?</w:t>
      </w:r>
    </w:p>
    <w:p w14:paraId="70DFBEDF" w14:textId="77777777" w:rsidR="00CD60C2" w:rsidRPr="00F34274" w:rsidRDefault="00CD60C2" w:rsidP="00957DB2">
      <w:pPr>
        <w:shd w:val="clear" w:color="auto" w:fill="F2F2F2"/>
        <w:rPr>
          <w:rFonts w:eastAsia="Arial" w:cs="Arial"/>
          <w:color w:val="1D1D1B"/>
        </w:rPr>
      </w:pPr>
      <w:r w:rsidRPr="00F34274">
        <w:rPr>
          <w:rFonts w:eastAsia="Arial" w:cs="Arial"/>
          <w:color w:val="1D1D1B"/>
        </w:rPr>
        <w:t>Legacy of RAP</w:t>
      </w:r>
    </w:p>
    <w:p w14:paraId="52AA5FC1" w14:textId="77777777" w:rsidR="00CD60C2" w:rsidRPr="00F34274" w:rsidRDefault="00CD60C2" w:rsidP="00957DB2">
      <w:pPr>
        <w:rPr>
          <w:rFonts w:eastAsia="Arial" w:cs="Arial"/>
          <w:color w:val="1D1D1B"/>
        </w:rPr>
      </w:pPr>
      <w:r w:rsidRPr="00F34274">
        <w:rPr>
          <w:rFonts w:eastAsia="Arial" w:cs="Arial"/>
          <w:color w:val="1D1D1B"/>
        </w:rPr>
        <w:t>20. Thinking about the wider angel investing landscape, has RAP addressed/potentially addressed these challenges in the long run?</w:t>
      </w:r>
    </w:p>
    <w:p w14:paraId="6D285AEF" w14:textId="77777777" w:rsidR="00CD60C2" w:rsidRPr="00F34274" w:rsidRDefault="00CD60C2" w:rsidP="00957DB2">
      <w:pPr>
        <w:rPr>
          <w:rFonts w:eastAsia="Arial" w:cs="Arial"/>
          <w:color w:val="1D1D1B"/>
        </w:rPr>
      </w:pPr>
      <w:r w:rsidRPr="00F34274">
        <w:rPr>
          <w:rFonts w:eastAsia="Arial" w:cs="Arial"/>
          <w:color w:val="1D1D1B"/>
        </w:rPr>
        <w:t xml:space="preserve">21. Given that RAP is expected to continue in the future, what would you expect its </w:t>
      </w:r>
      <w:proofErr w:type="gramStart"/>
      <w:r w:rsidRPr="00F34274">
        <w:rPr>
          <w:rFonts w:eastAsia="Arial" w:cs="Arial"/>
          <w:color w:val="1D1D1B"/>
        </w:rPr>
        <w:t>lasting legacy</w:t>
      </w:r>
      <w:proofErr w:type="gramEnd"/>
      <w:r w:rsidRPr="00F34274">
        <w:rPr>
          <w:rFonts w:eastAsia="Arial" w:cs="Arial"/>
          <w:color w:val="1D1D1B"/>
        </w:rPr>
        <w:t xml:space="preserve"> to be?</w:t>
      </w:r>
    </w:p>
    <w:p w14:paraId="40356B46" w14:textId="77777777" w:rsidR="00CD60C2" w:rsidRPr="00F34274" w:rsidRDefault="00CD60C2" w:rsidP="00957DB2">
      <w:pPr>
        <w:rPr>
          <w:rFonts w:eastAsia="Arial" w:cs="Arial"/>
          <w:color w:val="1D1D1B"/>
        </w:rPr>
      </w:pPr>
      <w:r w:rsidRPr="00F34274">
        <w:rPr>
          <w:rFonts w:eastAsia="Arial" w:cs="Arial"/>
          <w:color w:val="1D1D1B"/>
        </w:rPr>
        <w:t>22. If another scheme like RAP was offered in the future, would you consider applying again?</w:t>
      </w:r>
    </w:p>
    <w:p w14:paraId="5C613E5C"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A.1.2 RAP team interview guide</w:t>
      </w:r>
    </w:p>
    <w:p w14:paraId="19A238C6" w14:textId="77777777" w:rsidR="00CD60C2" w:rsidRPr="00F34274" w:rsidRDefault="00CD60C2" w:rsidP="00957DB2">
      <w:pPr>
        <w:shd w:val="clear" w:color="auto" w:fill="F2F2F2"/>
        <w:rPr>
          <w:rFonts w:eastAsia="Arial" w:cs="Arial"/>
          <w:color w:val="1D1D1B"/>
        </w:rPr>
      </w:pPr>
      <w:r w:rsidRPr="00F34274">
        <w:rPr>
          <w:rFonts w:eastAsia="Arial" w:cs="Arial"/>
          <w:color w:val="1D1D1B"/>
        </w:rPr>
        <w:t>Background</w:t>
      </w:r>
    </w:p>
    <w:p w14:paraId="7F68C63D" w14:textId="77777777" w:rsidR="00CD60C2" w:rsidRPr="00F34274" w:rsidRDefault="00CD60C2" w:rsidP="00957DB2">
      <w:pPr>
        <w:rPr>
          <w:rFonts w:eastAsia="Arial" w:cs="Arial"/>
          <w:color w:val="1D1D1B"/>
        </w:rPr>
      </w:pPr>
      <w:r w:rsidRPr="00F34274">
        <w:rPr>
          <w:rFonts w:eastAsia="Arial" w:cs="Arial"/>
          <w:color w:val="1D1D1B"/>
        </w:rPr>
        <w:t>1. Can you please give a brief overview of your role?</w:t>
      </w:r>
    </w:p>
    <w:p w14:paraId="718A08D8" w14:textId="77777777" w:rsidR="00CD60C2" w:rsidRPr="00F34274" w:rsidRDefault="00CD60C2" w:rsidP="00957DB2">
      <w:pPr>
        <w:shd w:val="clear" w:color="auto" w:fill="F2F2F2"/>
        <w:rPr>
          <w:rFonts w:eastAsia="Arial" w:cs="Arial"/>
          <w:color w:val="1D1D1B"/>
        </w:rPr>
      </w:pPr>
      <w:r w:rsidRPr="00F34274">
        <w:rPr>
          <w:rFonts w:eastAsia="Arial" w:cs="Arial"/>
          <w:color w:val="1D1D1B"/>
        </w:rPr>
        <w:t>Setting up the RAP</w:t>
      </w:r>
    </w:p>
    <w:p w14:paraId="57823BE1" w14:textId="77777777" w:rsidR="00CD60C2" w:rsidRPr="00F34274" w:rsidRDefault="00CD60C2" w:rsidP="00957DB2">
      <w:pPr>
        <w:rPr>
          <w:rFonts w:eastAsia="Arial" w:cs="Arial"/>
          <w:color w:val="1D1D1B"/>
        </w:rPr>
      </w:pPr>
      <w:r w:rsidRPr="00F34274">
        <w:rPr>
          <w:rFonts w:eastAsia="Arial" w:cs="Arial"/>
          <w:color w:val="1D1D1B"/>
        </w:rPr>
        <w:t>2. RAP was set up following the 2017 Autumn Budget in response to research that highlighted the continued challenges faced by early-stage firms in under-funded regions of the UK in accessing finance. To what extent do you agree with the rationale at the time the scheme was set up?</w:t>
      </w:r>
    </w:p>
    <w:p w14:paraId="3A4018DB" w14:textId="77777777" w:rsidR="00CD60C2" w:rsidRPr="00F34274" w:rsidRDefault="00CD60C2" w:rsidP="00957DB2">
      <w:pPr>
        <w:rPr>
          <w:rFonts w:eastAsia="Arial" w:cs="Arial"/>
          <w:color w:val="1D1D1B"/>
        </w:rPr>
      </w:pPr>
      <w:r w:rsidRPr="00F34274">
        <w:rPr>
          <w:rFonts w:eastAsia="Arial" w:cs="Arial"/>
          <w:color w:val="1D1D1B"/>
        </w:rPr>
        <w:t>3. Were there any changes to the programme objectives or delivery either during the design stage or to the present?</w:t>
      </w:r>
    </w:p>
    <w:p w14:paraId="48065589" w14:textId="77777777" w:rsidR="00CD60C2" w:rsidRPr="00F34274" w:rsidRDefault="00CD60C2" w:rsidP="00957DB2">
      <w:pPr>
        <w:rPr>
          <w:rFonts w:eastAsia="Arial" w:cs="Arial"/>
          <w:color w:val="1D1D1B"/>
        </w:rPr>
      </w:pPr>
      <w:r w:rsidRPr="00F34274">
        <w:rPr>
          <w:rFonts w:eastAsia="Arial" w:cs="Arial"/>
          <w:color w:val="1D1D1B"/>
        </w:rPr>
        <w:t>4. Can you tell us about how the RAP opportunity was promoted to potential applicants?</w:t>
      </w:r>
    </w:p>
    <w:p w14:paraId="360C49A7" w14:textId="77777777" w:rsidR="00CD60C2" w:rsidRPr="00F34274" w:rsidRDefault="00CD60C2" w:rsidP="00957DB2">
      <w:pPr>
        <w:rPr>
          <w:rFonts w:eastAsia="Arial" w:cs="Arial"/>
          <w:color w:val="1D1D1B"/>
        </w:rPr>
      </w:pPr>
      <w:r w:rsidRPr="00F34274">
        <w:rPr>
          <w:rFonts w:eastAsia="Arial" w:cs="Arial"/>
          <w:color w:val="1D1D1B"/>
        </w:rPr>
        <w:t>5. What, if any, consultation work was done with angel investor syndicates/SMEs in underfunded areas to inform the design of the programme?</w:t>
      </w:r>
    </w:p>
    <w:p w14:paraId="10726031" w14:textId="77777777" w:rsidR="00CD60C2" w:rsidRPr="00F34274" w:rsidRDefault="00CD60C2" w:rsidP="00957DB2">
      <w:pPr>
        <w:rPr>
          <w:rFonts w:eastAsia="Arial" w:cs="Arial"/>
          <w:color w:val="1D1D1B"/>
        </w:rPr>
      </w:pPr>
      <w:r w:rsidRPr="00F34274">
        <w:rPr>
          <w:rFonts w:eastAsia="Arial" w:cs="Arial"/>
          <w:color w:val="1D1D1B"/>
        </w:rPr>
        <w:t>6. What, if any, consultation work was done with other government stakeholders / departments to inform the design of the programme?</w:t>
      </w:r>
    </w:p>
    <w:p w14:paraId="0EE0E715" w14:textId="77777777" w:rsidR="00CD60C2" w:rsidRPr="00F34274" w:rsidRDefault="00CD60C2" w:rsidP="00957DB2">
      <w:pPr>
        <w:rPr>
          <w:rFonts w:eastAsia="Arial" w:cs="Arial"/>
          <w:color w:val="1D1D1B"/>
        </w:rPr>
      </w:pPr>
      <w:r w:rsidRPr="00F34274">
        <w:rPr>
          <w:rFonts w:eastAsia="Arial" w:cs="Arial"/>
          <w:color w:val="1D1D1B"/>
        </w:rPr>
        <w:lastRenderedPageBreak/>
        <w:t>7. What other, if any, sources of support were available at the time of programme setup to encourage investment in SMEs in under-funded areas?</w:t>
      </w:r>
    </w:p>
    <w:p w14:paraId="650DDBB5" w14:textId="77777777" w:rsidR="00CD60C2" w:rsidRPr="00F34274" w:rsidRDefault="00CD60C2" w:rsidP="00957DB2">
      <w:pPr>
        <w:shd w:val="clear" w:color="auto" w:fill="F2F2F2"/>
        <w:rPr>
          <w:rFonts w:eastAsia="Arial" w:cs="Arial"/>
          <w:color w:val="1D1D1B"/>
        </w:rPr>
      </w:pPr>
      <w:r w:rsidRPr="00F34274">
        <w:rPr>
          <w:rFonts w:eastAsia="Arial" w:cs="Arial"/>
          <w:color w:val="1D1D1B"/>
        </w:rPr>
        <w:t>Design</w:t>
      </w:r>
    </w:p>
    <w:p w14:paraId="5FB288BE" w14:textId="77777777" w:rsidR="00CD60C2" w:rsidRPr="00F34274" w:rsidRDefault="00CD60C2" w:rsidP="00957DB2">
      <w:pPr>
        <w:rPr>
          <w:rFonts w:eastAsia="Arial" w:cs="Arial"/>
          <w:color w:val="1D1D1B"/>
        </w:rPr>
      </w:pPr>
      <w:r w:rsidRPr="00F34274">
        <w:rPr>
          <w:rFonts w:eastAsia="Arial" w:cs="Arial"/>
          <w:color w:val="1D1D1B"/>
        </w:rPr>
        <w:t xml:space="preserve">8. How appropriate is the design of the RAP scheme in increasing the aggregate amount of early-stage equity capital that is available to small businesses in underfunded regions in the UK? </w:t>
      </w:r>
    </w:p>
    <w:p w14:paraId="5F34C0A1"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The application </w:t>
      </w:r>
      <w:proofErr w:type="gramStart"/>
      <w:r w:rsidRPr="00F34274">
        <w:rPr>
          <w:rFonts w:eastAsia="Arial" w:cs="Arial"/>
          <w:color w:val="1D1D1B"/>
        </w:rPr>
        <w:t>process</w:t>
      </w:r>
      <w:proofErr w:type="gramEnd"/>
      <w:r w:rsidRPr="00F34274">
        <w:rPr>
          <w:rFonts w:eastAsia="Arial" w:cs="Arial"/>
          <w:color w:val="1D1D1B"/>
        </w:rPr>
        <w:t xml:space="preserve"> </w:t>
      </w:r>
    </w:p>
    <w:p w14:paraId="05CED801" w14:textId="77777777" w:rsidR="00CD60C2" w:rsidRPr="00F34274" w:rsidRDefault="00CD60C2" w:rsidP="00957DB2">
      <w:pPr>
        <w:rPr>
          <w:rFonts w:eastAsia="Arial" w:cs="Arial"/>
          <w:color w:val="1D1D1B"/>
        </w:rPr>
      </w:pPr>
      <w:r w:rsidRPr="00F34274">
        <w:rPr>
          <w:rFonts w:eastAsia="Arial" w:cs="Arial"/>
          <w:color w:val="1D1D1B"/>
        </w:rPr>
        <w:t>9. Has the RAP attracted as many applicants as you expected?</w:t>
      </w:r>
    </w:p>
    <w:p w14:paraId="6B4146F9" w14:textId="77777777" w:rsidR="00CD60C2" w:rsidRPr="00F34274" w:rsidRDefault="00CD60C2" w:rsidP="00957DB2">
      <w:pPr>
        <w:rPr>
          <w:rFonts w:eastAsia="Arial" w:cs="Arial"/>
          <w:color w:val="1D1D1B"/>
        </w:rPr>
      </w:pPr>
      <w:r w:rsidRPr="00F34274">
        <w:rPr>
          <w:rFonts w:eastAsia="Arial" w:cs="Arial"/>
          <w:color w:val="1D1D1B"/>
        </w:rPr>
        <w:t>10. Can you tell us about the due diligence process conducted on applicants?</w:t>
      </w:r>
    </w:p>
    <w:p w14:paraId="424CA988" w14:textId="77777777" w:rsidR="00CD60C2" w:rsidRPr="00F34274" w:rsidRDefault="00CD60C2" w:rsidP="00957DB2">
      <w:pPr>
        <w:rPr>
          <w:rFonts w:eastAsia="Arial" w:cs="Arial"/>
          <w:color w:val="1D1D1B"/>
        </w:rPr>
      </w:pPr>
      <w:r w:rsidRPr="00F34274">
        <w:rPr>
          <w:rFonts w:eastAsia="Arial" w:cs="Arial"/>
          <w:color w:val="1D1D1B"/>
        </w:rPr>
        <w:t xml:space="preserve">11. Can you tell us how the regional focus of the fund is applied to your decision-making process for applicants? </w:t>
      </w:r>
    </w:p>
    <w:p w14:paraId="12108F9D" w14:textId="77777777" w:rsidR="00CD60C2" w:rsidRPr="00F34274" w:rsidRDefault="00CD60C2" w:rsidP="00957DB2">
      <w:pPr>
        <w:rPr>
          <w:rFonts w:eastAsia="Arial" w:cs="Arial"/>
          <w:color w:val="1D1D1B"/>
        </w:rPr>
      </w:pPr>
      <w:r w:rsidRPr="00F34274">
        <w:rPr>
          <w:rFonts w:eastAsia="Arial" w:cs="Arial"/>
          <w:color w:val="1D1D1B"/>
        </w:rPr>
        <w:t>12. Can you give some examples of any best practice and learning from the application process?</w:t>
      </w:r>
    </w:p>
    <w:p w14:paraId="20623F45" w14:textId="77777777" w:rsidR="00CD60C2" w:rsidRPr="00F34274" w:rsidRDefault="00CD60C2" w:rsidP="00957DB2">
      <w:pPr>
        <w:shd w:val="clear" w:color="auto" w:fill="F2F2F2"/>
        <w:rPr>
          <w:rFonts w:eastAsia="Arial" w:cs="Arial"/>
          <w:color w:val="1D1D1B"/>
        </w:rPr>
      </w:pPr>
      <w:r w:rsidRPr="00F34274">
        <w:rPr>
          <w:rFonts w:eastAsia="Arial" w:cs="Arial"/>
          <w:color w:val="1D1D1B"/>
        </w:rPr>
        <w:t>Delivering the RAP</w:t>
      </w:r>
    </w:p>
    <w:p w14:paraId="74220D9C" w14:textId="77777777" w:rsidR="00CD60C2" w:rsidRPr="00F34274" w:rsidRDefault="00CD60C2" w:rsidP="00957DB2">
      <w:pPr>
        <w:rPr>
          <w:rFonts w:eastAsia="Arial" w:cs="Arial"/>
          <w:color w:val="1D1D1B"/>
        </w:rPr>
      </w:pPr>
      <w:r w:rsidRPr="00F34274">
        <w:rPr>
          <w:rFonts w:eastAsia="Arial" w:cs="Arial"/>
          <w:color w:val="1D1D1B"/>
        </w:rPr>
        <w:t xml:space="preserve">13. Have there been any issues that arose during the rollout and monitoring processes? </w:t>
      </w:r>
    </w:p>
    <w:p w14:paraId="597107D1" w14:textId="77777777" w:rsidR="00CD60C2" w:rsidRPr="00F34274" w:rsidRDefault="00CD60C2" w:rsidP="00957DB2">
      <w:pPr>
        <w:rPr>
          <w:rFonts w:eastAsia="Arial" w:cs="Arial"/>
          <w:color w:val="1D1D1B"/>
        </w:rPr>
      </w:pPr>
      <w:r w:rsidRPr="00F34274">
        <w:rPr>
          <w:rFonts w:eastAsia="Arial" w:cs="Arial"/>
          <w:color w:val="1D1D1B"/>
        </w:rPr>
        <w:t>14. Can you describe the governance process for the RAP and any reflections on how this worked in practice?</w:t>
      </w:r>
    </w:p>
    <w:p w14:paraId="6045B75D" w14:textId="77777777" w:rsidR="00CD60C2" w:rsidRPr="00F34274" w:rsidRDefault="00CD60C2" w:rsidP="00957DB2">
      <w:pPr>
        <w:rPr>
          <w:rFonts w:eastAsia="Arial" w:cs="Arial"/>
          <w:color w:val="1D1D1B"/>
        </w:rPr>
      </w:pPr>
      <w:r w:rsidRPr="00F34274">
        <w:rPr>
          <w:rFonts w:eastAsia="Arial" w:cs="Arial"/>
          <w:color w:val="1D1D1B"/>
        </w:rPr>
        <w:t>15. Can you tell us about your experience of engaging with investors once funds had been distributed to delivery partners?</w:t>
      </w:r>
    </w:p>
    <w:p w14:paraId="6D984DD7" w14:textId="77777777" w:rsidR="00CD60C2" w:rsidRPr="00F34274" w:rsidRDefault="00CD60C2" w:rsidP="00957DB2">
      <w:pPr>
        <w:rPr>
          <w:rFonts w:eastAsia="Arial" w:cs="Arial"/>
          <w:color w:val="1D1D1B"/>
        </w:rPr>
      </w:pPr>
      <w:r w:rsidRPr="00F34274">
        <w:rPr>
          <w:rFonts w:eastAsia="Arial" w:cs="Arial"/>
          <w:color w:val="1D1D1B"/>
        </w:rPr>
        <w:t>16. How effective were the risk management processes for the RAP?</w:t>
      </w:r>
    </w:p>
    <w:p w14:paraId="06EF0FE5" w14:textId="77777777" w:rsidR="00CD60C2" w:rsidRPr="00F34274" w:rsidRDefault="00CD60C2" w:rsidP="00957DB2">
      <w:pPr>
        <w:shd w:val="clear" w:color="auto" w:fill="F2F2F2"/>
        <w:rPr>
          <w:rFonts w:eastAsia="Arial" w:cs="Arial"/>
          <w:color w:val="1D1D1B"/>
        </w:rPr>
      </w:pPr>
      <w:r w:rsidRPr="00F34274">
        <w:rPr>
          <w:rFonts w:eastAsia="Arial" w:cs="Arial"/>
          <w:color w:val="1D1D1B"/>
          <w:shd w:val="clear" w:color="auto" w:fill="F2F2F2"/>
        </w:rPr>
        <w:t>Performance</w:t>
      </w:r>
    </w:p>
    <w:p w14:paraId="1C416F21" w14:textId="77777777" w:rsidR="00CD60C2" w:rsidRPr="00F34274" w:rsidRDefault="00CD60C2" w:rsidP="00957DB2">
      <w:pPr>
        <w:rPr>
          <w:rFonts w:eastAsia="Arial" w:cs="Arial"/>
          <w:color w:val="1D1D1B"/>
        </w:rPr>
      </w:pPr>
      <w:r w:rsidRPr="00F34274">
        <w:rPr>
          <w:rFonts w:eastAsia="Arial" w:cs="Arial"/>
          <w:color w:val="1D1D1B"/>
        </w:rPr>
        <w:t xml:space="preserve">17. Are equity investments made by angel investors in line with your expectations around target market and return on investment at this point in the scheme? </w:t>
      </w:r>
    </w:p>
    <w:p w14:paraId="1550FB8A"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Impact of investments </w:t>
      </w:r>
    </w:p>
    <w:p w14:paraId="5ECE9999" w14:textId="77777777" w:rsidR="00CD60C2" w:rsidRPr="00F34274" w:rsidRDefault="00CD60C2" w:rsidP="00957DB2">
      <w:pPr>
        <w:rPr>
          <w:rFonts w:eastAsia="Arial" w:cs="Arial"/>
          <w:color w:val="1D1D1B"/>
        </w:rPr>
      </w:pPr>
      <w:r w:rsidRPr="00F34274">
        <w:rPr>
          <w:rFonts w:eastAsia="Arial" w:cs="Arial"/>
          <w:color w:val="1D1D1B"/>
        </w:rPr>
        <w:t xml:space="preserve">18. Can you tell us about your initial thinking around how the RAP was intended to influence deal flow in the short and long-term? </w:t>
      </w:r>
    </w:p>
    <w:p w14:paraId="36E772D3" w14:textId="77777777" w:rsidR="00CD60C2" w:rsidRPr="00F34274" w:rsidRDefault="00CD60C2" w:rsidP="00957DB2">
      <w:pPr>
        <w:rPr>
          <w:rFonts w:eastAsia="Arial" w:cs="Arial"/>
          <w:color w:val="1D1D1B"/>
        </w:rPr>
      </w:pPr>
      <w:r w:rsidRPr="00F34274">
        <w:rPr>
          <w:rFonts w:eastAsia="Arial" w:cs="Arial"/>
          <w:color w:val="1D1D1B"/>
        </w:rPr>
        <w:lastRenderedPageBreak/>
        <w:t>19. Have you seen evidence of the effectiveness of investors selected to participate in RAP?</w:t>
      </w:r>
    </w:p>
    <w:p w14:paraId="682CE63C" w14:textId="77777777" w:rsidR="00CD60C2" w:rsidRPr="00F34274" w:rsidRDefault="00CD60C2" w:rsidP="00957DB2">
      <w:pPr>
        <w:rPr>
          <w:rFonts w:eastAsia="Arial" w:cs="Arial"/>
          <w:color w:val="1D1D1B"/>
        </w:rPr>
      </w:pPr>
      <w:r w:rsidRPr="00F34274">
        <w:rPr>
          <w:rFonts w:eastAsia="Arial" w:cs="Arial"/>
          <w:color w:val="1D1D1B"/>
        </w:rPr>
        <w:t xml:space="preserve">20. Do you think recipients would have been able to obtain funding from other sources without RAP? Please explain. </w:t>
      </w:r>
    </w:p>
    <w:p w14:paraId="1D8986FB" w14:textId="77777777" w:rsidR="00CD60C2" w:rsidRPr="00F34274" w:rsidRDefault="00CD60C2" w:rsidP="00957DB2">
      <w:pPr>
        <w:shd w:val="clear" w:color="auto" w:fill="F2F2F2"/>
        <w:rPr>
          <w:rFonts w:eastAsia="Arial" w:cs="Arial"/>
          <w:color w:val="1D1D1B"/>
        </w:rPr>
      </w:pPr>
      <w:r w:rsidRPr="00F34274">
        <w:rPr>
          <w:rFonts w:eastAsia="Arial" w:cs="Arial"/>
          <w:color w:val="1D1D1B"/>
        </w:rPr>
        <w:t>Legacy of RAP</w:t>
      </w:r>
    </w:p>
    <w:p w14:paraId="400C1656" w14:textId="77777777" w:rsidR="00CD60C2" w:rsidRPr="00F34274" w:rsidRDefault="00CD60C2" w:rsidP="00957DB2">
      <w:pPr>
        <w:rPr>
          <w:rFonts w:eastAsia="Arial" w:cs="Arial"/>
          <w:color w:val="1D1D1B"/>
        </w:rPr>
      </w:pPr>
      <w:r w:rsidRPr="00F34274">
        <w:rPr>
          <w:rFonts w:eastAsia="Arial" w:cs="Arial"/>
          <w:color w:val="1D1D1B"/>
        </w:rPr>
        <w:t>21. Thinking about the wider angel investing landscape, do you feel that RAP has encouraged other investors to take risks/invest in patient capital in both the short and long term?</w:t>
      </w:r>
    </w:p>
    <w:p w14:paraId="2AC1C233" w14:textId="77777777" w:rsidR="00CD60C2" w:rsidRPr="00F34274" w:rsidRDefault="00CD60C2" w:rsidP="00957DB2">
      <w:pPr>
        <w:rPr>
          <w:rFonts w:eastAsia="Arial" w:cs="Arial"/>
          <w:color w:val="1D1D1B"/>
        </w:rPr>
      </w:pPr>
      <w:r w:rsidRPr="00F34274">
        <w:rPr>
          <w:rFonts w:eastAsia="Arial" w:cs="Arial"/>
          <w:color w:val="1D1D1B"/>
        </w:rPr>
        <w:t xml:space="preserve">22. Given that RAP is expected to continue in the future, what would you expect its </w:t>
      </w:r>
      <w:proofErr w:type="gramStart"/>
      <w:r w:rsidRPr="00F34274">
        <w:rPr>
          <w:rFonts w:eastAsia="Arial" w:cs="Arial"/>
          <w:color w:val="1D1D1B"/>
        </w:rPr>
        <w:t>lasting legacy</w:t>
      </w:r>
      <w:proofErr w:type="gramEnd"/>
      <w:r w:rsidRPr="00F34274">
        <w:rPr>
          <w:rFonts w:eastAsia="Arial" w:cs="Arial"/>
          <w:color w:val="1D1D1B"/>
        </w:rPr>
        <w:t xml:space="preserve"> to be?</w:t>
      </w:r>
    </w:p>
    <w:p w14:paraId="6643FA03"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A.1.3 Policy stakeholder interview guide</w:t>
      </w:r>
    </w:p>
    <w:p w14:paraId="58DB3CF9" w14:textId="77777777" w:rsidR="00CD60C2" w:rsidRPr="00F34274" w:rsidRDefault="00CD60C2" w:rsidP="00957DB2">
      <w:pPr>
        <w:shd w:val="clear" w:color="auto" w:fill="F2F2F2"/>
        <w:spacing w:before="240"/>
        <w:rPr>
          <w:rFonts w:eastAsia="Arial" w:cs="Arial"/>
        </w:rPr>
      </w:pPr>
      <w:bookmarkStart w:id="212" w:name="_Hlk120544551"/>
      <w:r w:rsidRPr="00F34274">
        <w:rPr>
          <w:rFonts w:eastAsia="Arial" w:cs="Arial"/>
        </w:rPr>
        <w:t>Background</w:t>
      </w:r>
      <w:bookmarkEnd w:id="212"/>
    </w:p>
    <w:p w14:paraId="6DBF0E45" w14:textId="77777777" w:rsidR="00CD60C2" w:rsidRPr="00F34274" w:rsidRDefault="00CD60C2" w:rsidP="00957DB2">
      <w:pPr>
        <w:rPr>
          <w:rFonts w:eastAsia="Arial" w:cs="Arial"/>
        </w:rPr>
      </w:pPr>
      <w:r w:rsidRPr="00F34274">
        <w:rPr>
          <w:rFonts w:eastAsia="Arial" w:cs="Arial"/>
        </w:rPr>
        <w:t>1. Can you please give a brief overview of your role?</w:t>
      </w:r>
    </w:p>
    <w:p w14:paraId="559369E5" w14:textId="77777777" w:rsidR="00CD60C2" w:rsidRPr="00F34274" w:rsidRDefault="00CD60C2" w:rsidP="00957DB2">
      <w:pPr>
        <w:rPr>
          <w:rFonts w:eastAsia="Arial" w:cs="Arial"/>
        </w:rPr>
      </w:pPr>
      <w:r w:rsidRPr="00F34274">
        <w:rPr>
          <w:rFonts w:eastAsia="Arial" w:cs="Arial"/>
        </w:rPr>
        <w:t xml:space="preserve">2. Can you describe your role in the setup and delivery of the RAP scheme? </w:t>
      </w:r>
    </w:p>
    <w:p w14:paraId="135267B6" w14:textId="77777777" w:rsidR="00CD60C2" w:rsidRPr="00F34274" w:rsidRDefault="00CD60C2" w:rsidP="00957DB2">
      <w:pPr>
        <w:shd w:val="clear" w:color="auto" w:fill="F2F2F2"/>
        <w:rPr>
          <w:rFonts w:eastAsia="Arial" w:cs="Arial"/>
        </w:rPr>
      </w:pPr>
      <w:r w:rsidRPr="00F34274">
        <w:rPr>
          <w:rFonts w:eastAsia="Arial" w:cs="Arial"/>
        </w:rPr>
        <w:t>Policy landscape</w:t>
      </w:r>
    </w:p>
    <w:p w14:paraId="5B616BB6" w14:textId="77777777" w:rsidR="00CD60C2" w:rsidRPr="00F34274" w:rsidRDefault="00CD60C2" w:rsidP="00957DB2">
      <w:pPr>
        <w:rPr>
          <w:rFonts w:eastAsia="Arial" w:cs="Arial"/>
        </w:rPr>
      </w:pPr>
      <w:r w:rsidRPr="00F34274">
        <w:rPr>
          <w:rFonts w:eastAsia="Arial" w:cs="Arial"/>
        </w:rPr>
        <w:t>3. RAP was set up following the 2017 Autumn Budget in response to research that highlighted the continued challenges faced by early-stage firms in under-funded regions of the UK in accessing finance. To what extent do you agree with the rationale at the time the scheme was set up?</w:t>
      </w:r>
    </w:p>
    <w:p w14:paraId="436E009B" w14:textId="77777777" w:rsidR="00CD60C2" w:rsidRPr="00F34274" w:rsidRDefault="00CD60C2" w:rsidP="00957DB2">
      <w:pPr>
        <w:rPr>
          <w:rFonts w:eastAsia="Arial" w:cs="Arial"/>
        </w:rPr>
      </w:pPr>
      <w:r w:rsidRPr="00F34274">
        <w:rPr>
          <w:rFonts w:eastAsia="Arial" w:cs="Arial"/>
        </w:rPr>
        <w:t>4. Can you tell us about any existing policies in 2018 that were intended to support investment in early-stage SMEs in underfunded areas in the UK?</w:t>
      </w:r>
    </w:p>
    <w:p w14:paraId="6E1A0BD4" w14:textId="77777777" w:rsidR="00CD60C2" w:rsidRPr="00F34274" w:rsidRDefault="00CD60C2" w:rsidP="00957DB2">
      <w:pPr>
        <w:rPr>
          <w:rFonts w:eastAsia="Arial" w:cs="Arial"/>
        </w:rPr>
      </w:pPr>
      <w:r w:rsidRPr="00F34274">
        <w:rPr>
          <w:rFonts w:eastAsia="Arial" w:cs="Arial"/>
        </w:rPr>
        <w:t>5. How, if at all, did RAP complement or act as a substitute for other forms of support available to investors and SMEs?</w:t>
      </w:r>
    </w:p>
    <w:p w14:paraId="7844B5D4" w14:textId="77777777" w:rsidR="00CD60C2" w:rsidRPr="00F34274" w:rsidRDefault="00CD60C2" w:rsidP="00957DB2">
      <w:pPr>
        <w:shd w:val="clear" w:color="auto" w:fill="F2F2F2"/>
        <w:rPr>
          <w:rFonts w:eastAsia="Arial" w:cs="Arial"/>
        </w:rPr>
      </w:pPr>
      <w:r w:rsidRPr="00F34274">
        <w:rPr>
          <w:rFonts w:eastAsia="Arial" w:cs="Arial"/>
        </w:rPr>
        <w:t>Design</w:t>
      </w:r>
    </w:p>
    <w:p w14:paraId="7F0082EB" w14:textId="77777777" w:rsidR="00CD60C2" w:rsidRPr="00F34274" w:rsidRDefault="00CD60C2" w:rsidP="00957DB2">
      <w:pPr>
        <w:contextualSpacing/>
        <w:rPr>
          <w:rFonts w:eastAsia="Arial" w:cs="Arial"/>
        </w:rPr>
      </w:pPr>
      <w:r w:rsidRPr="00F34274">
        <w:rPr>
          <w:rFonts w:eastAsia="Arial" w:cs="Arial"/>
        </w:rPr>
        <w:t xml:space="preserve">6. How appropriate was the design of the RAP scheme in increasing the aggregate amount of early-stage equity capital that is available to small businesses throughout the UK? </w:t>
      </w:r>
    </w:p>
    <w:p w14:paraId="51AB69C8" w14:textId="77777777" w:rsidR="00CD60C2" w:rsidRPr="00F34274" w:rsidRDefault="00CD60C2" w:rsidP="00957DB2">
      <w:pPr>
        <w:contextualSpacing/>
        <w:rPr>
          <w:rFonts w:eastAsia="Arial" w:cs="Arial"/>
        </w:rPr>
      </w:pPr>
    </w:p>
    <w:p w14:paraId="3805F39A" w14:textId="77777777" w:rsidR="00CD60C2" w:rsidRPr="00F34274" w:rsidRDefault="00CD60C2" w:rsidP="00957DB2">
      <w:pPr>
        <w:rPr>
          <w:rFonts w:eastAsia="Arial" w:cs="Arial"/>
        </w:rPr>
      </w:pPr>
      <w:r w:rsidRPr="00F34274">
        <w:rPr>
          <w:rFonts w:eastAsia="Arial" w:cs="Arial"/>
        </w:rPr>
        <w:t>7. What was the target market of businesses in your view? Did other HMG stakeholders have the same view?</w:t>
      </w:r>
    </w:p>
    <w:p w14:paraId="575F1B88" w14:textId="77777777" w:rsidR="00CD60C2" w:rsidRPr="00F34274" w:rsidRDefault="00CD60C2" w:rsidP="00957DB2">
      <w:pPr>
        <w:rPr>
          <w:rFonts w:eastAsia="Arial" w:cs="Arial"/>
        </w:rPr>
      </w:pPr>
      <w:r w:rsidRPr="00F34274">
        <w:rPr>
          <w:rFonts w:eastAsia="Arial" w:cs="Arial"/>
        </w:rPr>
        <w:t>8. What was the extent to which your department was involved in any consultations during the setup phase of RAP?</w:t>
      </w:r>
    </w:p>
    <w:p w14:paraId="76B02045" w14:textId="77777777" w:rsidR="00CD60C2" w:rsidRPr="00F34274" w:rsidRDefault="00CD60C2" w:rsidP="00957DB2">
      <w:pPr>
        <w:rPr>
          <w:rFonts w:eastAsia="Arial" w:cs="Arial"/>
        </w:rPr>
      </w:pPr>
      <w:r w:rsidRPr="00F34274">
        <w:rPr>
          <w:rFonts w:eastAsia="Arial" w:cs="Arial"/>
        </w:rPr>
        <w:t>9. Can you tell us how and to what extent the need to address regional inequities in funding factored into the decision-making process for designing the RAP scheme?</w:t>
      </w:r>
    </w:p>
    <w:p w14:paraId="5DD2FE89" w14:textId="77777777" w:rsidR="00CD60C2" w:rsidRPr="00F34274" w:rsidRDefault="00CD60C2" w:rsidP="00957DB2">
      <w:pPr>
        <w:shd w:val="clear" w:color="auto" w:fill="F2F2F2"/>
        <w:rPr>
          <w:rFonts w:eastAsia="Arial" w:cs="Arial"/>
        </w:rPr>
      </w:pPr>
      <w:r w:rsidRPr="00F34274">
        <w:rPr>
          <w:rFonts w:eastAsia="Arial" w:cs="Arial"/>
        </w:rPr>
        <w:t>Legacy of RAP</w:t>
      </w:r>
    </w:p>
    <w:p w14:paraId="027BB733" w14:textId="77777777" w:rsidR="00CD60C2" w:rsidRPr="00F34274" w:rsidRDefault="00CD60C2" w:rsidP="00957DB2">
      <w:pPr>
        <w:rPr>
          <w:rFonts w:eastAsia="Arial" w:cs="Arial"/>
        </w:rPr>
      </w:pPr>
      <w:r w:rsidRPr="00F34274">
        <w:rPr>
          <w:rFonts w:eastAsia="Arial" w:cs="Arial"/>
        </w:rPr>
        <w:t xml:space="preserve">10. What would you say are the key lessons learned from the design of RAP? </w:t>
      </w:r>
    </w:p>
    <w:p w14:paraId="5F2FC271" w14:textId="77777777" w:rsidR="00CD60C2" w:rsidRPr="00F34274" w:rsidRDefault="00CD60C2" w:rsidP="00957DB2">
      <w:pPr>
        <w:rPr>
          <w:rFonts w:eastAsia="Arial" w:cs="Arial"/>
        </w:rPr>
      </w:pPr>
      <w:r w:rsidRPr="00F34274">
        <w:rPr>
          <w:rFonts w:eastAsia="Arial" w:cs="Arial"/>
        </w:rPr>
        <w:t xml:space="preserve">11. Given that RAP is expected to continue in the future, what would you expect its </w:t>
      </w:r>
      <w:proofErr w:type="gramStart"/>
      <w:r w:rsidRPr="00F34274">
        <w:rPr>
          <w:rFonts w:eastAsia="Arial" w:cs="Arial"/>
        </w:rPr>
        <w:t>lasting legacy</w:t>
      </w:r>
      <w:proofErr w:type="gramEnd"/>
      <w:r w:rsidRPr="00F34274">
        <w:rPr>
          <w:rFonts w:eastAsia="Arial" w:cs="Arial"/>
        </w:rPr>
        <w:t xml:space="preserve"> to be?</w:t>
      </w:r>
    </w:p>
    <w:p w14:paraId="46435B9E"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A.1.4 Industry body stakeholder interview guide</w:t>
      </w:r>
    </w:p>
    <w:p w14:paraId="211EA2D4" w14:textId="77777777" w:rsidR="00CD60C2" w:rsidRPr="00F34274" w:rsidRDefault="00CD60C2" w:rsidP="00957DB2">
      <w:pPr>
        <w:shd w:val="clear" w:color="auto" w:fill="F2F2F2"/>
        <w:rPr>
          <w:rFonts w:eastAsia="Arial" w:cs="Arial"/>
          <w:color w:val="1D1D1B"/>
        </w:rPr>
      </w:pPr>
      <w:r w:rsidRPr="00F34274">
        <w:rPr>
          <w:rFonts w:eastAsia="Arial" w:cs="Arial"/>
          <w:color w:val="1D1D1B"/>
        </w:rPr>
        <w:t>Background</w:t>
      </w:r>
    </w:p>
    <w:p w14:paraId="2F595E1B" w14:textId="77777777" w:rsidR="00CD60C2" w:rsidRPr="00F34274" w:rsidRDefault="00CD60C2" w:rsidP="00957DB2">
      <w:pPr>
        <w:rPr>
          <w:rFonts w:eastAsia="Arial" w:cs="Arial"/>
          <w:color w:val="1D1D1B"/>
        </w:rPr>
      </w:pPr>
      <w:r w:rsidRPr="00F34274">
        <w:rPr>
          <w:rFonts w:eastAsia="Arial" w:cs="Arial"/>
          <w:color w:val="1D1D1B"/>
        </w:rPr>
        <w:t>1. Can you please give a brief overview of your individual role?</w:t>
      </w:r>
    </w:p>
    <w:p w14:paraId="127C0967" w14:textId="77777777" w:rsidR="00CD60C2" w:rsidRPr="00F34274" w:rsidRDefault="00CD60C2" w:rsidP="00957DB2">
      <w:pPr>
        <w:shd w:val="clear" w:color="auto" w:fill="F2F2F2"/>
        <w:rPr>
          <w:rFonts w:eastAsia="Arial" w:cs="Arial"/>
          <w:color w:val="1D1D1B"/>
        </w:rPr>
      </w:pPr>
      <w:r w:rsidRPr="00F34274">
        <w:rPr>
          <w:rFonts w:eastAsia="Arial" w:cs="Arial"/>
          <w:color w:val="1D1D1B"/>
        </w:rPr>
        <w:t>Awareness of RAP and uptake with membership</w:t>
      </w:r>
    </w:p>
    <w:p w14:paraId="3B8174DB" w14:textId="77777777" w:rsidR="00CD60C2" w:rsidRPr="00F34274" w:rsidRDefault="00CD60C2" w:rsidP="00957DB2">
      <w:pPr>
        <w:rPr>
          <w:rFonts w:eastAsia="Arial" w:cs="Arial"/>
          <w:color w:val="1D1D1B"/>
        </w:rPr>
      </w:pPr>
      <w:r w:rsidRPr="00F34274">
        <w:rPr>
          <w:rFonts w:eastAsia="Arial" w:cs="Arial"/>
          <w:color w:val="1D1D1B"/>
        </w:rPr>
        <w:t xml:space="preserve">2. Have you heard about the British Business Investments RAP scheme? </w:t>
      </w:r>
    </w:p>
    <w:p w14:paraId="706CD77D" w14:textId="77777777" w:rsidR="00CD60C2" w:rsidRPr="00F34274" w:rsidRDefault="00CD60C2" w:rsidP="00957DB2">
      <w:pPr>
        <w:rPr>
          <w:rFonts w:eastAsia="Arial" w:cs="Arial"/>
          <w:color w:val="1D1D1B"/>
        </w:rPr>
      </w:pPr>
      <w:r w:rsidRPr="00F34274">
        <w:rPr>
          <w:rFonts w:eastAsia="Arial" w:cs="Arial"/>
          <w:color w:val="1D1D1B"/>
        </w:rPr>
        <w:t xml:space="preserve">3. How aware were your membership of the RAP scheme? </w:t>
      </w:r>
    </w:p>
    <w:p w14:paraId="1A93BFC3" w14:textId="77777777" w:rsidR="00CD60C2" w:rsidRPr="00F34274" w:rsidRDefault="00CD60C2" w:rsidP="00957DB2">
      <w:pPr>
        <w:rPr>
          <w:rFonts w:eastAsia="Arial" w:cs="Arial"/>
          <w:color w:val="1D1D1B"/>
        </w:rPr>
      </w:pPr>
      <w:r w:rsidRPr="00F34274">
        <w:rPr>
          <w:rFonts w:eastAsia="Arial" w:cs="Arial"/>
          <w:color w:val="1D1D1B"/>
        </w:rPr>
        <w:t xml:space="preserve">4. How effectively did BEIS / British Business Investments engage with industry stakeholders (Chambers of commerce, Angel Associations etc) in terms of: </w:t>
      </w:r>
    </w:p>
    <w:p w14:paraId="31305E4D" w14:textId="77777777" w:rsidR="00CD60C2" w:rsidRPr="00F34274" w:rsidRDefault="00CD60C2" w:rsidP="00491364">
      <w:pPr>
        <w:numPr>
          <w:ilvl w:val="0"/>
          <w:numId w:val="50"/>
        </w:numPr>
        <w:contextualSpacing/>
        <w:rPr>
          <w:rFonts w:eastAsia="Calibri" w:cs="Arial"/>
          <w:color w:val="1D1D1B"/>
          <w:sz w:val="22"/>
          <w:szCs w:val="24"/>
        </w:rPr>
      </w:pPr>
      <w:r w:rsidRPr="00F34274">
        <w:rPr>
          <w:rFonts w:eastAsia="Calibri" w:cs="Arial"/>
          <w:color w:val="1D1D1B"/>
          <w:szCs w:val="24"/>
        </w:rPr>
        <w:t xml:space="preserve">Market engagement with industry and investors both before RAP scheme launch and over the course of its </w:t>
      </w:r>
      <w:proofErr w:type="gramStart"/>
      <w:r w:rsidRPr="00F34274">
        <w:rPr>
          <w:rFonts w:eastAsia="Calibri" w:cs="Arial"/>
          <w:color w:val="1D1D1B"/>
          <w:szCs w:val="24"/>
        </w:rPr>
        <w:t>delivery?</w:t>
      </w:r>
      <w:proofErr w:type="gramEnd"/>
      <w:r w:rsidRPr="00F34274">
        <w:rPr>
          <w:rFonts w:eastAsia="Calibri" w:cs="Arial"/>
          <w:color w:val="1D1D1B"/>
          <w:szCs w:val="24"/>
        </w:rPr>
        <w:t xml:space="preserve"> </w:t>
      </w:r>
    </w:p>
    <w:p w14:paraId="279E8E3C" w14:textId="77777777" w:rsidR="00CD60C2" w:rsidRPr="00F34274" w:rsidRDefault="00CD60C2" w:rsidP="00491364">
      <w:pPr>
        <w:numPr>
          <w:ilvl w:val="0"/>
          <w:numId w:val="50"/>
        </w:numPr>
        <w:contextualSpacing/>
        <w:rPr>
          <w:rFonts w:eastAsia="Calibri" w:cs="Arial"/>
          <w:color w:val="1D1D1B"/>
          <w:sz w:val="22"/>
          <w:szCs w:val="24"/>
        </w:rPr>
      </w:pPr>
      <w:r w:rsidRPr="00F34274">
        <w:rPr>
          <w:rFonts w:eastAsia="Calibri" w:cs="Arial"/>
          <w:color w:val="1D1D1B"/>
          <w:szCs w:val="24"/>
        </w:rPr>
        <w:t xml:space="preserve">Raising awareness of the scheme amongst the investment community? </w:t>
      </w:r>
    </w:p>
    <w:p w14:paraId="08C35A9C" w14:textId="77777777" w:rsidR="00CD60C2" w:rsidRPr="00F34274" w:rsidRDefault="00CD60C2" w:rsidP="00491364">
      <w:pPr>
        <w:numPr>
          <w:ilvl w:val="0"/>
          <w:numId w:val="50"/>
        </w:numPr>
        <w:contextualSpacing/>
        <w:rPr>
          <w:rFonts w:eastAsia="Calibri" w:cs="Arial"/>
          <w:color w:val="1D1D1B"/>
          <w:sz w:val="22"/>
          <w:szCs w:val="24"/>
        </w:rPr>
      </w:pPr>
      <w:r w:rsidRPr="00F34274">
        <w:rPr>
          <w:rFonts w:eastAsia="Calibri" w:cs="Arial"/>
          <w:color w:val="1D1D1B"/>
          <w:szCs w:val="24"/>
        </w:rPr>
        <w:t xml:space="preserve">Providing clarity regarding the application process </w:t>
      </w:r>
    </w:p>
    <w:p w14:paraId="4977B8BC" w14:textId="77777777" w:rsidR="00CD60C2" w:rsidRPr="00F34274" w:rsidRDefault="00CD60C2" w:rsidP="00957DB2">
      <w:pPr>
        <w:rPr>
          <w:rFonts w:eastAsia="Arial" w:cs="Arial"/>
          <w:color w:val="1D1D1B"/>
        </w:rPr>
      </w:pPr>
      <w:r w:rsidRPr="00F34274">
        <w:rPr>
          <w:rFonts w:eastAsia="Arial" w:cs="Arial"/>
          <w:color w:val="1D1D1B"/>
        </w:rPr>
        <w:t>5. How does RAP compare to other government-backed schemes that were/are available to your members?</w:t>
      </w:r>
    </w:p>
    <w:p w14:paraId="10F6E8A1" w14:textId="77777777" w:rsidR="00CD60C2" w:rsidRPr="00F34274" w:rsidRDefault="00CD60C2" w:rsidP="00957DB2">
      <w:pPr>
        <w:shd w:val="clear" w:color="auto" w:fill="F2F2F2"/>
        <w:rPr>
          <w:rFonts w:eastAsia="Arial" w:cs="Arial"/>
          <w:color w:val="1D1D1B"/>
        </w:rPr>
      </w:pPr>
      <w:r w:rsidRPr="00F34274">
        <w:rPr>
          <w:rFonts w:eastAsia="Arial" w:cs="Arial"/>
          <w:color w:val="1D1D1B"/>
        </w:rPr>
        <w:t>Feedback on RAP design</w:t>
      </w:r>
    </w:p>
    <w:p w14:paraId="6B472447" w14:textId="0F4D07B6" w:rsidR="00CD60C2" w:rsidRPr="00F34274" w:rsidRDefault="00CD60C2" w:rsidP="00957DB2">
      <w:pPr>
        <w:rPr>
          <w:rFonts w:eastAsia="Arial" w:cs="Arial"/>
          <w:color w:val="1D1D1B"/>
        </w:rPr>
      </w:pPr>
      <w:r w:rsidRPr="00F34274">
        <w:rPr>
          <w:rFonts w:eastAsia="Arial" w:cs="Arial"/>
          <w:color w:val="1D1D1B"/>
        </w:rPr>
        <w:lastRenderedPageBreak/>
        <w:t xml:space="preserve">6. Can you share any reflections on how appropriate the overall design of the RAP scheme was in increasing availability of finance to small and </w:t>
      </w:r>
      <w:r w:rsidR="00807BA0" w:rsidRPr="00F34274">
        <w:rPr>
          <w:rFonts w:eastAsia="Arial" w:cs="Arial"/>
          <w:color w:val="1D1D1B"/>
        </w:rPr>
        <w:t>early-stage</w:t>
      </w:r>
      <w:r w:rsidRPr="00F34274">
        <w:rPr>
          <w:rFonts w:eastAsia="Arial" w:cs="Arial"/>
          <w:color w:val="1D1D1B"/>
        </w:rPr>
        <w:t xml:space="preserve"> businesses in under-funded regions?</w:t>
      </w:r>
    </w:p>
    <w:p w14:paraId="2347B60D" w14:textId="77777777" w:rsidR="00CD60C2" w:rsidRPr="00F34274" w:rsidRDefault="00CD60C2" w:rsidP="00957DB2">
      <w:pPr>
        <w:shd w:val="clear" w:color="auto" w:fill="F2F2F2"/>
        <w:rPr>
          <w:rFonts w:eastAsia="Arial" w:cs="Arial"/>
          <w:color w:val="1D1D1B"/>
        </w:rPr>
      </w:pPr>
      <w:r w:rsidRPr="00F34274">
        <w:rPr>
          <w:rFonts w:eastAsia="Arial" w:cs="Arial"/>
          <w:color w:val="1D1D1B"/>
        </w:rPr>
        <w:t>Experience of investors with RAP</w:t>
      </w:r>
    </w:p>
    <w:p w14:paraId="111FC6C0" w14:textId="77777777" w:rsidR="00CD60C2" w:rsidRPr="00F34274" w:rsidRDefault="00CD60C2" w:rsidP="00957DB2">
      <w:pPr>
        <w:rPr>
          <w:rFonts w:eastAsia="Arial" w:cs="Arial"/>
          <w:color w:val="1D1D1B"/>
        </w:rPr>
      </w:pPr>
      <w:r w:rsidRPr="00F34274">
        <w:rPr>
          <w:rFonts w:eastAsia="Arial" w:cs="Arial"/>
          <w:color w:val="1D1D1B"/>
        </w:rPr>
        <w:t xml:space="preserve">8. What other competing sources of funding are available to your members compared to RAP? Please explain. </w:t>
      </w:r>
    </w:p>
    <w:p w14:paraId="0B1865CE" w14:textId="77777777" w:rsidR="00CD60C2" w:rsidRPr="00F34274" w:rsidRDefault="00CD60C2" w:rsidP="00957DB2">
      <w:pPr>
        <w:rPr>
          <w:rFonts w:eastAsia="Arial" w:cs="Arial"/>
          <w:color w:val="1D1D1B"/>
        </w:rPr>
      </w:pPr>
      <w:r w:rsidRPr="00F34274">
        <w:rPr>
          <w:rFonts w:eastAsia="Arial" w:cs="Arial"/>
          <w:color w:val="1D1D1B"/>
        </w:rPr>
        <w:t>9. Based on your understanding of the design of the scheme, would you say RAP improved investment outcomes for investors and SMEs?</w:t>
      </w:r>
    </w:p>
    <w:p w14:paraId="42065033" w14:textId="77777777" w:rsidR="00CD60C2" w:rsidRPr="00F34274" w:rsidRDefault="00CD60C2" w:rsidP="00957DB2">
      <w:pPr>
        <w:rPr>
          <w:rFonts w:eastAsia="Arial" w:cs="Arial"/>
          <w:color w:val="1D1D1B"/>
        </w:rPr>
      </w:pPr>
      <w:r w:rsidRPr="00F34274">
        <w:rPr>
          <w:rFonts w:eastAsia="Arial" w:cs="Arial"/>
          <w:color w:val="1D1D1B"/>
        </w:rPr>
        <w:t xml:space="preserve">10. Do you think that RAP runs the risk of displacing other investment/fund manager activity? </w:t>
      </w:r>
    </w:p>
    <w:p w14:paraId="073F8F7E" w14:textId="77777777" w:rsidR="00CD60C2" w:rsidRPr="00F34274" w:rsidRDefault="00CD60C2" w:rsidP="00957DB2">
      <w:pPr>
        <w:shd w:val="clear" w:color="auto" w:fill="F2F2F2"/>
        <w:rPr>
          <w:rFonts w:eastAsia="Arial" w:cs="Arial"/>
          <w:color w:val="1D1D1B"/>
        </w:rPr>
      </w:pPr>
      <w:r w:rsidRPr="00F34274">
        <w:rPr>
          <w:rFonts w:eastAsia="Arial" w:cs="Arial"/>
          <w:color w:val="1D1D1B"/>
        </w:rPr>
        <w:t>Legacy of RAP</w:t>
      </w:r>
    </w:p>
    <w:p w14:paraId="2C709BE2" w14:textId="77777777" w:rsidR="00CD60C2" w:rsidRPr="00F34274" w:rsidRDefault="00CD60C2" w:rsidP="00957DB2">
      <w:pPr>
        <w:rPr>
          <w:rFonts w:eastAsia="Arial" w:cs="Arial"/>
          <w:color w:val="1D1D1B"/>
        </w:rPr>
      </w:pPr>
      <w:r w:rsidRPr="00F34274">
        <w:rPr>
          <w:rFonts w:eastAsia="Arial" w:cs="Arial"/>
          <w:color w:val="1D1D1B"/>
        </w:rPr>
        <w:t>11. Thinking about the wider angel investing landscape, do you feel that RAP has encouraged other investors to take risks/invest in patient capital?</w:t>
      </w:r>
    </w:p>
    <w:p w14:paraId="7718EF09" w14:textId="77777777" w:rsidR="00CD60C2" w:rsidRPr="00F34274" w:rsidRDefault="00CD60C2" w:rsidP="00957DB2">
      <w:pPr>
        <w:rPr>
          <w:rFonts w:eastAsia="Arial" w:cs="Arial"/>
          <w:color w:val="1D1D1B"/>
        </w:rPr>
      </w:pPr>
      <w:r w:rsidRPr="00F34274">
        <w:rPr>
          <w:rFonts w:eastAsia="Arial" w:cs="Arial"/>
          <w:color w:val="1D1D1B"/>
        </w:rPr>
        <w:t>12. If another scheme like RAP was offered in the future, would you consider signposting to your membership?</w:t>
      </w:r>
    </w:p>
    <w:p w14:paraId="1297267B" w14:textId="77777777" w:rsidR="00CD60C2" w:rsidRPr="00F34274" w:rsidRDefault="00CD60C2" w:rsidP="00957DB2">
      <w:pPr>
        <w:rPr>
          <w:rFonts w:eastAsia="Arial" w:cs="Arial"/>
          <w:color w:val="1D1D1B"/>
        </w:rPr>
      </w:pPr>
      <w:r w:rsidRPr="00F34274">
        <w:rPr>
          <w:rFonts w:eastAsia="Arial" w:cs="Arial"/>
          <w:color w:val="1D1D1B"/>
        </w:rPr>
        <w:t xml:space="preserve">13. Given that RAP is expected to continue in the future, what would you expect its </w:t>
      </w:r>
      <w:proofErr w:type="gramStart"/>
      <w:r w:rsidRPr="00F34274">
        <w:rPr>
          <w:rFonts w:eastAsia="Arial" w:cs="Arial"/>
          <w:color w:val="1D1D1B"/>
        </w:rPr>
        <w:t>lasting legacy</w:t>
      </w:r>
      <w:proofErr w:type="gramEnd"/>
      <w:r w:rsidRPr="00F34274">
        <w:rPr>
          <w:rFonts w:eastAsia="Arial" w:cs="Arial"/>
          <w:color w:val="1D1D1B"/>
        </w:rPr>
        <w:t xml:space="preserve"> to be?</w:t>
      </w:r>
    </w:p>
    <w:p w14:paraId="4BABFA0D"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 xml:space="preserve">A.1.5 </w:t>
      </w:r>
      <w:proofErr w:type="gramStart"/>
      <w:r w:rsidRPr="00F34274">
        <w:rPr>
          <w:rFonts w:eastAsia="SimHei" w:cs="Arial"/>
          <w:b/>
          <w:color w:val="1D1D1B"/>
        </w:rPr>
        <w:t>Non-Applicant</w:t>
      </w:r>
      <w:proofErr w:type="gramEnd"/>
      <w:r w:rsidRPr="00F34274">
        <w:rPr>
          <w:rFonts w:eastAsia="SimHei" w:cs="Arial"/>
          <w:b/>
          <w:color w:val="1D1D1B"/>
        </w:rPr>
        <w:t xml:space="preserve"> interview guide</w:t>
      </w:r>
    </w:p>
    <w:p w14:paraId="1FA4957F" w14:textId="77777777" w:rsidR="00CD60C2" w:rsidRPr="00F34274" w:rsidRDefault="00CD60C2" w:rsidP="00957DB2">
      <w:pPr>
        <w:shd w:val="clear" w:color="auto" w:fill="F2F2F2"/>
        <w:rPr>
          <w:rFonts w:eastAsia="Arial" w:cs="Arial"/>
          <w:color w:val="1D1D1B"/>
        </w:rPr>
      </w:pPr>
      <w:r w:rsidRPr="00F34274">
        <w:rPr>
          <w:rFonts w:eastAsia="Arial" w:cs="Arial"/>
          <w:color w:val="1D1D1B"/>
        </w:rPr>
        <w:t>Background</w:t>
      </w:r>
    </w:p>
    <w:p w14:paraId="0807FBA3" w14:textId="77777777" w:rsidR="00CD60C2" w:rsidRPr="00F34274" w:rsidRDefault="00CD60C2" w:rsidP="00957DB2">
      <w:pPr>
        <w:rPr>
          <w:rFonts w:eastAsia="Arial" w:cs="Arial"/>
          <w:color w:val="1D1D1B"/>
        </w:rPr>
      </w:pPr>
      <w:r w:rsidRPr="00F34274">
        <w:rPr>
          <w:rFonts w:eastAsia="Arial" w:cs="Arial"/>
          <w:color w:val="1D1D1B"/>
        </w:rPr>
        <w:t>1. Can you please give a brief overview of your syndicate?</w:t>
      </w:r>
    </w:p>
    <w:p w14:paraId="354D4F2B" w14:textId="77777777" w:rsidR="00CD60C2" w:rsidRPr="00F34274" w:rsidRDefault="00CD60C2" w:rsidP="00957DB2">
      <w:pPr>
        <w:rPr>
          <w:rFonts w:eastAsia="Arial" w:cs="Arial"/>
          <w:color w:val="1D1D1B"/>
        </w:rPr>
      </w:pPr>
      <w:r w:rsidRPr="00F34274">
        <w:rPr>
          <w:rFonts w:eastAsia="Arial" w:cs="Arial"/>
          <w:color w:val="1D1D1B"/>
        </w:rPr>
        <w:t xml:space="preserve">2. Can you tell us about your track record/experience of angel investing, with a focus on equity investments in SMEs? </w:t>
      </w:r>
    </w:p>
    <w:p w14:paraId="71E2EBE0" w14:textId="77777777" w:rsidR="00CD60C2" w:rsidRPr="00F34274" w:rsidRDefault="00CD60C2" w:rsidP="00957DB2">
      <w:pPr>
        <w:rPr>
          <w:rFonts w:eastAsia="Arial" w:cs="Arial"/>
          <w:color w:val="1D1D1B"/>
        </w:rPr>
      </w:pPr>
      <w:r w:rsidRPr="00F34274">
        <w:rPr>
          <w:rFonts w:eastAsia="Arial" w:cs="Arial"/>
          <w:color w:val="1D1D1B"/>
        </w:rPr>
        <w:t xml:space="preserve">3. Have you heard about the British Business Investments RAP scheme? Have you heard of other schemes </w:t>
      </w:r>
      <w:proofErr w:type="gramStart"/>
      <w:r w:rsidRPr="00F34274">
        <w:rPr>
          <w:rFonts w:eastAsia="Arial" w:cs="Arial"/>
          <w:color w:val="1D1D1B"/>
        </w:rPr>
        <w:t>similar to</w:t>
      </w:r>
      <w:proofErr w:type="gramEnd"/>
      <w:r w:rsidRPr="00F34274">
        <w:rPr>
          <w:rFonts w:eastAsia="Arial" w:cs="Arial"/>
          <w:color w:val="1D1D1B"/>
        </w:rPr>
        <w:t xml:space="preserve"> RAP?</w:t>
      </w:r>
    </w:p>
    <w:p w14:paraId="297FE69D" w14:textId="77777777" w:rsidR="00CD60C2" w:rsidRPr="00F34274" w:rsidRDefault="00CD60C2" w:rsidP="00957DB2">
      <w:pPr>
        <w:rPr>
          <w:rFonts w:eastAsia="Arial" w:cs="Arial"/>
          <w:color w:val="1D1D1B"/>
        </w:rPr>
      </w:pPr>
      <w:r w:rsidRPr="00F34274">
        <w:rPr>
          <w:rFonts w:eastAsia="Arial" w:cs="Arial"/>
          <w:color w:val="1D1D1B"/>
        </w:rPr>
        <w:t>[IF NO TO Q3 PROMPT AND THEN GO TO Q5]</w:t>
      </w:r>
    </w:p>
    <w:p w14:paraId="2ABEE0CA" w14:textId="77777777" w:rsidR="00CD60C2" w:rsidRPr="00F34274" w:rsidRDefault="00CD60C2" w:rsidP="00957DB2">
      <w:pPr>
        <w:rPr>
          <w:rFonts w:eastAsia="Arial" w:cs="Arial"/>
          <w:color w:val="1D1D1B"/>
        </w:rPr>
      </w:pPr>
      <w:r w:rsidRPr="00F34274">
        <w:rPr>
          <w:rFonts w:eastAsia="Arial" w:cs="Arial"/>
          <w:color w:val="1D1D1B"/>
        </w:rPr>
        <w:t>[IF YES TO Q3]</w:t>
      </w:r>
    </w:p>
    <w:p w14:paraId="77C2715B" w14:textId="77777777" w:rsidR="00CD60C2" w:rsidRPr="00F34274" w:rsidRDefault="00CD60C2" w:rsidP="00957DB2">
      <w:pPr>
        <w:rPr>
          <w:rFonts w:eastAsia="Arial" w:cs="Arial"/>
          <w:color w:val="1D1D1B"/>
        </w:rPr>
      </w:pPr>
      <w:r w:rsidRPr="00F34274">
        <w:rPr>
          <w:rFonts w:eastAsia="Arial" w:cs="Arial"/>
          <w:color w:val="1D1D1B"/>
        </w:rPr>
        <w:lastRenderedPageBreak/>
        <w:t>4. Did you apply or consider applying to the scheme?</w:t>
      </w:r>
    </w:p>
    <w:p w14:paraId="7983B74D" w14:textId="77777777" w:rsidR="00CD60C2" w:rsidRPr="00F34274" w:rsidRDefault="00CD60C2" w:rsidP="00957DB2">
      <w:pPr>
        <w:rPr>
          <w:rFonts w:eastAsia="Arial" w:cs="Arial"/>
          <w:color w:val="1D1D1B"/>
        </w:rPr>
      </w:pPr>
      <w:r w:rsidRPr="00F34274">
        <w:rPr>
          <w:rFonts w:eastAsia="Arial" w:cs="Arial"/>
          <w:color w:val="1D1D1B"/>
        </w:rPr>
        <w:t>[IF YES TO Q4 – TERMINATE THE INTERVIEW]</w:t>
      </w:r>
    </w:p>
    <w:p w14:paraId="4D1BFFEE" w14:textId="77777777" w:rsidR="00CD60C2" w:rsidRPr="00F34274" w:rsidRDefault="00CD60C2" w:rsidP="00957DB2">
      <w:pPr>
        <w:rPr>
          <w:rFonts w:eastAsia="Arial" w:cs="Arial"/>
          <w:color w:val="1D1D1B"/>
        </w:rPr>
      </w:pPr>
      <w:r w:rsidRPr="00F34274">
        <w:rPr>
          <w:rFonts w:eastAsia="Arial" w:cs="Arial"/>
          <w:color w:val="1D1D1B"/>
        </w:rPr>
        <w:t>[IF NO TO Q4]</w:t>
      </w:r>
    </w:p>
    <w:p w14:paraId="46362A26" w14:textId="77777777" w:rsidR="00CD60C2" w:rsidRPr="00F34274" w:rsidRDefault="00CD60C2" w:rsidP="00957DB2">
      <w:pPr>
        <w:rPr>
          <w:rFonts w:eastAsia="Arial" w:cs="Arial"/>
          <w:color w:val="1D1D1B"/>
        </w:rPr>
      </w:pPr>
      <w:r w:rsidRPr="00F34274">
        <w:rPr>
          <w:rFonts w:eastAsia="Arial" w:cs="Arial"/>
          <w:color w:val="1D1D1B"/>
        </w:rPr>
        <w:t>4a. Why did you decide not to proceed with the application?</w:t>
      </w:r>
    </w:p>
    <w:p w14:paraId="26FBC1BB" w14:textId="77777777" w:rsidR="00CD60C2" w:rsidRPr="00F34274" w:rsidRDefault="00CD60C2" w:rsidP="00957DB2">
      <w:pPr>
        <w:rPr>
          <w:rFonts w:eastAsia="Arial" w:cs="Arial"/>
          <w:color w:val="1D1D1B"/>
        </w:rPr>
      </w:pPr>
      <w:r w:rsidRPr="00F34274">
        <w:rPr>
          <w:rFonts w:eastAsia="Arial" w:cs="Arial"/>
          <w:color w:val="1D1D1B"/>
        </w:rPr>
        <w:t>5. Have you previously used any other government-backed schemes after October 2018?</w:t>
      </w:r>
    </w:p>
    <w:p w14:paraId="2343F92E" w14:textId="77777777" w:rsidR="00CD60C2" w:rsidRPr="00F34274" w:rsidRDefault="00CD60C2" w:rsidP="00957DB2">
      <w:pPr>
        <w:rPr>
          <w:rFonts w:eastAsia="Arial" w:cs="Arial"/>
          <w:color w:val="1D1D1B"/>
        </w:rPr>
      </w:pPr>
      <w:r w:rsidRPr="00F34274">
        <w:rPr>
          <w:rFonts w:eastAsia="Arial" w:cs="Arial"/>
          <w:color w:val="1D1D1B"/>
        </w:rPr>
        <w:t>6. Have recent economic events like Covid/cost of living crisis/fiscal instability prompted you to look to these government backed schemes?</w:t>
      </w:r>
    </w:p>
    <w:p w14:paraId="01BB0FD0"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[ALL] Experience of investing in </w:t>
      </w:r>
      <w:proofErr w:type="gramStart"/>
      <w:r w:rsidRPr="00F34274">
        <w:rPr>
          <w:rFonts w:eastAsia="Arial" w:cs="Arial"/>
          <w:color w:val="1D1D1B"/>
        </w:rPr>
        <w:t>SMEs</w:t>
      </w:r>
      <w:proofErr w:type="gramEnd"/>
    </w:p>
    <w:p w14:paraId="005A5796" w14:textId="77777777" w:rsidR="00CD60C2" w:rsidRPr="00F34274" w:rsidRDefault="00CD60C2" w:rsidP="00957DB2">
      <w:pPr>
        <w:rPr>
          <w:rFonts w:eastAsia="Arial" w:cs="Arial"/>
          <w:color w:val="1D1D1B"/>
        </w:rPr>
      </w:pPr>
      <w:r w:rsidRPr="00F34274">
        <w:rPr>
          <w:rFonts w:eastAsia="Arial" w:cs="Arial"/>
          <w:color w:val="1D1D1B"/>
        </w:rPr>
        <w:t>9. Thinking about your overall portfolio, can you describe at what stage companies are usually at when you invest in them?</w:t>
      </w:r>
    </w:p>
    <w:p w14:paraId="24DED1BD" w14:textId="77777777" w:rsidR="00CD60C2" w:rsidRPr="00F34274" w:rsidRDefault="00CD60C2" w:rsidP="00957DB2">
      <w:pPr>
        <w:rPr>
          <w:rFonts w:eastAsia="Arial" w:cs="Arial"/>
          <w:color w:val="1D1D1B"/>
        </w:rPr>
      </w:pPr>
      <w:r w:rsidRPr="00F34274">
        <w:rPr>
          <w:rFonts w:eastAsia="Arial" w:cs="Arial"/>
          <w:color w:val="1D1D1B"/>
        </w:rPr>
        <w:t>10. Can you describe your experience of making investments in SMEs, particularly those in the early stages of growth?</w:t>
      </w:r>
    </w:p>
    <w:p w14:paraId="13210BA3" w14:textId="77777777" w:rsidR="00CD60C2" w:rsidRPr="00F34274" w:rsidRDefault="00CD60C2" w:rsidP="00957DB2">
      <w:pPr>
        <w:rPr>
          <w:rFonts w:eastAsia="Arial" w:cs="Arial"/>
          <w:color w:val="1D1D1B"/>
        </w:rPr>
      </w:pPr>
      <w:r w:rsidRPr="00F34274">
        <w:rPr>
          <w:rFonts w:eastAsia="Arial" w:cs="Arial"/>
          <w:color w:val="1D1D1B"/>
        </w:rPr>
        <w:t>11. Thinking about your current portfolio, can you describe how SMEs intended to use the investment and if this changed once you provided the funding?</w:t>
      </w:r>
    </w:p>
    <w:p w14:paraId="75C81679" w14:textId="77777777" w:rsidR="00CD60C2" w:rsidRPr="00F34274" w:rsidRDefault="00CD60C2" w:rsidP="00957DB2">
      <w:pPr>
        <w:rPr>
          <w:rFonts w:eastAsia="Arial" w:cs="Arial"/>
          <w:color w:val="1D1D1B"/>
        </w:rPr>
      </w:pPr>
      <w:r w:rsidRPr="00F34274">
        <w:rPr>
          <w:rFonts w:eastAsia="Arial" w:cs="Arial"/>
          <w:color w:val="1D1D1B"/>
        </w:rPr>
        <w:t xml:space="preserve">11a. Which of the following would be the main activities that companies in your portfolio engaged in after they received the funding? </w:t>
      </w:r>
    </w:p>
    <w:p w14:paraId="18130AE2" w14:textId="77777777" w:rsidR="00CD60C2" w:rsidRPr="00F34274" w:rsidRDefault="00CD60C2" w:rsidP="00957DB2">
      <w:pPr>
        <w:rPr>
          <w:rFonts w:eastAsia="Arial" w:cs="Arial"/>
          <w:color w:val="1D1D1B"/>
        </w:rPr>
      </w:pPr>
      <w:r w:rsidRPr="00F34274">
        <w:rPr>
          <w:rFonts w:eastAsia="Arial" w:cs="Arial"/>
          <w:color w:val="1D1D1B"/>
        </w:rPr>
        <w:t xml:space="preserve">12. Can you tell us about any factors that would help make you/your syndicate consider investing in or investing more in early-stage SMEs? </w:t>
      </w:r>
    </w:p>
    <w:p w14:paraId="2D953B5F" w14:textId="77777777" w:rsidR="00CD60C2" w:rsidRPr="00F34274" w:rsidRDefault="00CD60C2" w:rsidP="00957DB2">
      <w:pPr>
        <w:rPr>
          <w:rFonts w:eastAsia="Arial" w:cs="Arial"/>
          <w:color w:val="1D1D1B"/>
        </w:rPr>
      </w:pPr>
      <w:r w:rsidRPr="00F34274">
        <w:rPr>
          <w:rFonts w:eastAsia="Arial" w:cs="Arial"/>
          <w:color w:val="1D1D1B"/>
        </w:rPr>
        <w:t xml:space="preserve">13. Can you tell us if there is any type of government-backed scheme that which would encourage you to invest in regional enterprises (outside of London and the </w:t>
      </w:r>
      <w:proofErr w:type="gramStart"/>
      <w:r w:rsidRPr="00F34274">
        <w:rPr>
          <w:rFonts w:eastAsia="Arial" w:cs="Arial"/>
          <w:color w:val="1D1D1B"/>
        </w:rPr>
        <w:t>South East</w:t>
      </w:r>
      <w:proofErr w:type="gramEnd"/>
      <w:r w:rsidRPr="00F34274">
        <w:rPr>
          <w:rFonts w:eastAsia="Arial" w:cs="Arial"/>
          <w:color w:val="1D1D1B"/>
        </w:rPr>
        <w:t>) you would not have otherwise?</w:t>
      </w:r>
    </w:p>
    <w:p w14:paraId="511378FD"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Impact of investments </w:t>
      </w:r>
    </w:p>
    <w:p w14:paraId="731554B4" w14:textId="77777777" w:rsidR="00CD60C2" w:rsidRPr="00F34274" w:rsidRDefault="00CD60C2" w:rsidP="00957DB2">
      <w:pPr>
        <w:rPr>
          <w:rFonts w:eastAsia="Arial" w:cs="Arial"/>
          <w:color w:val="1D1D1B"/>
        </w:rPr>
      </w:pPr>
      <w:r w:rsidRPr="00F34274">
        <w:rPr>
          <w:rFonts w:eastAsia="Arial" w:cs="Arial"/>
          <w:color w:val="1D1D1B"/>
        </w:rPr>
        <w:t>14. Based on your experience of angel investing/patient capital, could you suggest some ways the government could support investment outcomes for SMEs in underfunded areas through investors like yourself?</w:t>
      </w:r>
    </w:p>
    <w:p w14:paraId="145F7295"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[IF YES TO Q4] Legacy of RAP </w:t>
      </w:r>
    </w:p>
    <w:p w14:paraId="2CBB74E7" w14:textId="77777777" w:rsidR="00CD60C2" w:rsidRPr="00F34274" w:rsidRDefault="00CD60C2" w:rsidP="00957DB2">
      <w:pPr>
        <w:rPr>
          <w:rFonts w:eastAsia="Arial" w:cs="Arial"/>
          <w:color w:val="1D1D1B"/>
        </w:rPr>
      </w:pPr>
      <w:r w:rsidRPr="00F34274">
        <w:rPr>
          <w:rFonts w:eastAsia="Arial" w:cs="Arial"/>
          <w:color w:val="1D1D1B"/>
        </w:rPr>
        <w:lastRenderedPageBreak/>
        <w:t xml:space="preserve">15. Thinking about the wider angel investing landscape, do you feel that RAP, or similar government schemes, has encouraged other investors to take risks/invest in patient capital in the </w:t>
      </w:r>
      <w:proofErr w:type="gramStart"/>
      <w:r w:rsidRPr="00F34274">
        <w:rPr>
          <w:rFonts w:eastAsia="Arial" w:cs="Arial"/>
          <w:color w:val="1D1D1B"/>
        </w:rPr>
        <w:t>long-run</w:t>
      </w:r>
      <w:proofErr w:type="gramEnd"/>
      <w:r w:rsidRPr="00F34274">
        <w:rPr>
          <w:rFonts w:eastAsia="Arial" w:cs="Arial"/>
          <w:color w:val="1D1D1B"/>
        </w:rPr>
        <w:t>?</w:t>
      </w:r>
    </w:p>
    <w:p w14:paraId="2E80934B" w14:textId="77777777" w:rsidR="00CD60C2" w:rsidRPr="00F34274" w:rsidRDefault="00CD60C2" w:rsidP="00957DB2">
      <w:pPr>
        <w:rPr>
          <w:rFonts w:eastAsia="Arial" w:cs="Arial"/>
          <w:color w:val="1D1D1B"/>
        </w:rPr>
      </w:pPr>
      <w:r w:rsidRPr="00F34274">
        <w:rPr>
          <w:rFonts w:eastAsia="Arial" w:cs="Arial"/>
          <w:color w:val="1D1D1B"/>
        </w:rPr>
        <w:t>16. What do you think the long-run funding ecosystem will look like for early-stage SMEs in the future?</w:t>
      </w:r>
    </w:p>
    <w:p w14:paraId="159F61C4"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A.1.6 RAP unsuccessful Applicant interview guide</w:t>
      </w:r>
    </w:p>
    <w:p w14:paraId="1E76548D" w14:textId="77777777" w:rsidR="00CD60C2" w:rsidRPr="00F34274" w:rsidRDefault="00CD60C2" w:rsidP="00957DB2">
      <w:pPr>
        <w:shd w:val="clear" w:color="auto" w:fill="F2F2F2"/>
        <w:rPr>
          <w:rFonts w:eastAsia="Arial" w:cs="Arial"/>
          <w:color w:val="1D1D1B"/>
        </w:rPr>
      </w:pPr>
      <w:r w:rsidRPr="00F34274">
        <w:rPr>
          <w:rFonts w:eastAsia="Arial" w:cs="Arial"/>
          <w:color w:val="1D1D1B"/>
        </w:rPr>
        <w:t>Background</w:t>
      </w:r>
    </w:p>
    <w:p w14:paraId="3C966F7A" w14:textId="77777777" w:rsidR="00CD60C2" w:rsidRPr="00F34274" w:rsidRDefault="00CD60C2" w:rsidP="00957DB2">
      <w:pPr>
        <w:rPr>
          <w:rFonts w:eastAsia="Arial" w:cs="Arial"/>
          <w:color w:val="1D1D1B"/>
        </w:rPr>
      </w:pPr>
      <w:r w:rsidRPr="00F34274">
        <w:rPr>
          <w:rFonts w:eastAsia="Arial" w:cs="Arial"/>
          <w:color w:val="1D1D1B"/>
        </w:rPr>
        <w:t>1. Can you please give a brief overview of your syndicate?</w:t>
      </w:r>
    </w:p>
    <w:p w14:paraId="723F7562" w14:textId="77777777" w:rsidR="00CD60C2" w:rsidRPr="00F34274" w:rsidRDefault="00CD60C2" w:rsidP="00957DB2">
      <w:pPr>
        <w:rPr>
          <w:rFonts w:eastAsia="Arial" w:cs="Arial"/>
          <w:color w:val="1D1D1B"/>
        </w:rPr>
      </w:pPr>
      <w:r w:rsidRPr="00F34274">
        <w:rPr>
          <w:rFonts w:eastAsia="Arial" w:cs="Arial"/>
          <w:color w:val="1D1D1B"/>
        </w:rPr>
        <w:t xml:space="preserve">2. Can you tell us about your track record/experience of angel investing, with a focus on equity investments in SMEs? </w:t>
      </w:r>
    </w:p>
    <w:p w14:paraId="0787172F" w14:textId="77777777" w:rsidR="00CD60C2" w:rsidRPr="00F34274" w:rsidRDefault="00CD60C2" w:rsidP="00957DB2">
      <w:pPr>
        <w:rPr>
          <w:rFonts w:eastAsia="Arial" w:cs="Arial"/>
          <w:color w:val="1D1D1B"/>
        </w:rPr>
      </w:pPr>
      <w:r w:rsidRPr="00F34274">
        <w:rPr>
          <w:rFonts w:eastAsia="Arial" w:cs="Arial"/>
          <w:color w:val="1D1D1B"/>
        </w:rPr>
        <w:t>3. Thinking about where the SMEs you have invested in are based, what are the challenges and opportunities associated with investing in SMEs / early-stage businesses?</w:t>
      </w:r>
    </w:p>
    <w:p w14:paraId="64910CCF"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Motivations for applying to </w:t>
      </w:r>
      <w:proofErr w:type="gramStart"/>
      <w:r w:rsidRPr="00F34274">
        <w:rPr>
          <w:rFonts w:eastAsia="Arial" w:cs="Arial"/>
          <w:color w:val="1D1D1B"/>
        </w:rPr>
        <w:t>RAP</w:t>
      </w:r>
      <w:proofErr w:type="gramEnd"/>
      <w:r w:rsidRPr="00F34274">
        <w:rPr>
          <w:rFonts w:eastAsia="Arial" w:cs="Arial"/>
          <w:color w:val="1D1D1B"/>
        </w:rPr>
        <w:t xml:space="preserve"> </w:t>
      </w:r>
    </w:p>
    <w:p w14:paraId="2BA55DE2" w14:textId="77777777" w:rsidR="00CD60C2" w:rsidRPr="00F34274" w:rsidRDefault="00CD60C2" w:rsidP="00957DB2">
      <w:pPr>
        <w:rPr>
          <w:rFonts w:eastAsia="Arial" w:cs="Arial"/>
          <w:color w:val="1D1D1B"/>
        </w:rPr>
      </w:pPr>
      <w:r w:rsidRPr="00F34274">
        <w:rPr>
          <w:rFonts w:eastAsia="Arial" w:cs="Arial"/>
          <w:color w:val="1D1D1B"/>
        </w:rPr>
        <w:t xml:space="preserve">4. Before applying for RAP funding, how difficult was it to find co-investors? </w:t>
      </w:r>
    </w:p>
    <w:p w14:paraId="020F642C" w14:textId="77777777" w:rsidR="00CD60C2" w:rsidRPr="00F34274" w:rsidRDefault="00CD60C2" w:rsidP="00957DB2">
      <w:pPr>
        <w:rPr>
          <w:rFonts w:eastAsia="Arial" w:cs="Arial"/>
          <w:color w:val="1D1D1B"/>
        </w:rPr>
      </w:pPr>
      <w:r w:rsidRPr="00F34274">
        <w:rPr>
          <w:rFonts w:eastAsia="Arial" w:cs="Arial"/>
          <w:color w:val="1D1D1B"/>
        </w:rPr>
        <w:t>5. Can you tell us how you heard about the British Business Investments RAP scheme and what prompted you to apply?</w:t>
      </w:r>
    </w:p>
    <w:p w14:paraId="2382A0E3" w14:textId="77777777" w:rsidR="00CD60C2" w:rsidRPr="00F34274" w:rsidRDefault="00CD60C2" w:rsidP="00957DB2">
      <w:pPr>
        <w:rPr>
          <w:rFonts w:eastAsia="Arial" w:cs="Arial"/>
          <w:color w:val="1D1D1B"/>
        </w:rPr>
      </w:pPr>
      <w:r w:rsidRPr="00F34274">
        <w:rPr>
          <w:rFonts w:eastAsia="Arial" w:cs="Arial"/>
          <w:color w:val="1D1D1B"/>
        </w:rPr>
        <w:t xml:space="preserve">6. How important was it for you to secure RAP funding? </w:t>
      </w:r>
    </w:p>
    <w:p w14:paraId="6562E115" w14:textId="77777777" w:rsidR="00CD60C2" w:rsidRPr="00F34274" w:rsidRDefault="00CD60C2" w:rsidP="00957DB2">
      <w:pPr>
        <w:rPr>
          <w:rFonts w:eastAsia="Arial" w:cs="Arial"/>
          <w:color w:val="1D1D1B"/>
        </w:rPr>
      </w:pPr>
      <w:r w:rsidRPr="00F34274">
        <w:rPr>
          <w:rFonts w:eastAsia="Arial" w:cs="Arial"/>
          <w:color w:val="1D1D1B"/>
        </w:rPr>
        <w:t xml:space="preserve">7. What was the impact of deciding to apply for RAP on relationships with co-investors within your syndicate? </w:t>
      </w:r>
    </w:p>
    <w:p w14:paraId="1D61D173" w14:textId="77777777" w:rsidR="00CD60C2" w:rsidRPr="00F34274" w:rsidRDefault="00CD60C2" w:rsidP="00957DB2">
      <w:pPr>
        <w:rPr>
          <w:rFonts w:eastAsia="Arial" w:cs="Arial"/>
          <w:color w:val="1D1D1B"/>
        </w:rPr>
      </w:pPr>
      <w:r w:rsidRPr="00F34274">
        <w:rPr>
          <w:rFonts w:eastAsia="Arial" w:cs="Arial"/>
          <w:color w:val="1D1D1B"/>
        </w:rPr>
        <w:t>8. Were you able to secure other sources of funding?</w:t>
      </w:r>
    </w:p>
    <w:p w14:paraId="4CACF50E" w14:textId="77777777" w:rsidR="00CD60C2" w:rsidRPr="00F34274" w:rsidRDefault="00CD60C2" w:rsidP="00957DB2">
      <w:pPr>
        <w:rPr>
          <w:rFonts w:eastAsia="Arial" w:cs="Arial"/>
          <w:color w:val="1D1D1B"/>
        </w:rPr>
      </w:pPr>
      <w:r w:rsidRPr="00F34274">
        <w:rPr>
          <w:rFonts w:eastAsia="Arial" w:cs="Arial"/>
          <w:color w:val="1D1D1B"/>
        </w:rPr>
        <w:t>9. Have recent economic events like Covid/cost of living crisis/fiscal instability prompted you to look to these government backed schemes?</w:t>
      </w:r>
    </w:p>
    <w:p w14:paraId="2241F07B" w14:textId="77777777" w:rsidR="00CD60C2" w:rsidRPr="00F34274" w:rsidRDefault="00CD60C2" w:rsidP="00957DB2">
      <w:pPr>
        <w:shd w:val="clear" w:color="auto" w:fill="F2F2F2"/>
        <w:rPr>
          <w:rFonts w:eastAsia="Arial" w:cs="Arial"/>
          <w:color w:val="1D1D1B"/>
        </w:rPr>
      </w:pPr>
      <w:r w:rsidRPr="00F34274">
        <w:rPr>
          <w:rFonts w:eastAsia="Arial" w:cs="Arial"/>
          <w:color w:val="1D1D1B"/>
        </w:rPr>
        <w:t xml:space="preserve">Experience of the application process </w:t>
      </w:r>
    </w:p>
    <w:p w14:paraId="56B362B8" w14:textId="77777777" w:rsidR="00CD60C2" w:rsidRPr="00F34274" w:rsidRDefault="00CD60C2" w:rsidP="00957DB2">
      <w:pPr>
        <w:rPr>
          <w:rFonts w:eastAsia="Arial" w:cs="Arial"/>
          <w:color w:val="1D1D1B"/>
        </w:rPr>
      </w:pPr>
      <w:r w:rsidRPr="00F34274">
        <w:rPr>
          <w:rFonts w:eastAsia="Arial" w:cs="Arial"/>
          <w:color w:val="1D1D1B"/>
        </w:rPr>
        <w:t>10. Can you tell us about your overall experience with the RAP application process?</w:t>
      </w:r>
    </w:p>
    <w:p w14:paraId="3ADF03FC" w14:textId="77777777" w:rsidR="00CD60C2" w:rsidRPr="00F34274" w:rsidRDefault="00CD60C2" w:rsidP="00957DB2">
      <w:pPr>
        <w:rPr>
          <w:rFonts w:eastAsia="Arial" w:cs="Arial"/>
          <w:color w:val="1D1D1B"/>
        </w:rPr>
      </w:pPr>
      <w:r w:rsidRPr="00F34274">
        <w:rPr>
          <w:rFonts w:eastAsia="Arial" w:cs="Arial"/>
          <w:color w:val="1D1D1B"/>
        </w:rPr>
        <w:t>11. Do you think the feedback from British Business Bank/British Business Investments on why you were unsuccessful was appropriate/informative?</w:t>
      </w:r>
    </w:p>
    <w:p w14:paraId="18A8BDE8" w14:textId="77777777" w:rsidR="00CD60C2" w:rsidRPr="00F34274" w:rsidRDefault="00CD60C2" w:rsidP="00957DB2">
      <w:pPr>
        <w:rPr>
          <w:rFonts w:eastAsia="Arial" w:cs="Arial"/>
          <w:color w:val="1D1D1B"/>
        </w:rPr>
      </w:pPr>
      <w:r w:rsidRPr="00F34274">
        <w:rPr>
          <w:rFonts w:eastAsia="Arial" w:cs="Arial"/>
          <w:color w:val="1D1D1B"/>
        </w:rPr>
        <w:lastRenderedPageBreak/>
        <w:t>12. Can you recall if the terms and conditions around the funding were proportionate/appropriate?</w:t>
      </w:r>
    </w:p>
    <w:p w14:paraId="1C8A1B37" w14:textId="77777777" w:rsidR="00CD60C2" w:rsidRPr="00F34274" w:rsidRDefault="00CD60C2" w:rsidP="00957DB2">
      <w:pPr>
        <w:rPr>
          <w:rFonts w:eastAsia="Arial" w:cs="Arial"/>
          <w:color w:val="1D1D1B"/>
        </w:rPr>
      </w:pPr>
      <w:r w:rsidRPr="00F34274">
        <w:rPr>
          <w:rFonts w:eastAsia="Arial" w:cs="Arial"/>
          <w:color w:val="1D1D1B"/>
        </w:rPr>
        <w:t>13. Can you tell us about your experience of British Business Investments’ due diligence process?</w:t>
      </w:r>
    </w:p>
    <w:p w14:paraId="7942CDB7" w14:textId="77777777" w:rsidR="00CD60C2" w:rsidRPr="00F34274" w:rsidRDefault="00CD60C2" w:rsidP="00957DB2">
      <w:pPr>
        <w:shd w:val="clear" w:color="auto" w:fill="F2F2F2"/>
        <w:rPr>
          <w:rFonts w:eastAsia="Arial" w:cs="Arial"/>
          <w:color w:val="1D1D1B"/>
        </w:rPr>
      </w:pPr>
      <w:r w:rsidRPr="00F34274">
        <w:rPr>
          <w:rFonts w:eastAsia="Arial" w:cs="Arial"/>
          <w:color w:val="1D1D1B"/>
        </w:rPr>
        <w:t>Experience of investing in SMEs</w:t>
      </w:r>
    </w:p>
    <w:p w14:paraId="12DAE34A" w14:textId="77777777" w:rsidR="00CD60C2" w:rsidRPr="00F34274" w:rsidRDefault="00CD60C2" w:rsidP="00957DB2">
      <w:pPr>
        <w:rPr>
          <w:rFonts w:eastAsia="Arial" w:cs="Arial"/>
          <w:color w:val="1D1D1B"/>
        </w:rPr>
      </w:pPr>
      <w:r w:rsidRPr="00F34274">
        <w:rPr>
          <w:rFonts w:eastAsia="Arial" w:cs="Arial"/>
          <w:color w:val="1D1D1B"/>
        </w:rPr>
        <w:t>14. [SKIP IF COVERED IN Q3] Thinking about your overall portfolio, can you describe at what stage companies are usually at when you invest in them?</w:t>
      </w:r>
    </w:p>
    <w:p w14:paraId="724E4075" w14:textId="77777777" w:rsidR="00CD60C2" w:rsidRPr="00F34274" w:rsidRDefault="00CD60C2" w:rsidP="00957DB2">
      <w:pPr>
        <w:rPr>
          <w:rFonts w:eastAsia="Arial" w:cs="Arial"/>
          <w:color w:val="1D1D1B"/>
        </w:rPr>
      </w:pPr>
      <w:r w:rsidRPr="00F34274">
        <w:rPr>
          <w:rFonts w:eastAsia="Arial" w:cs="Arial"/>
          <w:color w:val="1D1D1B"/>
        </w:rPr>
        <w:t>15. Thinking about your current portfolio, can you describe how SMEs intended to use the investment and if this changed once you provided the funding?</w:t>
      </w:r>
    </w:p>
    <w:p w14:paraId="3F0BB9A5" w14:textId="77777777" w:rsidR="00CD60C2" w:rsidRPr="00F34274" w:rsidRDefault="00CD60C2" w:rsidP="00957DB2">
      <w:pPr>
        <w:rPr>
          <w:rFonts w:eastAsia="Arial" w:cs="Arial"/>
          <w:color w:val="1D1D1B"/>
        </w:rPr>
      </w:pPr>
      <w:r w:rsidRPr="00F34274">
        <w:rPr>
          <w:rFonts w:eastAsia="Arial" w:cs="Arial"/>
          <w:color w:val="1D1D1B"/>
        </w:rPr>
        <w:t xml:space="preserve">15a. Which of the following would be the main activities that companies in your portfolio engaged in after they received the funding? </w:t>
      </w:r>
    </w:p>
    <w:p w14:paraId="3FDDD392" w14:textId="77777777" w:rsidR="00CD60C2" w:rsidRPr="00F34274" w:rsidRDefault="00CD60C2" w:rsidP="00957DB2">
      <w:pPr>
        <w:rPr>
          <w:rFonts w:eastAsia="Arial" w:cs="Arial"/>
          <w:color w:val="1D1D1B"/>
        </w:rPr>
      </w:pPr>
      <w:r w:rsidRPr="00F34274">
        <w:rPr>
          <w:rFonts w:eastAsia="Arial" w:cs="Arial"/>
          <w:color w:val="1D1D1B"/>
        </w:rPr>
        <w:t xml:space="preserve">16. Can you tell us about any factors that would help make you/your syndicate consider investing in or investing more in early-stage SMEs? </w:t>
      </w:r>
    </w:p>
    <w:p w14:paraId="3C0A5FB5" w14:textId="77777777" w:rsidR="00CD60C2" w:rsidRPr="00F34274" w:rsidRDefault="00CD60C2" w:rsidP="00957DB2">
      <w:pPr>
        <w:rPr>
          <w:rFonts w:eastAsia="Arial" w:cs="Arial"/>
          <w:color w:val="1D1D1B"/>
        </w:rPr>
      </w:pPr>
      <w:r w:rsidRPr="00F34274">
        <w:rPr>
          <w:rFonts w:eastAsia="Arial" w:cs="Arial"/>
          <w:color w:val="1D1D1B"/>
        </w:rPr>
        <w:t xml:space="preserve">17. Can you tell us if there is any type of government-backed scheme that which would encourage you to invest in regional enterprises (outside of London and the </w:t>
      </w:r>
      <w:proofErr w:type="gramStart"/>
      <w:r w:rsidRPr="00F34274">
        <w:rPr>
          <w:rFonts w:eastAsia="Arial" w:cs="Arial"/>
          <w:color w:val="1D1D1B"/>
        </w:rPr>
        <w:t>South East</w:t>
      </w:r>
      <w:proofErr w:type="gramEnd"/>
      <w:r w:rsidRPr="00F34274">
        <w:rPr>
          <w:rFonts w:eastAsia="Arial" w:cs="Arial"/>
          <w:color w:val="1D1D1B"/>
        </w:rPr>
        <w:t>) you would not have otherwise?</w:t>
      </w:r>
    </w:p>
    <w:p w14:paraId="75066A28" w14:textId="77777777" w:rsidR="00CD60C2" w:rsidRPr="00F34274" w:rsidRDefault="00CD60C2" w:rsidP="00957DB2">
      <w:pPr>
        <w:shd w:val="clear" w:color="auto" w:fill="F2F2F2"/>
        <w:rPr>
          <w:rFonts w:eastAsia="Arial" w:cs="Arial"/>
          <w:color w:val="1D1D1B"/>
        </w:rPr>
      </w:pPr>
      <w:r w:rsidRPr="00F34274">
        <w:rPr>
          <w:rFonts w:eastAsia="Arial" w:cs="Arial"/>
          <w:color w:val="1D1D1B"/>
        </w:rPr>
        <w:t>Legacy of RAP</w:t>
      </w:r>
    </w:p>
    <w:p w14:paraId="122384B5" w14:textId="77777777" w:rsidR="00CD60C2" w:rsidRPr="00F34274" w:rsidRDefault="00CD60C2" w:rsidP="00957DB2">
      <w:pPr>
        <w:rPr>
          <w:rFonts w:eastAsia="Arial" w:cs="Arial"/>
          <w:color w:val="1D1D1B"/>
        </w:rPr>
      </w:pPr>
      <w:r w:rsidRPr="00F34274">
        <w:rPr>
          <w:rFonts w:eastAsia="Arial" w:cs="Arial"/>
          <w:color w:val="1D1D1B"/>
        </w:rPr>
        <w:t xml:space="preserve">18. Thinking about the wider angel investing landscape, do you feel that RAP, or similar government schemes, has encouraged other investors to take risks/invest in patient capital in the </w:t>
      </w:r>
      <w:proofErr w:type="gramStart"/>
      <w:r w:rsidRPr="00F34274">
        <w:rPr>
          <w:rFonts w:eastAsia="Arial" w:cs="Arial"/>
          <w:color w:val="1D1D1B"/>
        </w:rPr>
        <w:t>long-run</w:t>
      </w:r>
      <w:proofErr w:type="gramEnd"/>
      <w:r w:rsidRPr="00F34274">
        <w:rPr>
          <w:rFonts w:eastAsia="Arial" w:cs="Arial"/>
          <w:color w:val="1D1D1B"/>
        </w:rPr>
        <w:t>?</w:t>
      </w:r>
    </w:p>
    <w:p w14:paraId="77A6D71D" w14:textId="77777777" w:rsidR="00CD60C2" w:rsidRPr="00F34274" w:rsidRDefault="00CD60C2" w:rsidP="00957DB2">
      <w:pPr>
        <w:rPr>
          <w:rFonts w:eastAsia="Arial" w:cs="Arial"/>
          <w:b/>
          <w:color w:val="1D1D1B"/>
        </w:rPr>
      </w:pPr>
      <w:r w:rsidRPr="00F34274">
        <w:rPr>
          <w:rFonts w:eastAsia="Arial" w:cs="Arial"/>
          <w:color w:val="1D1D1B"/>
        </w:rPr>
        <w:t>19. What do you think the long-run funding ecosystem will look like for early-stage SMEs in the future?</w:t>
      </w:r>
    </w:p>
    <w:p w14:paraId="569758B0" w14:textId="706D8A60" w:rsidR="007063A0" w:rsidRDefault="00CD60C2" w:rsidP="00957DB2">
      <w:pPr>
        <w:keepNext/>
        <w:keepLines/>
        <w:spacing w:before="320" w:after="120"/>
        <w:outlineLvl w:val="4"/>
        <w:rPr>
          <w:rFonts w:eastAsia="SimHei" w:cs="Arial"/>
          <w:b/>
          <w:color w:val="1D1D1B"/>
        </w:rPr>
      </w:pPr>
      <w:bookmarkStart w:id="213" w:name="_Toc130944460"/>
      <w:bookmarkStart w:id="214" w:name="_Toc131415513"/>
      <w:r w:rsidRPr="00F34274">
        <w:rPr>
          <w:rFonts w:eastAsia="SimHei" w:cs="Arial"/>
          <w:b/>
          <w:color w:val="1D1D1B"/>
        </w:rPr>
        <w:t xml:space="preserve">A.2 </w:t>
      </w:r>
      <w:bookmarkEnd w:id="213"/>
      <w:bookmarkEnd w:id="214"/>
      <w:r w:rsidRPr="00F34274">
        <w:rPr>
          <w:rFonts w:eastAsia="SimHei" w:cs="Arial"/>
          <w:b/>
          <w:color w:val="1D1D1B"/>
        </w:rPr>
        <w:t>Small Business Survey</w:t>
      </w:r>
    </w:p>
    <w:p w14:paraId="0555A766" w14:textId="2663956D" w:rsidR="007063A0" w:rsidRPr="007063A0" w:rsidRDefault="007063A0" w:rsidP="00957DB2">
      <w:pPr>
        <w:keepNext/>
        <w:keepLines/>
        <w:spacing w:before="320" w:after="120"/>
        <w:outlineLvl w:val="4"/>
        <w:rPr>
          <w:rFonts w:eastAsia="SimHei" w:cs="Arial"/>
          <w:b/>
          <w:color w:val="1D1D1B"/>
        </w:rPr>
      </w:pPr>
      <w:r w:rsidRPr="00F170C8">
        <w:rPr>
          <w:rFonts w:eastAsia="Arial" w:cs="Arial"/>
          <w:color w:val="1D1D1B"/>
        </w:rPr>
        <w:t>Survey data obtained from the Small Business Survey</w:t>
      </w:r>
      <w:r>
        <w:rPr>
          <w:rFonts w:eastAsia="Arial" w:cs="Arial"/>
          <w:color w:val="1D1D1B"/>
        </w:rPr>
        <w:t xml:space="preserve"> was not utilised in the quantitative analysis due to a low response rate, rendering it unsuitable for inclusion as it did not provide a representative and accurate sample for statistical analysis.</w:t>
      </w:r>
      <w:r w:rsidRPr="00F170C8">
        <w:rPr>
          <w:rFonts w:eastAsia="Arial" w:cs="Arial"/>
          <w:color w:val="1D1D1B"/>
        </w:rPr>
        <w:t xml:space="preserve"> </w:t>
      </w:r>
    </w:p>
    <w:p w14:paraId="07323A2C" w14:textId="77777777" w:rsidR="00CD60C2" w:rsidRPr="00F34274" w:rsidRDefault="00CD60C2" w:rsidP="00957DB2">
      <w:pPr>
        <w:shd w:val="clear" w:color="auto" w:fill="F2F2F2"/>
        <w:rPr>
          <w:rFonts w:eastAsia="Arial" w:cs="Arial"/>
          <w:bCs/>
        </w:rPr>
      </w:pPr>
      <w:r w:rsidRPr="00F34274">
        <w:rPr>
          <w:rFonts w:eastAsia="Arial" w:cs="Arial"/>
          <w:bCs/>
        </w:rPr>
        <w:t xml:space="preserve">Background and Context </w:t>
      </w:r>
    </w:p>
    <w:p w14:paraId="2CEE627B" w14:textId="77777777" w:rsidR="00CD60C2" w:rsidRPr="00F34274" w:rsidRDefault="00CD60C2" w:rsidP="00957DB2">
      <w:pPr>
        <w:rPr>
          <w:rFonts w:eastAsia="Arial" w:cs="Arial"/>
          <w:bCs/>
        </w:rPr>
      </w:pPr>
      <w:r w:rsidRPr="00F34274">
        <w:rPr>
          <w:rFonts w:eastAsia="Arial" w:cs="Arial"/>
          <w:bCs/>
        </w:rPr>
        <w:lastRenderedPageBreak/>
        <w:t xml:space="preserve">Firstly, about your organisation… </w:t>
      </w:r>
    </w:p>
    <w:p w14:paraId="5044E0E0" w14:textId="77777777" w:rsidR="00CD60C2" w:rsidRPr="00F34274" w:rsidRDefault="00CD60C2" w:rsidP="00957DB2">
      <w:pPr>
        <w:rPr>
          <w:rFonts w:eastAsia="Arial" w:cs="Arial"/>
        </w:rPr>
      </w:pPr>
      <w:r w:rsidRPr="00F34274">
        <w:rPr>
          <w:rFonts w:eastAsia="Arial" w:cs="Arial"/>
        </w:rPr>
        <w:t>ALL</w:t>
      </w:r>
    </w:p>
    <w:p w14:paraId="7D73C331" w14:textId="77777777" w:rsidR="00CD60C2" w:rsidRPr="00F34274" w:rsidRDefault="00CD60C2" w:rsidP="00957DB2">
      <w:pPr>
        <w:rPr>
          <w:rFonts w:eastAsia="Arial" w:cs="Arial"/>
        </w:rPr>
      </w:pPr>
      <w:bookmarkStart w:id="215" w:name="_Hlk124457090"/>
      <w:r w:rsidRPr="00F34274">
        <w:rPr>
          <w:rFonts w:eastAsia="Arial" w:cs="Arial"/>
          <w:bCs/>
        </w:rPr>
        <w:t>1. What is the name of your business?</w:t>
      </w:r>
    </w:p>
    <w:p w14:paraId="5D143C7D" w14:textId="77777777" w:rsidR="00CD60C2" w:rsidRPr="00F34274" w:rsidRDefault="00CD60C2" w:rsidP="00957DB2">
      <w:pPr>
        <w:rPr>
          <w:rFonts w:eastAsia="Arial" w:cs="Arial"/>
        </w:rPr>
      </w:pPr>
      <w:r w:rsidRPr="00F34274">
        <w:rPr>
          <w:rFonts w:eastAsia="Arial" w:cs="Arial"/>
        </w:rPr>
        <w:t>ALL</w:t>
      </w:r>
    </w:p>
    <w:p w14:paraId="6C6173D4" w14:textId="77777777" w:rsidR="00CD60C2" w:rsidRPr="00F34274" w:rsidRDefault="00CD60C2" w:rsidP="00957DB2">
      <w:pPr>
        <w:rPr>
          <w:rFonts w:eastAsia="Arial" w:cs="Arial"/>
          <w:bCs/>
        </w:rPr>
      </w:pPr>
      <w:r w:rsidRPr="00F34274">
        <w:rPr>
          <w:rFonts w:eastAsia="Arial" w:cs="Arial"/>
          <w:bCs/>
        </w:rPr>
        <w:t>2. What is the ethnic composition of your company’s management team? Does it include people from any of the following ethnic groups?</w:t>
      </w:r>
      <w:bookmarkStart w:id="216" w:name="_Hlk77598925"/>
    </w:p>
    <w:p w14:paraId="71A585D9" w14:textId="77777777" w:rsidR="00CD60C2" w:rsidRPr="00F34274" w:rsidRDefault="00CD60C2" w:rsidP="00957DB2">
      <w:pPr>
        <w:rPr>
          <w:rFonts w:eastAsia="Arial" w:cs="Arial"/>
          <w:b/>
          <w:bCs/>
        </w:rPr>
      </w:pPr>
      <w:r w:rsidRPr="00F34274">
        <w:rPr>
          <w:rFonts w:eastAsia="Arial" w:cs="Arial"/>
          <w:bCs/>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3"/>
        <w:gridCol w:w="1269"/>
      </w:tblGrid>
      <w:tr w:rsidR="00CD60C2" w:rsidRPr="00F34274" w14:paraId="5A55CB2F"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bookmarkEnd w:id="216"/>
          <w:p w14:paraId="760CBD28" w14:textId="77777777" w:rsidR="00CD60C2" w:rsidRPr="007F1BCA" w:rsidRDefault="00CD60C2" w:rsidP="00957DB2">
            <w:pPr>
              <w:rPr>
                <w:rFonts w:eastAsia="Arial" w:cs="Arial"/>
                <w:b w:val="0"/>
                <w:bCs w:val="0"/>
              </w:rPr>
            </w:pPr>
            <w:r w:rsidRPr="007F1BCA">
              <w:rPr>
                <w:rFonts w:eastAsia="Arial" w:cs="Arial"/>
                <w:b w:val="0"/>
                <w:bCs w:val="0"/>
              </w:rPr>
              <w:t>White, includes any White background</w:t>
            </w:r>
          </w:p>
        </w:tc>
        <w:tc>
          <w:tcPr>
            <w:tcW w:w="637" w:type="pct"/>
            <w:hideMark/>
          </w:tcPr>
          <w:p w14:paraId="61C193F3" w14:textId="77777777" w:rsidR="00CD60C2" w:rsidRPr="00F34274" w:rsidRDefault="16E31311" w:rsidP="3E2B953A">
            <w:pPr>
              <w:jc w:val="right"/>
              <w:cnfStyle w:val="100000000000" w:firstRow="1" w:lastRow="0" w:firstColumn="0" w:lastColumn="0" w:oddVBand="0" w:evenVBand="0" w:oddHBand="0" w:evenHBand="0" w:firstRowFirstColumn="0" w:firstRowLastColumn="0" w:lastRowFirstColumn="0" w:lastRowLastColumn="0"/>
              <w:rPr>
                <w:rFonts w:eastAsia="Arial" w:cs="Arial"/>
              </w:rPr>
            </w:pPr>
            <w:r w:rsidRPr="4C93809B">
              <w:rPr>
                <w:rFonts w:eastAsia="Arial" w:cs="Arial"/>
                <w:b w:val="0"/>
                <w:bCs w:val="0"/>
              </w:rPr>
              <w:t>1</w:t>
            </w:r>
          </w:p>
        </w:tc>
      </w:tr>
      <w:tr w:rsidR="00CD60C2" w:rsidRPr="00F34274" w14:paraId="7CD919F7"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p w14:paraId="2860B838" w14:textId="77777777" w:rsidR="00CD60C2" w:rsidRPr="007F1BCA" w:rsidRDefault="00CD60C2" w:rsidP="00957DB2">
            <w:pPr>
              <w:rPr>
                <w:rFonts w:eastAsia="Arial" w:cs="Arial"/>
                <w:b w:val="0"/>
                <w:bCs w:val="0"/>
              </w:rPr>
            </w:pPr>
            <w:r w:rsidRPr="007F1BCA">
              <w:rPr>
                <w:rFonts w:eastAsia="Arial" w:cs="Arial"/>
                <w:b w:val="0"/>
                <w:bCs w:val="0"/>
              </w:rPr>
              <w:t xml:space="preserve">Mixed or multiple ethnic groups, including White and Black Caribbean, White and Black African, </w:t>
            </w:r>
            <w:proofErr w:type="gramStart"/>
            <w:r w:rsidRPr="007F1BCA">
              <w:rPr>
                <w:rFonts w:eastAsia="Arial" w:cs="Arial"/>
                <w:b w:val="0"/>
                <w:bCs w:val="0"/>
              </w:rPr>
              <w:t>White</w:t>
            </w:r>
            <w:proofErr w:type="gramEnd"/>
            <w:r w:rsidRPr="007F1BCA">
              <w:rPr>
                <w:rFonts w:eastAsia="Arial" w:cs="Arial"/>
                <w:b w:val="0"/>
                <w:bCs w:val="0"/>
              </w:rPr>
              <w:t xml:space="preserve"> and Asian, or any other Mixed or multiple ethnic group</w:t>
            </w:r>
          </w:p>
        </w:tc>
        <w:tc>
          <w:tcPr>
            <w:tcW w:w="637" w:type="pct"/>
            <w:hideMark/>
          </w:tcPr>
          <w:p w14:paraId="218816A2" w14:textId="77777777" w:rsidR="00CD60C2" w:rsidRPr="00F34274" w:rsidRDefault="00CD60C2" w:rsidP="4457CD75">
            <w:pPr>
              <w:jc w:val="right"/>
              <w:cnfStyle w:val="000000100000" w:firstRow="0" w:lastRow="0" w:firstColumn="0" w:lastColumn="0" w:oddVBand="0" w:evenVBand="0" w:oddHBand="1" w:evenHBand="0" w:firstRowFirstColumn="0" w:firstRowLastColumn="0" w:lastRowFirstColumn="0" w:lastRowLastColumn="0"/>
              <w:rPr>
                <w:rFonts w:eastAsia="Arial" w:cs="Arial"/>
                <w:bCs/>
              </w:rPr>
            </w:pPr>
            <w:r w:rsidRPr="00F34274">
              <w:rPr>
                <w:rFonts w:eastAsia="Arial" w:cs="Arial"/>
                <w:bCs/>
              </w:rPr>
              <w:t>2</w:t>
            </w:r>
          </w:p>
        </w:tc>
      </w:tr>
      <w:tr w:rsidR="00CD60C2" w:rsidRPr="00F34274" w14:paraId="2E834028" w14:textId="77777777" w:rsidTr="00201E3C">
        <w:tc>
          <w:tcPr>
            <w:cnfStyle w:val="001000000000" w:firstRow="0" w:lastRow="0" w:firstColumn="1" w:lastColumn="0" w:oddVBand="0" w:evenVBand="0" w:oddHBand="0" w:evenHBand="0" w:firstRowFirstColumn="0" w:firstRowLastColumn="0" w:lastRowFirstColumn="0" w:lastRowLastColumn="0"/>
            <w:tcW w:w="4363" w:type="pct"/>
            <w:hideMark/>
          </w:tcPr>
          <w:p w14:paraId="2FC6261F" w14:textId="77777777" w:rsidR="00CD60C2" w:rsidRPr="007F1BCA" w:rsidRDefault="00CD60C2" w:rsidP="00957DB2">
            <w:pPr>
              <w:rPr>
                <w:rFonts w:eastAsia="Arial" w:cs="Arial"/>
                <w:b w:val="0"/>
                <w:bCs w:val="0"/>
              </w:rPr>
            </w:pPr>
            <w:r w:rsidRPr="007F1BCA">
              <w:rPr>
                <w:rFonts w:eastAsia="Arial" w:cs="Arial"/>
                <w:b w:val="0"/>
                <w:bCs w:val="0"/>
              </w:rPr>
              <w:t>Asian or Asian British, including Indian, Pakistani, Bangladeshi, Chinese or any other Asian background</w:t>
            </w:r>
          </w:p>
        </w:tc>
        <w:tc>
          <w:tcPr>
            <w:tcW w:w="637" w:type="pct"/>
            <w:hideMark/>
          </w:tcPr>
          <w:p w14:paraId="5FB143CF" w14:textId="77777777" w:rsidR="00CD60C2" w:rsidRPr="00F34274" w:rsidRDefault="00CD60C2" w:rsidP="4457CD75">
            <w:pPr>
              <w:jc w:val="right"/>
              <w:cnfStyle w:val="000000000000" w:firstRow="0" w:lastRow="0" w:firstColumn="0" w:lastColumn="0" w:oddVBand="0" w:evenVBand="0" w:oddHBand="0" w:evenHBand="0" w:firstRowFirstColumn="0" w:firstRowLastColumn="0" w:lastRowFirstColumn="0" w:lastRowLastColumn="0"/>
              <w:rPr>
                <w:rFonts w:eastAsia="Arial" w:cs="Arial"/>
                <w:bCs/>
              </w:rPr>
            </w:pPr>
            <w:r w:rsidRPr="00F34274">
              <w:rPr>
                <w:rFonts w:eastAsia="Arial" w:cs="Arial"/>
                <w:bCs/>
              </w:rPr>
              <w:t>3</w:t>
            </w:r>
          </w:p>
        </w:tc>
      </w:tr>
      <w:tr w:rsidR="00CD60C2" w:rsidRPr="00F34274" w14:paraId="0071652C"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p w14:paraId="7C40FDD8" w14:textId="77777777" w:rsidR="00CD60C2" w:rsidRPr="007F1BCA" w:rsidRDefault="00CD60C2" w:rsidP="00957DB2">
            <w:pPr>
              <w:rPr>
                <w:rFonts w:eastAsia="Arial" w:cs="Arial"/>
                <w:b w:val="0"/>
                <w:bCs w:val="0"/>
              </w:rPr>
            </w:pPr>
            <w:r w:rsidRPr="007F1BCA">
              <w:rPr>
                <w:rFonts w:eastAsia="Arial" w:cs="Arial"/>
                <w:b w:val="0"/>
                <w:bCs w:val="0"/>
              </w:rPr>
              <w:t xml:space="preserve">Black, African, </w:t>
            </w:r>
            <w:proofErr w:type="gramStart"/>
            <w:r w:rsidRPr="007F1BCA">
              <w:rPr>
                <w:rFonts w:eastAsia="Arial" w:cs="Arial"/>
                <w:b w:val="0"/>
                <w:bCs w:val="0"/>
              </w:rPr>
              <w:t>Caribbean</w:t>
            </w:r>
            <w:proofErr w:type="gramEnd"/>
            <w:r w:rsidRPr="007F1BCA">
              <w:rPr>
                <w:rFonts w:eastAsia="Arial" w:cs="Arial"/>
                <w:b w:val="0"/>
                <w:bCs w:val="0"/>
              </w:rPr>
              <w:t xml:space="preserve"> or Black British, including African, Caribbean or any other Black background</w:t>
            </w:r>
          </w:p>
        </w:tc>
        <w:tc>
          <w:tcPr>
            <w:tcW w:w="637" w:type="pct"/>
            <w:hideMark/>
          </w:tcPr>
          <w:p w14:paraId="645733F7" w14:textId="77777777" w:rsidR="00CD60C2" w:rsidRPr="00F34274" w:rsidRDefault="00CD60C2" w:rsidP="4457CD75">
            <w:pPr>
              <w:jc w:val="right"/>
              <w:cnfStyle w:val="000000100000" w:firstRow="0" w:lastRow="0" w:firstColumn="0" w:lastColumn="0" w:oddVBand="0" w:evenVBand="0" w:oddHBand="1" w:evenHBand="0" w:firstRowFirstColumn="0" w:firstRowLastColumn="0" w:lastRowFirstColumn="0" w:lastRowLastColumn="0"/>
              <w:rPr>
                <w:rFonts w:eastAsia="Arial" w:cs="Arial"/>
                <w:bCs/>
              </w:rPr>
            </w:pPr>
            <w:r w:rsidRPr="00F34274">
              <w:rPr>
                <w:rFonts w:eastAsia="Arial" w:cs="Arial"/>
                <w:bCs/>
              </w:rPr>
              <w:t>4</w:t>
            </w:r>
          </w:p>
        </w:tc>
      </w:tr>
      <w:tr w:rsidR="00CD60C2" w:rsidRPr="00F34274" w14:paraId="45AECF93" w14:textId="77777777" w:rsidTr="00201E3C">
        <w:tc>
          <w:tcPr>
            <w:cnfStyle w:val="001000000000" w:firstRow="0" w:lastRow="0" w:firstColumn="1" w:lastColumn="0" w:oddVBand="0" w:evenVBand="0" w:oddHBand="0" w:evenHBand="0" w:firstRowFirstColumn="0" w:firstRowLastColumn="0" w:lastRowFirstColumn="0" w:lastRowLastColumn="0"/>
            <w:tcW w:w="4363" w:type="pct"/>
            <w:hideMark/>
          </w:tcPr>
          <w:p w14:paraId="194305AE" w14:textId="77777777" w:rsidR="00CD60C2" w:rsidRPr="007F1BCA" w:rsidRDefault="00CD60C2" w:rsidP="00957DB2">
            <w:pPr>
              <w:rPr>
                <w:rFonts w:eastAsia="Arial" w:cs="Arial"/>
                <w:b w:val="0"/>
                <w:bCs w:val="0"/>
              </w:rPr>
            </w:pPr>
            <w:r w:rsidRPr="007F1BCA">
              <w:rPr>
                <w:rFonts w:eastAsia="Arial" w:cs="Arial"/>
                <w:b w:val="0"/>
                <w:bCs w:val="0"/>
              </w:rPr>
              <w:t>Other ethnic group, for example, Arab or any other background</w:t>
            </w:r>
          </w:p>
        </w:tc>
        <w:tc>
          <w:tcPr>
            <w:tcW w:w="637" w:type="pct"/>
            <w:hideMark/>
          </w:tcPr>
          <w:p w14:paraId="3B3D9CA2" w14:textId="77777777" w:rsidR="00CD60C2" w:rsidRPr="00F34274" w:rsidRDefault="00CD60C2" w:rsidP="4457CD75">
            <w:pPr>
              <w:jc w:val="right"/>
              <w:cnfStyle w:val="000000000000" w:firstRow="0" w:lastRow="0" w:firstColumn="0" w:lastColumn="0" w:oddVBand="0" w:evenVBand="0" w:oddHBand="0" w:evenHBand="0" w:firstRowFirstColumn="0" w:firstRowLastColumn="0" w:lastRowFirstColumn="0" w:lastRowLastColumn="0"/>
              <w:rPr>
                <w:rFonts w:eastAsia="Arial" w:cs="Arial"/>
                <w:bCs/>
              </w:rPr>
            </w:pPr>
            <w:r w:rsidRPr="00F34274">
              <w:rPr>
                <w:rFonts w:eastAsia="Arial" w:cs="Arial"/>
                <w:bCs/>
              </w:rPr>
              <w:t>5</w:t>
            </w:r>
          </w:p>
        </w:tc>
      </w:tr>
      <w:tr w:rsidR="00CD60C2" w:rsidRPr="00F34274" w14:paraId="4C3B5DEB"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p w14:paraId="5E5E1EF4" w14:textId="77777777" w:rsidR="00CD60C2" w:rsidRPr="007F1BCA" w:rsidRDefault="00CD60C2" w:rsidP="00957DB2">
            <w:pPr>
              <w:rPr>
                <w:rFonts w:eastAsia="Arial" w:cs="Arial"/>
                <w:b w:val="0"/>
                <w:bCs w:val="0"/>
              </w:rPr>
            </w:pPr>
            <w:r w:rsidRPr="007F1BCA">
              <w:rPr>
                <w:rFonts w:eastAsia="Arial" w:cs="Arial"/>
                <w:b w:val="0"/>
                <w:bCs w:val="0"/>
              </w:rPr>
              <w:t>Don’t know</w:t>
            </w:r>
          </w:p>
        </w:tc>
        <w:tc>
          <w:tcPr>
            <w:tcW w:w="637" w:type="pct"/>
            <w:hideMark/>
          </w:tcPr>
          <w:p w14:paraId="5BD66DB3" w14:textId="77777777" w:rsidR="00CD60C2" w:rsidRPr="00F34274" w:rsidRDefault="00CD60C2" w:rsidP="4457CD75">
            <w:pPr>
              <w:jc w:val="right"/>
              <w:cnfStyle w:val="000000100000" w:firstRow="0" w:lastRow="0" w:firstColumn="0" w:lastColumn="0" w:oddVBand="0" w:evenVBand="0" w:oddHBand="1" w:evenHBand="0" w:firstRowFirstColumn="0" w:firstRowLastColumn="0" w:lastRowFirstColumn="0" w:lastRowLastColumn="0"/>
              <w:rPr>
                <w:rFonts w:eastAsia="Arial" w:cs="Arial"/>
                <w:bCs/>
              </w:rPr>
            </w:pPr>
            <w:r w:rsidRPr="00F34274">
              <w:rPr>
                <w:rFonts w:eastAsia="Arial" w:cs="Arial"/>
                <w:bCs/>
              </w:rPr>
              <w:t>6</w:t>
            </w:r>
          </w:p>
        </w:tc>
      </w:tr>
      <w:tr w:rsidR="00CD60C2" w:rsidRPr="00F34274" w14:paraId="42959A06" w14:textId="77777777" w:rsidTr="00201E3C">
        <w:tc>
          <w:tcPr>
            <w:cnfStyle w:val="001000000000" w:firstRow="0" w:lastRow="0" w:firstColumn="1" w:lastColumn="0" w:oddVBand="0" w:evenVBand="0" w:oddHBand="0" w:evenHBand="0" w:firstRowFirstColumn="0" w:firstRowLastColumn="0" w:lastRowFirstColumn="0" w:lastRowLastColumn="0"/>
            <w:tcW w:w="4363" w:type="pct"/>
            <w:hideMark/>
          </w:tcPr>
          <w:p w14:paraId="1C8EDDCF" w14:textId="77777777" w:rsidR="00CD60C2" w:rsidRPr="007F1BCA" w:rsidRDefault="00CD60C2" w:rsidP="00957DB2">
            <w:pPr>
              <w:rPr>
                <w:rFonts w:eastAsia="Arial" w:cs="Arial"/>
                <w:b w:val="0"/>
                <w:bCs w:val="0"/>
              </w:rPr>
            </w:pPr>
            <w:r w:rsidRPr="007F1BCA">
              <w:rPr>
                <w:rFonts w:eastAsia="Arial" w:cs="Arial"/>
                <w:b w:val="0"/>
                <w:bCs w:val="0"/>
              </w:rPr>
              <w:t>Prefer not to say</w:t>
            </w:r>
          </w:p>
        </w:tc>
        <w:tc>
          <w:tcPr>
            <w:tcW w:w="637" w:type="pct"/>
            <w:hideMark/>
          </w:tcPr>
          <w:p w14:paraId="2FE01515" w14:textId="77777777" w:rsidR="00CD60C2" w:rsidRPr="00F34274" w:rsidRDefault="00CD60C2" w:rsidP="4457CD75">
            <w:pPr>
              <w:jc w:val="right"/>
              <w:cnfStyle w:val="000000000000" w:firstRow="0" w:lastRow="0" w:firstColumn="0" w:lastColumn="0" w:oddVBand="0" w:evenVBand="0" w:oddHBand="0" w:evenHBand="0" w:firstRowFirstColumn="0" w:firstRowLastColumn="0" w:lastRowFirstColumn="0" w:lastRowLastColumn="0"/>
              <w:rPr>
                <w:rFonts w:eastAsia="Arial" w:cs="Arial"/>
                <w:bCs/>
              </w:rPr>
            </w:pPr>
            <w:r w:rsidRPr="00F34274">
              <w:rPr>
                <w:rFonts w:eastAsia="Arial" w:cs="Arial"/>
                <w:bCs/>
              </w:rPr>
              <w:t>7</w:t>
            </w:r>
          </w:p>
        </w:tc>
      </w:tr>
    </w:tbl>
    <w:p w14:paraId="0042B864" w14:textId="77777777" w:rsidR="00CD60C2" w:rsidRPr="00F34274" w:rsidRDefault="00CD60C2" w:rsidP="00957DB2">
      <w:pPr>
        <w:rPr>
          <w:rFonts w:eastAsia="Arial" w:cs="Arial"/>
        </w:rPr>
      </w:pPr>
      <w:bookmarkStart w:id="217" w:name="_Hlk120896502"/>
    </w:p>
    <w:p w14:paraId="1AA89080" w14:textId="77777777" w:rsidR="00CD60C2" w:rsidRPr="00F34274" w:rsidRDefault="00CD60C2" w:rsidP="00957DB2">
      <w:pPr>
        <w:rPr>
          <w:rFonts w:eastAsia="Arial" w:cs="Arial"/>
        </w:rPr>
      </w:pPr>
      <w:r w:rsidRPr="00F34274">
        <w:rPr>
          <w:rFonts w:eastAsia="Arial" w:cs="Arial"/>
        </w:rPr>
        <w:t>ALL</w:t>
      </w:r>
    </w:p>
    <w:p w14:paraId="4FBC2C82" w14:textId="77777777" w:rsidR="00CD60C2" w:rsidRPr="00F34274" w:rsidRDefault="00CD60C2" w:rsidP="00957DB2">
      <w:pPr>
        <w:rPr>
          <w:rFonts w:eastAsia="Arial" w:cs="Arial"/>
          <w:bCs/>
        </w:rPr>
      </w:pPr>
      <w:r w:rsidRPr="00F34274">
        <w:rPr>
          <w:rFonts w:eastAsia="Arial" w:cs="Arial"/>
          <w:bCs/>
        </w:rPr>
        <w:t>3. What is the gender composition of your company’s management team?</w:t>
      </w:r>
      <w:bookmarkStart w:id="218" w:name="_Hlk88810299"/>
      <w:r w:rsidRPr="00F34274">
        <w:rPr>
          <w:rFonts w:eastAsia="Arial" w:cs="Arial"/>
          <w:bCs/>
        </w:rPr>
        <w:t xml:space="preserve"> </w:t>
      </w:r>
      <w:bookmarkStart w:id="219" w:name="_Hlk124457298"/>
      <w:r w:rsidRPr="00F34274">
        <w:rPr>
          <w:rFonts w:eastAsia="Arial" w:cs="Arial"/>
          <w:bCs/>
        </w:rPr>
        <w:t>Please add a value for the proportion of the fields below.</w:t>
      </w:r>
      <w:bookmarkEnd w:id="219"/>
    </w:p>
    <w:bookmarkEnd w:id="218"/>
    <w:p w14:paraId="13C2018C" w14:textId="3C77F0C0" w:rsidR="00243D47" w:rsidRPr="00F34274" w:rsidRDefault="00CD60C2" w:rsidP="00957DB2">
      <w:pPr>
        <w:rPr>
          <w:rFonts w:eastAsia="Arial" w:cs="Arial"/>
          <w:i/>
          <w:iCs/>
        </w:rPr>
      </w:pPr>
      <w:r w:rsidRPr="00F34274">
        <w:rPr>
          <w:rFonts w:eastAsia="Arial" w:cs="Arial"/>
          <w:i/>
          <w:iCs/>
        </w:rPr>
        <w:t>RESPONSES TO SUM TO 100%</w:t>
      </w:r>
    </w:p>
    <w:p w14:paraId="1D16595E" w14:textId="77777777" w:rsidR="00CD60C2" w:rsidRPr="00F34274" w:rsidRDefault="00CD60C2" w:rsidP="00957DB2">
      <w:pPr>
        <w:rPr>
          <w:rFonts w:eastAsia="Arial" w:cs="Arial"/>
          <w:b/>
          <w:bCs/>
        </w:rPr>
      </w:pPr>
      <w:r w:rsidRPr="00F34274">
        <w:rPr>
          <w:rFonts w:eastAsia="Arial" w:cs="Arial"/>
          <w:bCs/>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3"/>
        <w:gridCol w:w="1269"/>
      </w:tblGrid>
      <w:tr w:rsidR="00CD60C2" w:rsidRPr="007F1BCA" w14:paraId="09925E9A"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p w14:paraId="7D6F2F2E" w14:textId="77777777" w:rsidR="00CD60C2" w:rsidRPr="007F1BCA" w:rsidRDefault="00CD60C2" w:rsidP="00957DB2">
            <w:pPr>
              <w:rPr>
                <w:rFonts w:eastAsia="Arial" w:cs="Arial"/>
                <w:b w:val="0"/>
                <w:bCs w:val="0"/>
              </w:rPr>
            </w:pPr>
            <w:bookmarkStart w:id="220" w:name="_Hlk124457305"/>
            <w:r w:rsidRPr="007F1BCA">
              <w:rPr>
                <w:rFonts w:eastAsia="Arial" w:cs="Arial"/>
                <w:b w:val="0"/>
                <w:bCs w:val="0"/>
              </w:rPr>
              <w:t>Male</w:t>
            </w:r>
          </w:p>
        </w:tc>
        <w:tc>
          <w:tcPr>
            <w:tcW w:w="637" w:type="pct"/>
            <w:hideMark/>
          </w:tcPr>
          <w:p w14:paraId="2D7200B8" w14:textId="77777777" w:rsidR="00CD60C2" w:rsidRPr="007F1BCA" w:rsidRDefault="00CD60C2" w:rsidP="4457CD75">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7F1BCA">
              <w:rPr>
                <w:rFonts w:eastAsia="Arial" w:cs="Arial"/>
                <w:b w:val="0"/>
                <w:bCs w:val="0"/>
              </w:rPr>
              <w:t>%</w:t>
            </w:r>
          </w:p>
        </w:tc>
      </w:tr>
      <w:tr w:rsidR="00CD60C2" w:rsidRPr="007F1BCA" w14:paraId="47242CE6"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hideMark/>
          </w:tcPr>
          <w:p w14:paraId="4F43DF8F" w14:textId="77777777" w:rsidR="00CD60C2" w:rsidRPr="007F1BCA" w:rsidRDefault="00CD60C2" w:rsidP="00957DB2">
            <w:pPr>
              <w:rPr>
                <w:rFonts w:eastAsia="Arial" w:cs="Arial"/>
                <w:b w:val="0"/>
                <w:bCs w:val="0"/>
              </w:rPr>
            </w:pPr>
            <w:r w:rsidRPr="007F1BCA">
              <w:rPr>
                <w:rFonts w:eastAsia="Arial" w:cs="Arial"/>
                <w:b w:val="0"/>
                <w:bCs w:val="0"/>
              </w:rPr>
              <w:lastRenderedPageBreak/>
              <w:t>Female</w:t>
            </w:r>
          </w:p>
        </w:tc>
        <w:tc>
          <w:tcPr>
            <w:tcW w:w="637" w:type="pct"/>
            <w:hideMark/>
          </w:tcPr>
          <w:p w14:paraId="79E451D4" w14:textId="77777777" w:rsidR="00CD60C2" w:rsidRPr="007F1BCA" w:rsidRDefault="00CD60C2" w:rsidP="4457CD75">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w:t>
            </w:r>
          </w:p>
        </w:tc>
      </w:tr>
      <w:tr w:rsidR="00CD60C2" w:rsidRPr="007F1BCA" w14:paraId="1B1BB84D" w14:textId="77777777" w:rsidTr="00201E3C">
        <w:tc>
          <w:tcPr>
            <w:cnfStyle w:val="001000000000" w:firstRow="0" w:lastRow="0" w:firstColumn="1" w:lastColumn="0" w:oddVBand="0" w:evenVBand="0" w:oddHBand="0" w:evenHBand="0" w:firstRowFirstColumn="0" w:firstRowLastColumn="0" w:lastRowFirstColumn="0" w:lastRowLastColumn="0"/>
            <w:tcW w:w="4363" w:type="pct"/>
          </w:tcPr>
          <w:p w14:paraId="51DB4932" w14:textId="77777777" w:rsidR="00CD60C2" w:rsidRPr="007F1BCA" w:rsidRDefault="00CD60C2" w:rsidP="00957DB2">
            <w:pPr>
              <w:rPr>
                <w:rFonts w:eastAsia="Arial" w:cs="Arial"/>
                <w:b w:val="0"/>
                <w:bCs w:val="0"/>
              </w:rPr>
            </w:pPr>
            <w:r w:rsidRPr="007F1BCA">
              <w:rPr>
                <w:rFonts w:eastAsia="Arial" w:cs="Arial"/>
                <w:b w:val="0"/>
                <w:bCs w:val="0"/>
              </w:rPr>
              <w:t>Other</w:t>
            </w:r>
          </w:p>
        </w:tc>
        <w:tc>
          <w:tcPr>
            <w:tcW w:w="637" w:type="pct"/>
          </w:tcPr>
          <w:p w14:paraId="6493F49B" w14:textId="77777777" w:rsidR="00CD60C2" w:rsidRPr="007F1BCA" w:rsidRDefault="00CD60C2" w:rsidP="4457CD75">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w:t>
            </w:r>
          </w:p>
        </w:tc>
      </w:tr>
      <w:tr w:rsidR="00CD60C2" w:rsidRPr="007F1BCA" w14:paraId="1473047E"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17A1B39" w14:textId="77777777" w:rsidR="00CD60C2" w:rsidRPr="007F1BCA" w:rsidRDefault="00CD60C2" w:rsidP="00957DB2">
            <w:pPr>
              <w:rPr>
                <w:rFonts w:eastAsia="Arial" w:cs="Arial"/>
                <w:b w:val="0"/>
                <w:bCs w:val="0"/>
              </w:rPr>
            </w:pPr>
            <w:r w:rsidRPr="007F1BCA">
              <w:rPr>
                <w:rFonts w:eastAsia="Arial" w:cs="Arial"/>
                <w:b w:val="0"/>
                <w:bCs w:val="0"/>
              </w:rPr>
              <w:t>If you don't know or prefer not to say, please type "Don't know" or "Prefer not to say" below:</w:t>
            </w:r>
          </w:p>
        </w:tc>
      </w:tr>
      <w:bookmarkEnd w:id="217"/>
      <w:bookmarkEnd w:id="220"/>
    </w:tbl>
    <w:p w14:paraId="1B8024C0" w14:textId="77777777" w:rsidR="00CD60C2" w:rsidRPr="00F34274" w:rsidRDefault="00CD60C2" w:rsidP="00957DB2">
      <w:pPr>
        <w:rPr>
          <w:rFonts w:eastAsia="Arial" w:cs="Arial"/>
        </w:rPr>
      </w:pPr>
    </w:p>
    <w:p w14:paraId="1E0E9E76" w14:textId="77777777" w:rsidR="00CD60C2" w:rsidRPr="00F34274" w:rsidRDefault="00CD60C2" w:rsidP="00957DB2">
      <w:pPr>
        <w:rPr>
          <w:rFonts w:eastAsia="Arial" w:cs="Arial"/>
        </w:rPr>
      </w:pPr>
      <w:r w:rsidRPr="00F34274">
        <w:rPr>
          <w:rFonts w:eastAsia="Arial" w:cs="Arial"/>
        </w:rPr>
        <w:t>ALL</w:t>
      </w:r>
    </w:p>
    <w:p w14:paraId="31E1DE00" w14:textId="77777777" w:rsidR="00CD60C2" w:rsidRPr="00F34274" w:rsidRDefault="00CD60C2" w:rsidP="00957DB2">
      <w:pPr>
        <w:rPr>
          <w:rFonts w:eastAsia="Arial" w:cs="Arial"/>
          <w:bCs/>
        </w:rPr>
      </w:pPr>
      <w:r w:rsidRPr="00F34274">
        <w:rPr>
          <w:rFonts w:eastAsia="Arial" w:cs="Arial"/>
          <w:bCs/>
        </w:rPr>
        <w:t>4. In which region of the UK is your company located?</w:t>
      </w:r>
    </w:p>
    <w:p w14:paraId="410E6444" w14:textId="77777777" w:rsidR="00CD60C2" w:rsidRPr="00F34274" w:rsidRDefault="00CD60C2" w:rsidP="00957DB2">
      <w:pPr>
        <w:rPr>
          <w:rFonts w:eastAsia="Arial" w:cs="Arial"/>
        </w:rPr>
      </w:pPr>
      <w:r w:rsidRPr="00F34274">
        <w:rPr>
          <w:rFonts w:eastAsia="Arial" w:cs="Arial"/>
          <w:bCs/>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919188" w:themeColor="text1" w:themeTint="80"/>
          <w:insideV w:val="single" w:sz="4" w:space="0" w:color="919188" w:themeColor="text1" w:themeTint="80"/>
        </w:tblBorders>
        <w:tblLook w:val="00A0" w:firstRow="1" w:lastRow="0" w:firstColumn="1" w:lastColumn="0" w:noHBand="0" w:noVBand="0"/>
      </w:tblPr>
      <w:tblGrid>
        <w:gridCol w:w="8695"/>
        <w:gridCol w:w="1267"/>
      </w:tblGrid>
      <w:tr w:rsidR="00CD60C2" w:rsidRPr="007F1BCA" w14:paraId="23D7682F"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60295C5E"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West Midlands</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DC96FEB" w14:textId="77777777" w:rsidR="00CD60C2" w:rsidRPr="007F1BCA" w:rsidRDefault="16E31311" w:rsidP="4C93809B">
            <w:pPr>
              <w:jc w:val="right"/>
              <w:rPr>
                <w:rFonts w:eastAsia="Arial" w:cs="Arial"/>
                <w:b w:val="0"/>
                <w:bCs w:val="0"/>
                <w:color w:val="333330" w:themeColor="text1" w:themeTint="E6"/>
              </w:rPr>
            </w:pPr>
            <w:r w:rsidRPr="007F1BCA">
              <w:rPr>
                <w:rFonts w:eastAsia="Arial" w:cs="Arial"/>
                <w:b w:val="0"/>
                <w:bCs w:val="0"/>
                <w:color w:val="333330" w:themeColor="text1" w:themeTint="E6"/>
              </w:rPr>
              <w:t>1</w:t>
            </w:r>
          </w:p>
        </w:tc>
      </w:tr>
      <w:tr w:rsidR="00CD60C2" w:rsidRPr="007F1BCA" w14:paraId="1EFAFB67"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19C49670"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East of England</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5CC057B"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2</w:t>
            </w:r>
          </w:p>
        </w:tc>
      </w:tr>
      <w:tr w:rsidR="00CD60C2" w:rsidRPr="007F1BCA" w14:paraId="40A179B5" w14:textId="77777777" w:rsidTr="00201E3C">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1D8B6F58"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Scotland</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093B3D0B"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3</w:t>
            </w:r>
          </w:p>
        </w:tc>
      </w:tr>
      <w:tr w:rsidR="00CD60C2" w:rsidRPr="007F1BCA" w14:paraId="7B1DA83D"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0DC6DCC3"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London</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10FEDAC"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4</w:t>
            </w:r>
          </w:p>
        </w:tc>
      </w:tr>
      <w:tr w:rsidR="00CD60C2" w:rsidRPr="007F1BCA" w14:paraId="2A0203BC" w14:textId="77777777" w:rsidTr="00201E3C">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3BCC1450" w14:textId="77777777" w:rsidR="00CD60C2" w:rsidRPr="007F1BCA" w:rsidRDefault="00CD60C2" w:rsidP="3E2B953A">
            <w:pPr>
              <w:rPr>
                <w:rFonts w:eastAsia="Arial" w:cs="Arial"/>
                <w:b w:val="0"/>
                <w:bCs w:val="0"/>
                <w:color w:val="333330" w:themeColor="text1" w:themeTint="E6"/>
              </w:rPr>
            </w:pPr>
            <w:proofErr w:type="gramStart"/>
            <w:r w:rsidRPr="007F1BCA">
              <w:rPr>
                <w:rFonts w:eastAsia="Arial" w:cs="Arial"/>
                <w:b w:val="0"/>
                <w:bCs w:val="0"/>
                <w:color w:val="333330" w:themeColor="text1" w:themeTint="E6"/>
              </w:rPr>
              <w:t>North East</w:t>
            </w:r>
            <w:proofErr w:type="gramEnd"/>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1F34071F"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5</w:t>
            </w:r>
          </w:p>
        </w:tc>
      </w:tr>
      <w:tr w:rsidR="00CD60C2" w:rsidRPr="007F1BCA" w14:paraId="33331CE0"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2A56041D"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Northern Ireland</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40E88495"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6</w:t>
            </w:r>
          </w:p>
        </w:tc>
      </w:tr>
      <w:tr w:rsidR="00CD60C2" w:rsidRPr="007F1BCA" w14:paraId="07D957A9" w14:textId="77777777" w:rsidTr="00201E3C">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4AE7818F"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Wales</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E623007"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7</w:t>
            </w:r>
          </w:p>
        </w:tc>
      </w:tr>
      <w:tr w:rsidR="00CD60C2" w:rsidRPr="007F1BCA" w14:paraId="4BBFCEF6"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38049D13"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Yorkshire and The Humber</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40AC1F6"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8</w:t>
            </w:r>
          </w:p>
        </w:tc>
      </w:tr>
      <w:tr w:rsidR="00CD60C2" w:rsidRPr="007F1BCA" w14:paraId="2B86DA71" w14:textId="77777777" w:rsidTr="00201E3C">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18738FFB" w14:textId="77777777" w:rsidR="00CD60C2" w:rsidRPr="007F1BCA" w:rsidRDefault="00CD60C2" w:rsidP="3E2B953A">
            <w:pPr>
              <w:rPr>
                <w:rFonts w:eastAsia="Arial" w:cs="Arial"/>
                <w:b w:val="0"/>
                <w:bCs w:val="0"/>
                <w:color w:val="333330" w:themeColor="text1" w:themeTint="E6"/>
              </w:rPr>
            </w:pPr>
            <w:r w:rsidRPr="007F1BCA">
              <w:rPr>
                <w:rFonts w:eastAsia="Arial" w:cs="Arial"/>
                <w:b w:val="0"/>
                <w:bCs w:val="0"/>
                <w:color w:val="333330" w:themeColor="text1" w:themeTint="E6"/>
              </w:rPr>
              <w:t>East Midlands</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24675725"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9</w:t>
            </w:r>
          </w:p>
        </w:tc>
      </w:tr>
      <w:tr w:rsidR="00CD60C2" w:rsidRPr="007F1BCA" w14:paraId="41D6469C"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6F76FD23" w14:textId="77777777" w:rsidR="00CD60C2" w:rsidRPr="007F1BCA" w:rsidRDefault="00CD60C2" w:rsidP="3E2B953A">
            <w:pPr>
              <w:rPr>
                <w:rFonts w:eastAsia="Arial" w:cs="Arial"/>
                <w:b w:val="0"/>
                <w:bCs w:val="0"/>
                <w:color w:val="333330" w:themeColor="text1" w:themeTint="E6"/>
              </w:rPr>
            </w:pPr>
            <w:proofErr w:type="gramStart"/>
            <w:r w:rsidRPr="007F1BCA">
              <w:rPr>
                <w:rFonts w:eastAsia="Arial" w:cs="Arial"/>
                <w:b w:val="0"/>
                <w:bCs w:val="0"/>
                <w:color w:val="333330" w:themeColor="text1" w:themeTint="E6"/>
              </w:rPr>
              <w:t>South West</w:t>
            </w:r>
            <w:proofErr w:type="gramEnd"/>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42DA0A9F"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10</w:t>
            </w:r>
          </w:p>
        </w:tc>
      </w:tr>
      <w:tr w:rsidR="00CD60C2" w:rsidRPr="007F1BCA" w14:paraId="55B58146" w14:textId="77777777" w:rsidTr="00201E3C">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auto"/>
              <w:bottom w:val="single" w:sz="4" w:space="0" w:color="auto"/>
              <w:right w:val="single" w:sz="4" w:space="0" w:color="auto"/>
            </w:tcBorders>
          </w:tcPr>
          <w:p w14:paraId="545FA823" w14:textId="77777777" w:rsidR="00CD60C2" w:rsidRPr="007F1BCA" w:rsidRDefault="00CD60C2" w:rsidP="3E2B953A">
            <w:pPr>
              <w:rPr>
                <w:rFonts w:eastAsia="Arial" w:cs="Arial"/>
                <w:b w:val="0"/>
                <w:bCs w:val="0"/>
                <w:color w:val="333330" w:themeColor="text1" w:themeTint="E6"/>
              </w:rPr>
            </w:pPr>
            <w:proofErr w:type="gramStart"/>
            <w:r w:rsidRPr="007F1BCA">
              <w:rPr>
                <w:rFonts w:eastAsia="Arial" w:cs="Arial"/>
                <w:b w:val="0"/>
                <w:bCs w:val="0"/>
                <w:color w:val="333330" w:themeColor="text1" w:themeTint="E6"/>
              </w:rPr>
              <w:t>South East</w:t>
            </w:r>
            <w:proofErr w:type="gramEnd"/>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single" w:sz="4" w:space="0" w:color="auto"/>
              <w:bottom w:val="single" w:sz="4" w:space="0" w:color="auto"/>
            </w:tcBorders>
            <w:vAlign w:val="center"/>
          </w:tcPr>
          <w:p w14:paraId="74C21BE8" w14:textId="77777777" w:rsidR="00CD60C2" w:rsidRPr="007F1BCA" w:rsidRDefault="16E31311" w:rsidP="4C93809B">
            <w:pPr>
              <w:jc w:val="right"/>
              <w:rPr>
                <w:rFonts w:eastAsia="Arial" w:cs="Arial"/>
                <w:color w:val="333330" w:themeColor="text1" w:themeTint="E6"/>
              </w:rPr>
            </w:pPr>
            <w:r w:rsidRPr="007F1BCA">
              <w:rPr>
                <w:rFonts w:eastAsia="Arial" w:cs="Arial"/>
                <w:color w:val="333330" w:themeColor="text1" w:themeTint="E6"/>
              </w:rPr>
              <w:t>11</w:t>
            </w:r>
          </w:p>
        </w:tc>
      </w:tr>
    </w:tbl>
    <w:p w14:paraId="009F673A" w14:textId="77777777" w:rsidR="00243D47" w:rsidRDefault="00243D47" w:rsidP="00957DB2">
      <w:pPr>
        <w:rPr>
          <w:rFonts w:eastAsia="Arial" w:cs="Arial"/>
        </w:rPr>
      </w:pPr>
    </w:p>
    <w:p w14:paraId="77F561CD" w14:textId="77777777" w:rsidR="00CD60C2" w:rsidRPr="00F34274" w:rsidRDefault="00CD60C2" w:rsidP="00957DB2">
      <w:pPr>
        <w:rPr>
          <w:rFonts w:eastAsia="Arial" w:cs="Arial"/>
        </w:rPr>
      </w:pPr>
      <w:r w:rsidRPr="00F34274">
        <w:rPr>
          <w:rFonts w:eastAsia="Arial" w:cs="Arial"/>
        </w:rPr>
        <w:t>ALL</w:t>
      </w:r>
    </w:p>
    <w:p w14:paraId="1BB5DBC1" w14:textId="77777777" w:rsidR="00CD60C2" w:rsidRDefault="00CD60C2" w:rsidP="00957DB2">
      <w:pPr>
        <w:rPr>
          <w:rFonts w:eastAsia="Arial" w:cs="Arial"/>
          <w:bCs/>
        </w:rPr>
      </w:pPr>
      <w:r w:rsidRPr="00F34274">
        <w:rPr>
          <w:rFonts w:eastAsia="Arial" w:cs="Arial"/>
          <w:bCs/>
        </w:rPr>
        <w:t xml:space="preserve">5. Which of the following descriptions best describes the stage the company was at when you </w:t>
      </w:r>
      <w:r w:rsidRPr="00F34274">
        <w:rPr>
          <w:rFonts w:eastAsia="Arial" w:cs="Arial"/>
          <w:bCs/>
          <w:u w:val="single"/>
        </w:rPr>
        <w:t>received funding from your Investor?</w:t>
      </w:r>
      <w:r w:rsidRPr="00F34274">
        <w:rPr>
          <w:rFonts w:eastAsia="Arial" w:cs="Arial"/>
          <w:bCs/>
        </w:rPr>
        <w:t xml:space="preserve">  </w:t>
      </w:r>
    </w:p>
    <w:p w14:paraId="3DCA3EEF" w14:textId="77777777" w:rsidR="005A7B44" w:rsidRPr="00F34274" w:rsidRDefault="005A7B44" w:rsidP="00957DB2">
      <w:pPr>
        <w:rPr>
          <w:rFonts w:eastAsia="Arial" w:cs="Arial"/>
          <w:bCs/>
        </w:rPr>
      </w:pPr>
    </w:p>
    <w:p w14:paraId="47CF3BE4" w14:textId="77777777" w:rsidR="005A7B44" w:rsidRDefault="005A7B44" w:rsidP="00957DB2">
      <w:pPr>
        <w:rPr>
          <w:rFonts w:eastAsia="Arial" w:cs="Arial"/>
          <w:bCs/>
        </w:rPr>
      </w:pPr>
    </w:p>
    <w:p w14:paraId="2ABC2C58" w14:textId="12DD1DDC" w:rsidR="00CD60C2" w:rsidRPr="00F34274" w:rsidRDefault="00CD60C2" w:rsidP="00957DB2">
      <w:pPr>
        <w:rPr>
          <w:rFonts w:eastAsia="Arial" w:cs="Arial"/>
          <w:b/>
          <w:bCs/>
        </w:rPr>
      </w:pPr>
      <w:r w:rsidRPr="00F34274">
        <w:rPr>
          <w:rFonts w:eastAsia="Arial" w:cs="Arial"/>
          <w:bCs/>
        </w:rPr>
        <w:lastRenderedPageBreak/>
        <w:t>PLEASE CHECK ONE</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5"/>
        <w:gridCol w:w="1267"/>
      </w:tblGrid>
      <w:tr w:rsidR="00CD60C2" w:rsidRPr="00F34274" w14:paraId="47C3B677" w14:textId="77777777" w:rsidTr="00201E3C">
        <w:tc>
          <w:tcPr>
            <w:tcW w:w="4364" w:type="pct"/>
            <w:vAlign w:val="center"/>
          </w:tcPr>
          <w:p w14:paraId="0FFDEC69"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 xml:space="preserve">A company that had not yet made substantial commercial sales. </w:t>
            </w:r>
          </w:p>
        </w:tc>
        <w:tc>
          <w:tcPr>
            <w:tcW w:w="636" w:type="pct"/>
            <w:vAlign w:val="center"/>
          </w:tcPr>
          <w:p w14:paraId="1B6333B7"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1</w:t>
            </w:r>
          </w:p>
        </w:tc>
      </w:tr>
      <w:tr w:rsidR="00CD60C2" w:rsidRPr="00F34274" w14:paraId="5A12C05B" w14:textId="77777777" w:rsidTr="00201E3C">
        <w:tc>
          <w:tcPr>
            <w:tcW w:w="4364" w:type="pct"/>
            <w:vAlign w:val="center"/>
          </w:tcPr>
          <w:p w14:paraId="3A3BDBE8"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A company that had been around for less than 3 years. Sales were growing rapidly but the company was not yet profitable.</w:t>
            </w:r>
          </w:p>
        </w:tc>
        <w:tc>
          <w:tcPr>
            <w:tcW w:w="636" w:type="pct"/>
            <w:vAlign w:val="center"/>
          </w:tcPr>
          <w:p w14:paraId="2570239B"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2</w:t>
            </w:r>
          </w:p>
        </w:tc>
      </w:tr>
      <w:tr w:rsidR="00CD60C2" w:rsidRPr="00F34274" w14:paraId="24A5C625" w14:textId="77777777" w:rsidTr="00201E3C">
        <w:tc>
          <w:tcPr>
            <w:tcW w:w="4364" w:type="pct"/>
            <w:vAlign w:val="center"/>
          </w:tcPr>
          <w:p w14:paraId="1C6A551A"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A company that had been around for more than 3 years. Sales were growing rapidly but the company was not yet profitable</w:t>
            </w:r>
          </w:p>
        </w:tc>
        <w:tc>
          <w:tcPr>
            <w:tcW w:w="636" w:type="pct"/>
            <w:vAlign w:val="center"/>
          </w:tcPr>
          <w:p w14:paraId="364F8B75"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3</w:t>
            </w:r>
          </w:p>
        </w:tc>
      </w:tr>
      <w:tr w:rsidR="00CD60C2" w:rsidRPr="00F34274" w14:paraId="53C9A8B7" w14:textId="77777777" w:rsidTr="00201E3C">
        <w:tc>
          <w:tcPr>
            <w:tcW w:w="4364" w:type="pct"/>
            <w:vAlign w:val="center"/>
          </w:tcPr>
          <w:p w14:paraId="06AF4D97"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 xml:space="preserve">A more established company with steady revenue streams (some of which may have been profitable). </w:t>
            </w:r>
          </w:p>
        </w:tc>
        <w:tc>
          <w:tcPr>
            <w:tcW w:w="636" w:type="pct"/>
            <w:vAlign w:val="center"/>
          </w:tcPr>
          <w:p w14:paraId="0E404CA9"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4</w:t>
            </w:r>
          </w:p>
        </w:tc>
      </w:tr>
      <w:tr w:rsidR="00CD60C2" w:rsidRPr="00F34274" w14:paraId="336911D9" w14:textId="77777777" w:rsidTr="00201E3C">
        <w:tc>
          <w:tcPr>
            <w:tcW w:w="4364" w:type="pct"/>
            <w:vAlign w:val="center"/>
          </w:tcPr>
          <w:p w14:paraId="7A5A4C98"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An established business seeking funding to help recovery/turn around</w:t>
            </w:r>
          </w:p>
        </w:tc>
        <w:tc>
          <w:tcPr>
            <w:tcW w:w="636" w:type="pct"/>
            <w:vAlign w:val="center"/>
          </w:tcPr>
          <w:p w14:paraId="7539546F"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5</w:t>
            </w:r>
          </w:p>
        </w:tc>
      </w:tr>
      <w:tr w:rsidR="00CD60C2" w:rsidRPr="00F34274" w14:paraId="72996629" w14:textId="77777777" w:rsidTr="00201E3C">
        <w:tc>
          <w:tcPr>
            <w:tcW w:w="4364" w:type="pct"/>
            <w:vAlign w:val="center"/>
          </w:tcPr>
          <w:p w14:paraId="60DE7E7B"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Other – please write in</w:t>
            </w:r>
          </w:p>
        </w:tc>
        <w:tc>
          <w:tcPr>
            <w:tcW w:w="636" w:type="pct"/>
            <w:vAlign w:val="center"/>
          </w:tcPr>
          <w:p w14:paraId="52A72DEB"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6</w:t>
            </w:r>
          </w:p>
        </w:tc>
      </w:tr>
      <w:tr w:rsidR="00CD60C2" w:rsidRPr="00F34274" w14:paraId="4E8F93B5" w14:textId="77777777" w:rsidTr="00201E3C">
        <w:tc>
          <w:tcPr>
            <w:tcW w:w="4364" w:type="pct"/>
            <w:vAlign w:val="center"/>
          </w:tcPr>
          <w:p w14:paraId="01F13247" w14:textId="77777777" w:rsidR="00CD60C2" w:rsidRPr="00F34274" w:rsidRDefault="00CD60C2" w:rsidP="00957DB2">
            <w:pPr>
              <w:rPr>
                <w:rFonts w:eastAsia="Arial" w:cs="Arial"/>
                <w:color w:val="333330" w:themeColor="text1" w:themeTint="E6"/>
              </w:rPr>
            </w:pPr>
            <w:r w:rsidRPr="284984F3">
              <w:rPr>
                <w:rFonts w:eastAsia="Arial" w:cs="Arial"/>
                <w:color w:val="333330" w:themeColor="text1" w:themeTint="E6"/>
              </w:rPr>
              <w:t>Don’t know</w:t>
            </w:r>
          </w:p>
        </w:tc>
        <w:tc>
          <w:tcPr>
            <w:tcW w:w="636" w:type="pct"/>
            <w:vAlign w:val="center"/>
          </w:tcPr>
          <w:p w14:paraId="1D22792E" w14:textId="77777777" w:rsidR="00CD60C2" w:rsidRPr="00F34274" w:rsidRDefault="00CD60C2" w:rsidP="284984F3">
            <w:pPr>
              <w:jc w:val="right"/>
              <w:rPr>
                <w:rFonts w:eastAsia="Arial" w:cs="Arial"/>
                <w:color w:val="333330" w:themeColor="text1" w:themeTint="E6"/>
              </w:rPr>
            </w:pPr>
            <w:r w:rsidRPr="284984F3">
              <w:rPr>
                <w:rFonts w:eastAsia="Arial" w:cs="Arial"/>
                <w:color w:val="333330" w:themeColor="text1" w:themeTint="E6"/>
              </w:rPr>
              <w:t>99</w:t>
            </w:r>
          </w:p>
        </w:tc>
      </w:tr>
    </w:tbl>
    <w:p w14:paraId="752267DC" w14:textId="77777777" w:rsidR="00CD60C2" w:rsidRPr="00F34274" w:rsidRDefault="00CD60C2" w:rsidP="00957DB2">
      <w:pPr>
        <w:rPr>
          <w:rFonts w:eastAsia="Arial" w:cs="Arial"/>
          <w:b/>
        </w:rPr>
      </w:pPr>
      <w:bookmarkStart w:id="221" w:name="_Hlk76979181"/>
    </w:p>
    <w:p w14:paraId="43F74C59" w14:textId="77777777" w:rsidR="00CD60C2" w:rsidRPr="00F34274" w:rsidRDefault="00CD60C2" w:rsidP="00957DB2">
      <w:pPr>
        <w:shd w:val="clear" w:color="auto" w:fill="F2F2F2"/>
        <w:rPr>
          <w:rFonts w:eastAsia="Arial" w:cs="Arial"/>
          <w:bCs/>
        </w:rPr>
      </w:pPr>
      <w:r w:rsidRPr="00F34274">
        <w:rPr>
          <w:rFonts w:eastAsia="Arial" w:cs="Arial"/>
          <w:bCs/>
        </w:rPr>
        <w:t>Pre-Financing Environment</w:t>
      </w:r>
    </w:p>
    <w:p w14:paraId="0138BBB1" w14:textId="77777777" w:rsidR="00CD60C2" w:rsidRPr="00F34274" w:rsidRDefault="00CD60C2" w:rsidP="00957DB2">
      <w:pPr>
        <w:rPr>
          <w:rFonts w:eastAsia="Arial" w:cs="Arial"/>
        </w:rPr>
      </w:pPr>
      <w:r w:rsidRPr="00F34274">
        <w:rPr>
          <w:rFonts w:eastAsia="Arial" w:cs="Arial"/>
        </w:rPr>
        <w:t>ALL</w:t>
      </w:r>
    </w:p>
    <w:p w14:paraId="7885221B" w14:textId="77777777" w:rsidR="00CD60C2" w:rsidRPr="00F34274" w:rsidRDefault="00CD60C2" w:rsidP="00957DB2">
      <w:pPr>
        <w:rPr>
          <w:rFonts w:eastAsia="Arial" w:cs="Arial"/>
          <w:bCs/>
        </w:rPr>
      </w:pPr>
      <w:r w:rsidRPr="00F34274">
        <w:rPr>
          <w:rFonts w:eastAsia="Arial" w:cs="Arial"/>
          <w:bCs/>
        </w:rPr>
        <w:t xml:space="preserve">6. How was the funding environment before you engaged with your Investor? </w:t>
      </w:r>
    </w:p>
    <w:p w14:paraId="267A577A" w14:textId="77777777" w:rsidR="00CD60C2" w:rsidRPr="00F34274" w:rsidRDefault="00CD60C2" w:rsidP="00957DB2">
      <w:pPr>
        <w:rPr>
          <w:rFonts w:eastAsia="Arial" w:cs="Arial"/>
          <w:b/>
          <w:bCs/>
        </w:rPr>
      </w:pPr>
      <w:r w:rsidRPr="00F34274">
        <w:rPr>
          <w:rFonts w:eastAsia="Arial" w:cs="Arial"/>
          <w:bCs/>
        </w:rPr>
        <w:t>PLEASE CHECK ONE</w:t>
      </w:r>
    </w:p>
    <w:tbl>
      <w:tblPr>
        <w:tblStyle w:val="PlainTable21"/>
        <w:tblW w:w="5000" w:type="pct"/>
        <w:tblLook w:val="04A0" w:firstRow="1" w:lastRow="0" w:firstColumn="1" w:lastColumn="0" w:noHBand="0" w:noVBand="1"/>
      </w:tblPr>
      <w:tblGrid>
        <w:gridCol w:w="8693"/>
        <w:gridCol w:w="1269"/>
      </w:tblGrid>
      <w:tr w:rsidR="00CD60C2" w:rsidRPr="007F1BCA" w14:paraId="3389E760"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3E7AB777" w14:textId="77777777" w:rsidR="00CD60C2" w:rsidRPr="007F1BCA" w:rsidRDefault="00CD60C2" w:rsidP="3E2B953A">
            <w:pPr>
              <w:rPr>
                <w:rFonts w:eastAsia="Arial" w:cs="Arial"/>
                <w:b w:val="0"/>
                <w:bCs w:val="0"/>
              </w:rPr>
            </w:pPr>
            <w:r w:rsidRPr="007F1BCA">
              <w:rPr>
                <w:rFonts w:eastAsia="Arial" w:cs="Arial"/>
                <w:b w:val="0"/>
                <w:bCs w:val="0"/>
              </w:rPr>
              <w:t>Very difficult</w:t>
            </w:r>
          </w:p>
        </w:tc>
        <w:tc>
          <w:tcPr>
            <w:tcW w:w="637" w:type="pct"/>
            <w:tcBorders>
              <w:top w:val="single" w:sz="4" w:space="0" w:color="auto"/>
              <w:left w:val="single" w:sz="4" w:space="0" w:color="auto"/>
              <w:bottom w:val="single" w:sz="4" w:space="0" w:color="auto"/>
              <w:right w:val="single" w:sz="4" w:space="0" w:color="auto"/>
            </w:tcBorders>
          </w:tcPr>
          <w:p w14:paraId="04DD2966" w14:textId="77777777" w:rsidR="00CD60C2" w:rsidRPr="007F1BCA" w:rsidRDefault="16E31311"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7F1BCA">
              <w:rPr>
                <w:rFonts w:eastAsia="Arial" w:cs="Arial"/>
                <w:b w:val="0"/>
                <w:bCs w:val="0"/>
              </w:rPr>
              <w:t>1</w:t>
            </w:r>
          </w:p>
        </w:tc>
      </w:tr>
      <w:tr w:rsidR="00CD60C2" w:rsidRPr="007F1BCA" w14:paraId="54695312"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4C7E25FE" w14:textId="77777777" w:rsidR="00CD60C2" w:rsidRPr="007F1BCA" w:rsidRDefault="00CD60C2" w:rsidP="3E2B953A">
            <w:pPr>
              <w:rPr>
                <w:rFonts w:eastAsia="Arial" w:cs="Arial"/>
                <w:b w:val="0"/>
                <w:bCs w:val="0"/>
              </w:rPr>
            </w:pPr>
            <w:r w:rsidRPr="007F1BCA">
              <w:rPr>
                <w:rFonts w:eastAsia="Arial" w:cs="Arial"/>
                <w:b w:val="0"/>
                <w:bCs w:val="0"/>
              </w:rPr>
              <w:t>Fairly difficult</w:t>
            </w:r>
          </w:p>
        </w:tc>
        <w:tc>
          <w:tcPr>
            <w:tcW w:w="637" w:type="pct"/>
            <w:tcBorders>
              <w:top w:val="single" w:sz="4" w:space="0" w:color="auto"/>
              <w:left w:val="single" w:sz="4" w:space="0" w:color="auto"/>
              <w:bottom w:val="single" w:sz="4" w:space="0" w:color="auto"/>
              <w:right w:val="single" w:sz="4" w:space="0" w:color="auto"/>
            </w:tcBorders>
          </w:tcPr>
          <w:p w14:paraId="1E844C21"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2</w:t>
            </w:r>
          </w:p>
        </w:tc>
      </w:tr>
      <w:tr w:rsidR="00CD60C2" w:rsidRPr="007F1BCA" w14:paraId="47831A93" w14:textId="77777777" w:rsidTr="00201E3C">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67A4C582" w14:textId="77777777" w:rsidR="00CD60C2" w:rsidRPr="007F1BCA" w:rsidRDefault="00CD60C2" w:rsidP="3E2B953A">
            <w:pPr>
              <w:rPr>
                <w:rFonts w:eastAsia="Arial" w:cs="Arial"/>
                <w:b w:val="0"/>
                <w:bCs w:val="0"/>
              </w:rPr>
            </w:pPr>
            <w:r w:rsidRPr="007F1BCA">
              <w:rPr>
                <w:rFonts w:eastAsia="Arial" w:cs="Arial"/>
                <w:b w:val="0"/>
                <w:bCs w:val="0"/>
              </w:rPr>
              <w:t>Neither difficult/nor easy</w:t>
            </w:r>
          </w:p>
        </w:tc>
        <w:tc>
          <w:tcPr>
            <w:tcW w:w="637" w:type="pct"/>
            <w:tcBorders>
              <w:top w:val="single" w:sz="4" w:space="0" w:color="auto"/>
              <w:left w:val="single" w:sz="4" w:space="0" w:color="auto"/>
              <w:bottom w:val="single" w:sz="4" w:space="0" w:color="auto"/>
              <w:right w:val="single" w:sz="4" w:space="0" w:color="auto"/>
            </w:tcBorders>
          </w:tcPr>
          <w:p w14:paraId="373A029D" w14:textId="77777777" w:rsidR="00CD60C2" w:rsidRPr="007F1BCA"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3</w:t>
            </w:r>
          </w:p>
        </w:tc>
      </w:tr>
      <w:tr w:rsidR="00CD60C2" w:rsidRPr="00F34274" w14:paraId="422A812A"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0B9F5591" w14:textId="77777777" w:rsidR="00CD60C2" w:rsidRPr="007F1BCA" w:rsidRDefault="00CD60C2" w:rsidP="3E2B953A">
            <w:pPr>
              <w:rPr>
                <w:rFonts w:eastAsia="Arial" w:cs="Arial"/>
                <w:b w:val="0"/>
                <w:bCs w:val="0"/>
              </w:rPr>
            </w:pPr>
            <w:r w:rsidRPr="007F1BCA">
              <w:rPr>
                <w:rFonts w:eastAsia="Arial" w:cs="Arial"/>
                <w:b w:val="0"/>
                <w:bCs w:val="0"/>
              </w:rPr>
              <w:t>Fairly easy</w:t>
            </w:r>
          </w:p>
        </w:tc>
        <w:tc>
          <w:tcPr>
            <w:tcW w:w="637" w:type="pct"/>
            <w:tcBorders>
              <w:top w:val="single" w:sz="4" w:space="0" w:color="auto"/>
              <w:left w:val="single" w:sz="4" w:space="0" w:color="auto"/>
              <w:bottom w:val="single" w:sz="4" w:space="0" w:color="auto"/>
              <w:right w:val="single" w:sz="4" w:space="0" w:color="auto"/>
            </w:tcBorders>
          </w:tcPr>
          <w:p w14:paraId="7AA25F2F" w14:textId="77777777" w:rsidR="00CD60C2" w:rsidRPr="00F34274"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3E2B953A">
              <w:rPr>
                <w:rFonts w:eastAsia="Arial" w:cs="Arial"/>
              </w:rPr>
              <w:t>4</w:t>
            </w:r>
          </w:p>
        </w:tc>
      </w:tr>
      <w:tr w:rsidR="00CD60C2" w:rsidRPr="00F34274" w14:paraId="3783A7A7" w14:textId="77777777" w:rsidTr="00201E3C">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73AA0218" w14:textId="77777777" w:rsidR="00CD60C2" w:rsidRPr="007F1BCA" w:rsidRDefault="00CD60C2" w:rsidP="3E2B953A">
            <w:pPr>
              <w:rPr>
                <w:rFonts w:eastAsia="Arial" w:cs="Arial"/>
                <w:b w:val="0"/>
                <w:bCs w:val="0"/>
              </w:rPr>
            </w:pPr>
            <w:r w:rsidRPr="007F1BCA">
              <w:rPr>
                <w:rFonts w:eastAsia="Arial" w:cs="Arial"/>
                <w:b w:val="0"/>
                <w:bCs w:val="0"/>
              </w:rPr>
              <w:t>Very easy</w:t>
            </w:r>
          </w:p>
        </w:tc>
        <w:tc>
          <w:tcPr>
            <w:tcW w:w="637" w:type="pct"/>
            <w:tcBorders>
              <w:top w:val="single" w:sz="4" w:space="0" w:color="auto"/>
              <w:left w:val="single" w:sz="4" w:space="0" w:color="auto"/>
              <w:bottom w:val="single" w:sz="4" w:space="0" w:color="auto"/>
              <w:right w:val="single" w:sz="4" w:space="0" w:color="auto"/>
            </w:tcBorders>
          </w:tcPr>
          <w:p w14:paraId="5C1F4AC1" w14:textId="77777777" w:rsidR="00CD60C2" w:rsidRPr="00F34274"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3E2B953A">
              <w:rPr>
                <w:rFonts w:eastAsia="Arial" w:cs="Arial"/>
              </w:rPr>
              <w:t>5</w:t>
            </w:r>
          </w:p>
        </w:tc>
      </w:tr>
      <w:tr w:rsidR="00CD60C2" w:rsidRPr="00F34274" w14:paraId="17E0E28F"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top w:val="single" w:sz="4" w:space="0" w:color="auto"/>
              <w:left w:val="single" w:sz="4" w:space="0" w:color="auto"/>
              <w:bottom w:val="single" w:sz="4" w:space="0" w:color="auto"/>
              <w:right w:val="single" w:sz="4" w:space="0" w:color="auto"/>
            </w:tcBorders>
          </w:tcPr>
          <w:p w14:paraId="50C38DD4" w14:textId="77777777" w:rsidR="00CD60C2" w:rsidRPr="007F1BCA" w:rsidRDefault="00CD60C2" w:rsidP="3E2B953A">
            <w:pPr>
              <w:rPr>
                <w:rFonts w:eastAsia="Arial" w:cs="Arial"/>
                <w:b w:val="0"/>
                <w:bCs w:val="0"/>
              </w:rPr>
            </w:pPr>
            <w:r w:rsidRPr="007F1BCA">
              <w:rPr>
                <w:rFonts w:eastAsia="Arial" w:cs="Arial"/>
                <w:b w:val="0"/>
                <w:bCs w:val="0"/>
              </w:rPr>
              <w:t>Don’t know</w:t>
            </w:r>
          </w:p>
        </w:tc>
        <w:tc>
          <w:tcPr>
            <w:tcW w:w="637" w:type="pct"/>
            <w:tcBorders>
              <w:top w:val="single" w:sz="4" w:space="0" w:color="auto"/>
              <w:left w:val="single" w:sz="4" w:space="0" w:color="auto"/>
              <w:bottom w:val="single" w:sz="4" w:space="0" w:color="auto"/>
              <w:right w:val="single" w:sz="4" w:space="0" w:color="auto"/>
            </w:tcBorders>
          </w:tcPr>
          <w:p w14:paraId="7924E7E3" w14:textId="77777777" w:rsidR="00CD60C2" w:rsidRPr="00F34274"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3E2B953A">
              <w:rPr>
                <w:rFonts w:eastAsia="Arial" w:cs="Arial"/>
              </w:rPr>
              <w:t>99</w:t>
            </w:r>
          </w:p>
        </w:tc>
      </w:tr>
    </w:tbl>
    <w:p w14:paraId="29603B6D" w14:textId="77777777" w:rsidR="00CD60C2" w:rsidRPr="00F34274" w:rsidRDefault="00CD60C2" w:rsidP="00957DB2">
      <w:pPr>
        <w:rPr>
          <w:rFonts w:eastAsia="Arial" w:cs="Arial"/>
        </w:rPr>
      </w:pPr>
    </w:p>
    <w:p w14:paraId="5ACF5C06" w14:textId="77777777" w:rsidR="005A7B44" w:rsidRDefault="005A7B44" w:rsidP="00957DB2">
      <w:pPr>
        <w:rPr>
          <w:rFonts w:eastAsia="Arial" w:cs="Arial"/>
        </w:rPr>
      </w:pPr>
    </w:p>
    <w:p w14:paraId="6BD49644" w14:textId="743971CB" w:rsidR="00CD60C2" w:rsidRPr="00F34274" w:rsidRDefault="00CD60C2" w:rsidP="00957DB2">
      <w:pPr>
        <w:rPr>
          <w:rFonts w:eastAsia="Arial" w:cs="Arial"/>
        </w:rPr>
      </w:pPr>
      <w:r w:rsidRPr="00F34274">
        <w:rPr>
          <w:rFonts w:eastAsia="Arial" w:cs="Arial"/>
        </w:rPr>
        <w:lastRenderedPageBreak/>
        <w:t>ALL</w:t>
      </w:r>
    </w:p>
    <w:p w14:paraId="5595AE74" w14:textId="77777777" w:rsidR="00CD60C2" w:rsidRPr="00F34274" w:rsidRDefault="00CD60C2" w:rsidP="00957DB2">
      <w:pPr>
        <w:rPr>
          <w:rFonts w:eastAsia="Arial" w:cs="Arial"/>
          <w:bCs/>
        </w:rPr>
      </w:pPr>
      <w:r w:rsidRPr="00F34274">
        <w:rPr>
          <w:rFonts w:eastAsia="Arial" w:cs="Arial"/>
          <w:bCs/>
        </w:rPr>
        <w:t>7. How did you come across your Investor?</w:t>
      </w:r>
    </w:p>
    <w:p w14:paraId="6A528CCD" w14:textId="77777777" w:rsidR="00CD60C2" w:rsidRPr="00F34274" w:rsidRDefault="00CD60C2" w:rsidP="00957DB2">
      <w:pPr>
        <w:rPr>
          <w:rFonts w:eastAsia="Arial" w:cs="Arial"/>
        </w:rPr>
      </w:pPr>
      <w:r w:rsidRPr="00F34274">
        <w:rPr>
          <w:rFonts w:eastAsia="Arial" w:cs="Arial"/>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7"/>
        <w:gridCol w:w="1265"/>
      </w:tblGrid>
      <w:tr w:rsidR="00CD60C2" w:rsidRPr="007F1BCA" w14:paraId="256EB62B"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7BF08D8E" w14:textId="77777777" w:rsidR="00CD60C2" w:rsidRPr="007F1BCA" w:rsidRDefault="00CD60C2" w:rsidP="00957DB2">
            <w:pPr>
              <w:rPr>
                <w:rFonts w:eastAsia="Arial" w:cs="Arial"/>
                <w:b w:val="0"/>
                <w:bCs w:val="0"/>
              </w:rPr>
            </w:pPr>
            <w:r w:rsidRPr="007F1BCA">
              <w:rPr>
                <w:rFonts w:eastAsia="Arial" w:cs="Arial"/>
                <w:b w:val="0"/>
                <w:bCs w:val="0"/>
              </w:rPr>
              <w:t>Have previously been financed by the Investor</w:t>
            </w:r>
          </w:p>
        </w:tc>
        <w:tc>
          <w:tcPr>
            <w:tcW w:w="635" w:type="pct"/>
          </w:tcPr>
          <w:p w14:paraId="56736ECE" w14:textId="77777777" w:rsidR="00CD60C2" w:rsidRPr="007F1BCA" w:rsidRDefault="16E31311"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7F1BCA">
              <w:rPr>
                <w:rFonts w:eastAsia="Arial" w:cs="Arial"/>
                <w:b w:val="0"/>
                <w:bCs w:val="0"/>
              </w:rPr>
              <w:t>1</w:t>
            </w:r>
          </w:p>
        </w:tc>
      </w:tr>
      <w:tr w:rsidR="00CD60C2" w:rsidRPr="007F1BCA" w14:paraId="68342141"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234F6797" w14:textId="77777777" w:rsidR="00CD60C2" w:rsidRPr="007F1BCA" w:rsidRDefault="00CD60C2" w:rsidP="00957DB2">
            <w:pPr>
              <w:rPr>
                <w:rFonts w:eastAsia="Arial" w:cs="Arial"/>
                <w:b w:val="0"/>
                <w:bCs w:val="0"/>
              </w:rPr>
            </w:pPr>
            <w:r w:rsidRPr="007F1BCA">
              <w:rPr>
                <w:rFonts w:eastAsia="Arial" w:cs="Arial"/>
                <w:b w:val="0"/>
                <w:bCs w:val="0"/>
              </w:rPr>
              <w:t>Prior relationship (other than being funded)</w:t>
            </w:r>
          </w:p>
        </w:tc>
        <w:tc>
          <w:tcPr>
            <w:tcW w:w="635" w:type="pct"/>
          </w:tcPr>
          <w:p w14:paraId="3845C8C6"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2</w:t>
            </w:r>
          </w:p>
        </w:tc>
      </w:tr>
      <w:tr w:rsidR="00CD60C2" w:rsidRPr="007F1BCA" w14:paraId="718AB695"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32ECA5D6" w14:textId="77777777" w:rsidR="00CD60C2" w:rsidRPr="007F1BCA" w:rsidRDefault="00CD60C2" w:rsidP="00957DB2">
            <w:pPr>
              <w:rPr>
                <w:rFonts w:eastAsia="Arial" w:cs="Arial"/>
                <w:b w:val="0"/>
                <w:bCs w:val="0"/>
              </w:rPr>
            </w:pPr>
            <w:r w:rsidRPr="007F1BCA">
              <w:rPr>
                <w:rFonts w:eastAsia="Arial" w:cs="Arial"/>
                <w:b w:val="0"/>
                <w:bCs w:val="0"/>
              </w:rPr>
              <w:t>Directly contacted by the Investor</w:t>
            </w:r>
            <w:r w:rsidRPr="007F1BCA" w:rsidDel="003B257F">
              <w:rPr>
                <w:rFonts w:eastAsia="Arial" w:cs="Arial"/>
                <w:b w:val="0"/>
                <w:bCs w:val="0"/>
              </w:rPr>
              <w:t xml:space="preserve"> </w:t>
            </w:r>
          </w:p>
        </w:tc>
        <w:tc>
          <w:tcPr>
            <w:tcW w:w="635" w:type="pct"/>
          </w:tcPr>
          <w:p w14:paraId="3BA2D9CF" w14:textId="77777777" w:rsidR="00CD60C2" w:rsidRPr="007F1BCA"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3</w:t>
            </w:r>
          </w:p>
        </w:tc>
      </w:tr>
      <w:tr w:rsidR="00CD60C2" w:rsidRPr="007F1BCA" w14:paraId="36EB36C4"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718B70E8" w14:textId="77777777" w:rsidR="00CD60C2" w:rsidRPr="007F1BCA" w:rsidRDefault="00CD60C2" w:rsidP="00957DB2">
            <w:pPr>
              <w:rPr>
                <w:rFonts w:eastAsia="Arial" w:cs="Arial"/>
                <w:b w:val="0"/>
                <w:bCs w:val="0"/>
              </w:rPr>
            </w:pPr>
            <w:r w:rsidRPr="007F1BCA">
              <w:rPr>
                <w:rFonts w:eastAsia="Arial" w:cs="Arial"/>
                <w:b w:val="0"/>
                <w:bCs w:val="0"/>
              </w:rPr>
              <w:t>Directly contacted the Investor yourself</w:t>
            </w:r>
          </w:p>
        </w:tc>
        <w:tc>
          <w:tcPr>
            <w:tcW w:w="635" w:type="pct"/>
          </w:tcPr>
          <w:p w14:paraId="0D775B03"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4</w:t>
            </w:r>
          </w:p>
        </w:tc>
      </w:tr>
      <w:tr w:rsidR="00CD60C2" w:rsidRPr="007F1BCA" w14:paraId="51E692C0"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78A0CB46" w14:textId="77777777" w:rsidR="00CD60C2" w:rsidRPr="007F1BCA" w:rsidRDefault="00CD60C2" w:rsidP="00957DB2">
            <w:pPr>
              <w:rPr>
                <w:rFonts w:eastAsia="Arial" w:cs="Arial"/>
                <w:b w:val="0"/>
                <w:bCs w:val="0"/>
              </w:rPr>
            </w:pPr>
            <w:r w:rsidRPr="007F1BCA">
              <w:rPr>
                <w:rFonts w:eastAsia="Arial" w:cs="Arial"/>
                <w:b w:val="0"/>
                <w:bCs w:val="0"/>
              </w:rPr>
              <w:t>Online research (AngelList for example)</w:t>
            </w:r>
          </w:p>
        </w:tc>
        <w:tc>
          <w:tcPr>
            <w:tcW w:w="635" w:type="pct"/>
          </w:tcPr>
          <w:p w14:paraId="4BA346F9" w14:textId="77777777" w:rsidR="00CD60C2" w:rsidRPr="007F1BCA"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5</w:t>
            </w:r>
          </w:p>
        </w:tc>
      </w:tr>
      <w:tr w:rsidR="00CD60C2" w:rsidRPr="007F1BCA" w14:paraId="393E6615"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1598B6DB" w14:textId="77777777" w:rsidR="00CD60C2" w:rsidRPr="007F1BCA" w:rsidRDefault="00CD60C2" w:rsidP="00957DB2">
            <w:pPr>
              <w:rPr>
                <w:rFonts w:eastAsia="Arial" w:cs="Arial"/>
                <w:b w:val="0"/>
                <w:bCs w:val="0"/>
              </w:rPr>
            </w:pPr>
            <w:r w:rsidRPr="007F1BCA">
              <w:rPr>
                <w:rFonts w:eastAsia="Arial" w:cs="Arial"/>
                <w:b w:val="0"/>
                <w:bCs w:val="0"/>
              </w:rPr>
              <w:t>Associations (Angel Investor Association, Gust, etc.)</w:t>
            </w:r>
          </w:p>
        </w:tc>
        <w:tc>
          <w:tcPr>
            <w:tcW w:w="635" w:type="pct"/>
          </w:tcPr>
          <w:p w14:paraId="1EABA0A4"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6</w:t>
            </w:r>
          </w:p>
        </w:tc>
      </w:tr>
      <w:tr w:rsidR="00CD60C2" w:rsidRPr="007F1BCA" w14:paraId="22921C3D"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29DEF771" w14:textId="77777777" w:rsidR="00CD60C2" w:rsidRPr="007F1BCA" w:rsidRDefault="00CD60C2" w:rsidP="00957DB2">
            <w:pPr>
              <w:rPr>
                <w:rFonts w:eastAsia="Arial" w:cs="Arial"/>
                <w:b w:val="0"/>
                <w:bCs w:val="0"/>
              </w:rPr>
            </w:pPr>
            <w:r w:rsidRPr="007F1BCA">
              <w:rPr>
                <w:rFonts w:eastAsia="Arial" w:cs="Arial"/>
                <w:b w:val="0"/>
                <w:bCs w:val="0"/>
              </w:rPr>
              <w:t>Networks</w:t>
            </w:r>
          </w:p>
        </w:tc>
        <w:tc>
          <w:tcPr>
            <w:tcW w:w="635" w:type="pct"/>
          </w:tcPr>
          <w:p w14:paraId="69C76C49" w14:textId="77777777" w:rsidR="00CD60C2" w:rsidRPr="007F1BCA"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7</w:t>
            </w:r>
          </w:p>
        </w:tc>
      </w:tr>
      <w:tr w:rsidR="00CD60C2" w:rsidRPr="007F1BCA" w14:paraId="68DEB69A"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5A522354" w14:textId="052A20BF" w:rsidR="00CD60C2" w:rsidRPr="007F1BCA" w:rsidRDefault="005A7B44" w:rsidP="00957DB2">
            <w:pPr>
              <w:rPr>
                <w:rFonts w:eastAsia="Arial" w:cs="Arial"/>
                <w:b w:val="0"/>
                <w:bCs w:val="0"/>
              </w:rPr>
            </w:pPr>
            <w:r w:rsidRPr="007F1BCA">
              <w:rPr>
                <w:rFonts w:eastAsia="Arial" w:cs="Arial"/>
                <w:b w:val="0"/>
                <w:bCs w:val="0"/>
              </w:rPr>
              <w:t>Social media</w:t>
            </w:r>
          </w:p>
        </w:tc>
        <w:tc>
          <w:tcPr>
            <w:tcW w:w="635" w:type="pct"/>
          </w:tcPr>
          <w:p w14:paraId="1C223F2F"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8</w:t>
            </w:r>
          </w:p>
        </w:tc>
      </w:tr>
      <w:tr w:rsidR="00CD60C2" w:rsidRPr="007F1BCA" w14:paraId="32B79455"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43102B8E" w14:textId="77777777" w:rsidR="00CD60C2" w:rsidRPr="007F1BCA" w:rsidRDefault="00CD60C2" w:rsidP="00957DB2">
            <w:pPr>
              <w:rPr>
                <w:rFonts w:eastAsia="Arial" w:cs="Arial"/>
                <w:b w:val="0"/>
                <w:bCs w:val="0"/>
              </w:rPr>
            </w:pPr>
            <w:r w:rsidRPr="007F1BCA">
              <w:rPr>
                <w:rFonts w:eastAsia="Arial" w:cs="Arial"/>
                <w:b w:val="0"/>
                <w:bCs w:val="0"/>
              </w:rPr>
              <w:t>Friends and/ or family introduction</w:t>
            </w:r>
          </w:p>
        </w:tc>
        <w:tc>
          <w:tcPr>
            <w:tcW w:w="635" w:type="pct"/>
          </w:tcPr>
          <w:p w14:paraId="5E63B8DB" w14:textId="77777777" w:rsidR="00CD60C2" w:rsidRPr="007F1BCA"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7F1BCA">
              <w:rPr>
                <w:rFonts w:eastAsia="Arial" w:cs="Arial"/>
              </w:rPr>
              <w:t>9</w:t>
            </w:r>
          </w:p>
        </w:tc>
      </w:tr>
      <w:tr w:rsidR="00CD60C2" w:rsidRPr="007F1BCA" w14:paraId="30DB4A6B"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7C25480" w14:textId="77777777" w:rsidR="00CD60C2" w:rsidRPr="007F1BCA" w:rsidRDefault="00CD60C2" w:rsidP="00957DB2">
            <w:pPr>
              <w:rPr>
                <w:rFonts w:eastAsia="Arial" w:cs="Arial"/>
                <w:b w:val="0"/>
                <w:bCs w:val="0"/>
              </w:rPr>
            </w:pPr>
            <w:r w:rsidRPr="007F1BCA">
              <w:rPr>
                <w:rFonts w:eastAsia="Arial" w:cs="Arial"/>
                <w:b w:val="0"/>
                <w:bCs w:val="0"/>
              </w:rPr>
              <w:t>Other, please write in</w:t>
            </w:r>
          </w:p>
        </w:tc>
        <w:tc>
          <w:tcPr>
            <w:tcW w:w="635" w:type="pct"/>
          </w:tcPr>
          <w:p w14:paraId="05308141" w14:textId="77777777" w:rsidR="00CD60C2" w:rsidRPr="007F1BCA"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7F1BCA">
              <w:rPr>
                <w:rFonts w:eastAsia="Arial" w:cs="Arial"/>
              </w:rPr>
              <w:t>99</w:t>
            </w:r>
          </w:p>
        </w:tc>
      </w:tr>
    </w:tbl>
    <w:p w14:paraId="220765DB" w14:textId="77777777" w:rsidR="005A7B44" w:rsidRDefault="005A7B44" w:rsidP="00957DB2">
      <w:pPr>
        <w:rPr>
          <w:rFonts w:eastAsia="Arial" w:cs="Arial"/>
        </w:rPr>
      </w:pPr>
    </w:p>
    <w:p w14:paraId="355A934A" w14:textId="3C36EBF8" w:rsidR="00CD60C2" w:rsidRPr="00F34274" w:rsidRDefault="00CD60C2" w:rsidP="00957DB2">
      <w:pPr>
        <w:rPr>
          <w:rFonts w:eastAsia="Arial" w:cs="Arial"/>
        </w:rPr>
      </w:pPr>
      <w:r w:rsidRPr="00F34274">
        <w:rPr>
          <w:rFonts w:eastAsia="Arial" w:cs="Arial"/>
        </w:rPr>
        <w:t>ALL</w:t>
      </w:r>
    </w:p>
    <w:p w14:paraId="6ED1601C" w14:textId="77777777" w:rsidR="00CD60C2" w:rsidRPr="00F34274" w:rsidRDefault="00CD60C2" w:rsidP="00957DB2">
      <w:pPr>
        <w:rPr>
          <w:rFonts w:eastAsia="Arial" w:cs="Arial"/>
          <w:bCs/>
        </w:rPr>
      </w:pPr>
      <w:r w:rsidRPr="00F34274">
        <w:rPr>
          <w:rFonts w:eastAsia="Arial" w:cs="Arial"/>
          <w:bCs/>
        </w:rPr>
        <w:t>8. Before 2019, did you previously know your Investor?</w:t>
      </w:r>
    </w:p>
    <w:p w14:paraId="71611764" w14:textId="77777777" w:rsidR="00CD60C2" w:rsidRPr="00F34274" w:rsidRDefault="00CD60C2" w:rsidP="00957DB2">
      <w:pPr>
        <w:rPr>
          <w:rFonts w:eastAsia="Arial" w:cs="Arial"/>
        </w:rPr>
      </w:pPr>
      <w:r w:rsidRPr="00F34274">
        <w:rPr>
          <w:rFonts w:eastAsia="Arial" w:cs="Arial"/>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5"/>
        <w:gridCol w:w="1267"/>
      </w:tblGrid>
      <w:tr w:rsidR="00CD60C2" w:rsidRPr="007F1BCA" w14:paraId="421648B6"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vAlign w:val="center"/>
          </w:tcPr>
          <w:p w14:paraId="34CB5608" w14:textId="77777777" w:rsidR="00CD60C2" w:rsidRPr="007F1BCA" w:rsidRDefault="00CD60C2" w:rsidP="00957DB2">
            <w:pPr>
              <w:rPr>
                <w:rFonts w:eastAsia="Arial" w:cs="Arial"/>
                <w:b w:val="0"/>
                <w:bCs w:val="0"/>
                <w:color w:val="333330" w:themeColor="text1" w:themeTint="E6"/>
              </w:rPr>
            </w:pPr>
            <w:r w:rsidRPr="007F1BCA">
              <w:rPr>
                <w:rFonts w:eastAsia="Arial" w:cs="Arial"/>
                <w:b w:val="0"/>
                <w:bCs w:val="0"/>
                <w:color w:val="333330" w:themeColor="text1" w:themeTint="E6"/>
              </w:rPr>
              <w:t xml:space="preserve">Yes </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77B050BD" w14:textId="77777777" w:rsidR="00CD60C2" w:rsidRPr="007F1BCA" w:rsidRDefault="00CD60C2" w:rsidP="3E2B953A">
            <w:pPr>
              <w:jc w:val="right"/>
              <w:rPr>
                <w:rFonts w:eastAsia="Arial" w:cs="Arial"/>
                <w:b w:val="0"/>
                <w:bCs w:val="0"/>
                <w:color w:val="333330" w:themeColor="text1" w:themeTint="E6"/>
              </w:rPr>
            </w:pPr>
            <w:r w:rsidRPr="007F1BCA">
              <w:rPr>
                <w:rFonts w:eastAsia="Arial" w:cs="Arial"/>
                <w:b w:val="0"/>
                <w:bCs w:val="0"/>
                <w:color w:val="333330" w:themeColor="text1" w:themeTint="E6"/>
              </w:rPr>
              <w:t>1</w:t>
            </w:r>
          </w:p>
        </w:tc>
      </w:tr>
      <w:tr w:rsidR="00CD60C2" w:rsidRPr="007F1BCA" w14:paraId="53844F15"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vAlign w:val="center"/>
          </w:tcPr>
          <w:p w14:paraId="6BF0573D" w14:textId="77777777" w:rsidR="00CD60C2" w:rsidRPr="007F1BCA" w:rsidRDefault="00CD60C2" w:rsidP="00957DB2">
            <w:pPr>
              <w:rPr>
                <w:rFonts w:eastAsia="Arial" w:cs="Arial"/>
                <w:b w:val="0"/>
                <w:bCs w:val="0"/>
                <w:color w:val="333330" w:themeColor="text1" w:themeTint="E6"/>
              </w:rPr>
            </w:pPr>
            <w:r w:rsidRPr="007F1BCA">
              <w:rPr>
                <w:rFonts w:eastAsia="Arial" w:cs="Arial"/>
                <w:b w:val="0"/>
                <w:bCs w:val="0"/>
                <w:color w:val="333330" w:themeColor="text1" w:themeTint="E6"/>
              </w:rPr>
              <w:t>No</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7E4FB94A" w14:textId="77777777" w:rsidR="00CD60C2" w:rsidRPr="007F1BCA" w:rsidRDefault="00CD60C2" w:rsidP="3E2B953A">
            <w:pPr>
              <w:jc w:val="right"/>
              <w:rPr>
                <w:rFonts w:eastAsia="Arial" w:cs="Arial"/>
                <w:color w:val="333330" w:themeColor="text1" w:themeTint="E6"/>
              </w:rPr>
            </w:pPr>
            <w:r w:rsidRPr="007F1BCA">
              <w:rPr>
                <w:rFonts w:eastAsia="Arial" w:cs="Arial"/>
                <w:color w:val="333330" w:themeColor="text1" w:themeTint="E6"/>
              </w:rPr>
              <w:t>2</w:t>
            </w:r>
          </w:p>
        </w:tc>
      </w:tr>
      <w:tr w:rsidR="00CD60C2" w:rsidRPr="007F1BCA" w14:paraId="0388DA09" w14:textId="77777777" w:rsidTr="00201E3C">
        <w:tc>
          <w:tcPr>
            <w:cnfStyle w:val="001000000000" w:firstRow="0" w:lastRow="0" w:firstColumn="1" w:lastColumn="0" w:oddVBand="0" w:evenVBand="0" w:oddHBand="0" w:evenHBand="0" w:firstRowFirstColumn="0" w:firstRowLastColumn="0" w:lastRowFirstColumn="0" w:lastRowLastColumn="0"/>
            <w:tcW w:w="4364" w:type="pct"/>
            <w:vAlign w:val="center"/>
          </w:tcPr>
          <w:p w14:paraId="15DAB492" w14:textId="77777777" w:rsidR="00CD60C2" w:rsidRPr="007F1BCA" w:rsidRDefault="00CD60C2" w:rsidP="00957DB2">
            <w:pPr>
              <w:rPr>
                <w:rFonts w:eastAsia="Arial" w:cs="Arial"/>
                <w:b w:val="0"/>
                <w:bCs w:val="0"/>
                <w:color w:val="333330" w:themeColor="text1" w:themeTint="E6"/>
              </w:rPr>
            </w:pPr>
            <w:r w:rsidRPr="007F1BCA">
              <w:rPr>
                <w:rFonts w:eastAsia="Arial" w:cs="Arial"/>
                <w:b w:val="0"/>
                <w:bCs w:val="0"/>
                <w:color w:val="333330" w:themeColor="text1" w:themeTint="E6"/>
              </w:rPr>
              <w:t>Don’t know</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024DF3A6" w14:textId="77777777" w:rsidR="00CD60C2" w:rsidRPr="007F1BCA" w:rsidRDefault="00CD60C2" w:rsidP="3E2B953A">
            <w:pPr>
              <w:jc w:val="right"/>
              <w:rPr>
                <w:rFonts w:eastAsia="Arial" w:cs="Arial"/>
                <w:color w:val="333330" w:themeColor="text1" w:themeTint="E6"/>
              </w:rPr>
            </w:pPr>
            <w:r w:rsidRPr="007F1BCA">
              <w:rPr>
                <w:rFonts w:eastAsia="Arial" w:cs="Arial"/>
                <w:color w:val="333330" w:themeColor="text1" w:themeTint="E6"/>
              </w:rPr>
              <w:t>99</w:t>
            </w:r>
          </w:p>
        </w:tc>
      </w:tr>
    </w:tbl>
    <w:p w14:paraId="34213DA0" w14:textId="77777777" w:rsidR="00CD60C2" w:rsidRPr="00F34274" w:rsidRDefault="00CD60C2" w:rsidP="00957DB2">
      <w:pPr>
        <w:rPr>
          <w:rFonts w:eastAsia="Arial" w:cs="Arial"/>
        </w:rPr>
      </w:pPr>
    </w:p>
    <w:p w14:paraId="7A45EFFD" w14:textId="77777777" w:rsidR="00CD60C2" w:rsidRPr="00F34274" w:rsidRDefault="00CD60C2" w:rsidP="00957DB2">
      <w:pPr>
        <w:rPr>
          <w:rFonts w:eastAsia="Arial" w:cs="Arial"/>
        </w:rPr>
      </w:pPr>
      <w:r w:rsidRPr="00F34274">
        <w:rPr>
          <w:rFonts w:eastAsia="Arial" w:cs="Arial"/>
        </w:rPr>
        <w:t>ALL</w:t>
      </w:r>
    </w:p>
    <w:p w14:paraId="6814BBCD" w14:textId="77777777" w:rsidR="00CD60C2" w:rsidRPr="00F34274" w:rsidRDefault="00CD60C2" w:rsidP="00957DB2">
      <w:pPr>
        <w:rPr>
          <w:rFonts w:eastAsia="Arial" w:cs="Arial"/>
          <w:bCs/>
        </w:rPr>
      </w:pPr>
      <w:r w:rsidRPr="00F34274">
        <w:rPr>
          <w:rFonts w:eastAsia="Arial" w:cs="Arial"/>
          <w:bCs/>
        </w:rPr>
        <w:t>9. In terms of the investment you received from your Investor after 2019, which of these options is most applicable with regards to the timing of the funding?</w:t>
      </w:r>
    </w:p>
    <w:p w14:paraId="7E758581" w14:textId="77777777" w:rsidR="00CD60C2" w:rsidRPr="00F34274" w:rsidRDefault="00CD60C2" w:rsidP="00957DB2">
      <w:pPr>
        <w:rPr>
          <w:rFonts w:eastAsia="Arial" w:cs="Arial"/>
        </w:rPr>
      </w:pPr>
      <w:r w:rsidRPr="00F34274">
        <w:rPr>
          <w:rFonts w:eastAsia="Arial" w:cs="Arial"/>
        </w:rPr>
        <w:lastRenderedPageBreak/>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7"/>
        <w:gridCol w:w="1265"/>
      </w:tblGrid>
      <w:tr w:rsidR="00CD60C2" w:rsidRPr="00DB65C8" w14:paraId="29268D56"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7D8FA47D" w14:textId="77777777" w:rsidR="00CD60C2" w:rsidRPr="00DB65C8" w:rsidRDefault="00CD60C2" w:rsidP="3E2B953A">
            <w:pPr>
              <w:rPr>
                <w:rFonts w:eastAsia="Arial" w:cs="Arial"/>
                <w:b w:val="0"/>
                <w:bCs w:val="0"/>
              </w:rPr>
            </w:pPr>
            <w:r w:rsidRPr="00DB65C8">
              <w:rPr>
                <w:rFonts w:eastAsia="Arial" w:cs="Arial"/>
                <w:b w:val="0"/>
                <w:bCs w:val="0"/>
              </w:rPr>
              <w:t>The funding became available around the same time that we were looking for funding.</w:t>
            </w:r>
          </w:p>
        </w:tc>
        <w:tc>
          <w:tcPr>
            <w:tcW w:w="635" w:type="pct"/>
          </w:tcPr>
          <w:p w14:paraId="0AA64EB8" w14:textId="77777777" w:rsidR="00CD60C2" w:rsidRPr="00DB65C8" w:rsidRDefault="00CD60C2"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DB65C8">
              <w:rPr>
                <w:rFonts w:eastAsia="Arial" w:cs="Arial"/>
                <w:b w:val="0"/>
                <w:bCs w:val="0"/>
              </w:rPr>
              <w:t>1</w:t>
            </w:r>
          </w:p>
        </w:tc>
      </w:tr>
      <w:tr w:rsidR="00CD60C2" w:rsidRPr="00DB65C8" w14:paraId="6A05B0A5"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708E153" w14:textId="77777777" w:rsidR="00CD60C2" w:rsidRPr="00DB65C8" w:rsidRDefault="00CD60C2" w:rsidP="3E2B953A">
            <w:pPr>
              <w:rPr>
                <w:rFonts w:eastAsia="Arial" w:cs="Arial"/>
                <w:b w:val="0"/>
                <w:bCs w:val="0"/>
              </w:rPr>
            </w:pPr>
            <w:r w:rsidRPr="00DB65C8">
              <w:rPr>
                <w:rFonts w:eastAsia="Arial" w:cs="Arial"/>
                <w:b w:val="0"/>
                <w:bCs w:val="0"/>
              </w:rPr>
              <w:t>We had been looking for funding 12+ months earlier.</w:t>
            </w:r>
          </w:p>
        </w:tc>
        <w:tc>
          <w:tcPr>
            <w:tcW w:w="635" w:type="pct"/>
          </w:tcPr>
          <w:p w14:paraId="3AB9192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2</w:t>
            </w:r>
          </w:p>
        </w:tc>
      </w:tr>
      <w:tr w:rsidR="00CD60C2" w:rsidRPr="00DB65C8" w14:paraId="75FECD82"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7756A9D7" w14:textId="77777777" w:rsidR="00CD60C2" w:rsidRPr="00DB65C8" w:rsidRDefault="00CD60C2" w:rsidP="3E2B953A">
            <w:pPr>
              <w:rPr>
                <w:rFonts w:eastAsia="Arial" w:cs="Arial"/>
                <w:b w:val="0"/>
                <w:bCs w:val="0"/>
              </w:rPr>
            </w:pPr>
            <w:r w:rsidRPr="00DB65C8">
              <w:rPr>
                <w:rFonts w:eastAsia="Arial" w:cs="Arial"/>
                <w:b w:val="0"/>
                <w:bCs w:val="0"/>
              </w:rPr>
              <w:t>We had been looking for funding 6 – 12 months earlier.</w:t>
            </w:r>
          </w:p>
        </w:tc>
        <w:tc>
          <w:tcPr>
            <w:tcW w:w="635" w:type="pct"/>
          </w:tcPr>
          <w:p w14:paraId="52BE9FA1"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3</w:t>
            </w:r>
          </w:p>
        </w:tc>
      </w:tr>
      <w:tr w:rsidR="00CD60C2" w:rsidRPr="00DB65C8" w14:paraId="6CB5F9C7"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B1EF541" w14:textId="77777777" w:rsidR="00CD60C2" w:rsidRPr="00DB65C8" w:rsidRDefault="00CD60C2" w:rsidP="3E2B953A">
            <w:pPr>
              <w:rPr>
                <w:rFonts w:eastAsia="Arial" w:cs="Arial"/>
                <w:b w:val="0"/>
                <w:bCs w:val="0"/>
              </w:rPr>
            </w:pPr>
            <w:r w:rsidRPr="00DB65C8">
              <w:rPr>
                <w:rFonts w:eastAsia="Arial" w:cs="Arial"/>
                <w:b w:val="0"/>
                <w:bCs w:val="0"/>
              </w:rPr>
              <w:t>We had been looking for funding 3 – 6 months earlier.</w:t>
            </w:r>
          </w:p>
        </w:tc>
        <w:tc>
          <w:tcPr>
            <w:tcW w:w="635" w:type="pct"/>
          </w:tcPr>
          <w:p w14:paraId="7DB3905B"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4</w:t>
            </w:r>
          </w:p>
        </w:tc>
      </w:tr>
      <w:tr w:rsidR="00CD60C2" w:rsidRPr="00DB65C8" w14:paraId="3B7F4934"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1C3C37EA" w14:textId="77777777" w:rsidR="00CD60C2" w:rsidRPr="00DB65C8" w:rsidRDefault="00CD60C2" w:rsidP="3E2B953A">
            <w:pPr>
              <w:rPr>
                <w:rFonts w:eastAsia="Arial" w:cs="Arial"/>
                <w:b w:val="0"/>
                <w:bCs w:val="0"/>
              </w:rPr>
            </w:pPr>
            <w:r w:rsidRPr="00DB65C8">
              <w:rPr>
                <w:rFonts w:eastAsia="Arial" w:cs="Arial"/>
                <w:b w:val="0"/>
                <w:bCs w:val="0"/>
              </w:rPr>
              <w:t>We were planning on raising funding in the subsequent 3 – 6 months.</w:t>
            </w:r>
          </w:p>
        </w:tc>
        <w:tc>
          <w:tcPr>
            <w:tcW w:w="635" w:type="pct"/>
          </w:tcPr>
          <w:p w14:paraId="4D39BFC8"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5</w:t>
            </w:r>
          </w:p>
        </w:tc>
      </w:tr>
      <w:tr w:rsidR="00CD60C2" w:rsidRPr="00DB65C8" w14:paraId="5087E468"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1D2818CC" w14:textId="77777777" w:rsidR="00CD60C2" w:rsidRPr="00DB65C8" w:rsidRDefault="00CD60C2" w:rsidP="3E2B953A">
            <w:pPr>
              <w:rPr>
                <w:rFonts w:eastAsia="Arial" w:cs="Arial"/>
                <w:b w:val="0"/>
                <w:bCs w:val="0"/>
              </w:rPr>
            </w:pPr>
            <w:r w:rsidRPr="00DB65C8">
              <w:rPr>
                <w:rFonts w:eastAsia="Arial" w:cs="Arial"/>
                <w:b w:val="0"/>
                <w:bCs w:val="0"/>
              </w:rPr>
              <w:t>We were planning on raising funding in the subsequent 6 – 12 months.</w:t>
            </w:r>
          </w:p>
        </w:tc>
        <w:tc>
          <w:tcPr>
            <w:tcW w:w="635" w:type="pct"/>
          </w:tcPr>
          <w:p w14:paraId="264C19D6"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6</w:t>
            </w:r>
          </w:p>
        </w:tc>
      </w:tr>
      <w:tr w:rsidR="00CD60C2" w:rsidRPr="00DB65C8" w14:paraId="4802DA45"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0852566E" w14:textId="77777777" w:rsidR="00CD60C2" w:rsidRPr="00DB65C8" w:rsidRDefault="00CD60C2" w:rsidP="3E2B953A">
            <w:pPr>
              <w:rPr>
                <w:rFonts w:eastAsia="Arial" w:cs="Arial"/>
                <w:b w:val="0"/>
                <w:bCs w:val="0"/>
              </w:rPr>
            </w:pPr>
            <w:r w:rsidRPr="00DB65C8">
              <w:rPr>
                <w:rFonts w:eastAsia="Arial" w:cs="Arial"/>
                <w:b w:val="0"/>
                <w:bCs w:val="0"/>
              </w:rPr>
              <w:t>We were planning on raising funding 12+ months in the future.</w:t>
            </w:r>
          </w:p>
        </w:tc>
        <w:tc>
          <w:tcPr>
            <w:tcW w:w="635" w:type="pct"/>
          </w:tcPr>
          <w:p w14:paraId="59CA7BF9"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7</w:t>
            </w:r>
          </w:p>
        </w:tc>
      </w:tr>
      <w:tr w:rsidR="00CD60C2" w:rsidRPr="00DB65C8" w14:paraId="4C82ECB8"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307C689A" w14:textId="77777777" w:rsidR="00CD60C2" w:rsidRPr="00DB65C8" w:rsidRDefault="00CD60C2" w:rsidP="3E2B953A">
            <w:pPr>
              <w:rPr>
                <w:rFonts w:eastAsia="Arial" w:cs="Arial"/>
                <w:b w:val="0"/>
                <w:bCs w:val="0"/>
              </w:rPr>
            </w:pPr>
            <w:r w:rsidRPr="00DB65C8">
              <w:rPr>
                <w:rFonts w:eastAsia="Arial" w:cs="Arial"/>
                <w:b w:val="0"/>
                <w:bCs w:val="0"/>
              </w:rPr>
              <w:t>We weren’t looking for funding at all.</w:t>
            </w:r>
          </w:p>
        </w:tc>
        <w:tc>
          <w:tcPr>
            <w:tcW w:w="635" w:type="pct"/>
          </w:tcPr>
          <w:p w14:paraId="2FC5A62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8</w:t>
            </w:r>
          </w:p>
        </w:tc>
      </w:tr>
      <w:tr w:rsidR="00CD60C2" w:rsidRPr="00DB65C8" w14:paraId="3931C2AD"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55C0398A" w14:textId="77777777" w:rsidR="00CD60C2" w:rsidRPr="00DB65C8" w:rsidRDefault="00CD60C2" w:rsidP="3E2B953A">
            <w:pPr>
              <w:rPr>
                <w:rFonts w:eastAsia="Arial" w:cs="Arial"/>
                <w:b w:val="0"/>
                <w:bCs w:val="0"/>
              </w:rPr>
            </w:pPr>
            <w:r w:rsidRPr="00DB65C8">
              <w:rPr>
                <w:rFonts w:eastAsia="Arial" w:cs="Arial"/>
                <w:b w:val="0"/>
                <w:bCs w:val="0"/>
              </w:rPr>
              <w:t>Other, please write in</w:t>
            </w:r>
          </w:p>
        </w:tc>
        <w:tc>
          <w:tcPr>
            <w:tcW w:w="635" w:type="pct"/>
          </w:tcPr>
          <w:p w14:paraId="4A6C5626"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98</w:t>
            </w:r>
          </w:p>
        </w:tc>
      </w:tr>
      <w:tr w:rsidR="00CD60C2" w:rsidRPr="00DB65C8" w14:paraId="15F4F0F8"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5063CA4" w14:textId="77777777" w:rsidR="00CD60C2" w:rsidRPr="00DB65C8" w:rsidRDefault="00CD60C2" w:rsidP="3E2B953A">
            <w:pPr>
              <w:rPr>
                <w:rFonts w:eastAsia="Arial" w:cs="Arial"/>
                <w:b w:val="0"/>
                <w:bCs w:val="0"/>
              </w:rPr>
            </w:pPr>
            <w:r w:rsidRPr="00DB65C8">
              <w:rPr>
                <w:rFonts w:eastAsia="Arial" w:cs="Arial"/>
                <w:b w:val="0"/>
                <w:bCs w:val="0"/>
              </w:rPr>
              <w:t>Don’t know</w:t>
            </w:r>
          </w:p>
        </w:tc>
        <w:tc>
          <w:tcPr>
            <w:tcW w:w="635" w:type="pct"/>
          </w:tcPr>
          <w:p w14:paraId="1B513898"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99</w:t>
            </w:r>
          </w:p>
        </w:tc>
      </w:tr>
    </w:tbl>
    <w:p w14:paraId="70CD1416" w14:textId="77777777" w:rsidR="00CD60C2" w:rsidRPr="00F34274" w:rsidRDefault="00CD60C2" w:rsidP="00957DB2">
      <w:pPr>
        <w:rPr>
          <w:rFonts w:eastAsia="Arial" w:cs="Arial"/>
        </w:rPr>
      </w:pPr>
    </w:p>
    <w:p w14:paraId="06888077" w14:textId="77777777" w:rsidR="00CD60C2" w:rsidRPr="00F34274" w:rsidRDefault="00CD60C2" w:rsidP="00957DB2">
      <w:pPr>
        <w:rPr>
          <w:rFonts w:eastAsia="Arial" w:cs="Arial"/>
        </w:rPr>
      </w:pPr>
      <w:r w:rsidRPr="00F34274">
        <w:rPr>
          <w:rFonts w:eastAsia="Arial" w:cs="Arial"/>
        </w:rPr>
        <w:t>ALL</w:t>
      </w:r>
    </w:p>
    <w:p w14:paraId="3DB4FB12" w14:textId="77777777" w:rsidR="00CD60C2" w:rsidRPr="00F34274" w:rsidRDefault="00CD60C2" w:rsidP="00957DB2">
      <w:pPr>
        <w:rPr>
          <w:rFonts w:eastAsia="Arial" w:cs="Arial"/>
          <w:bCs/>
        </w:rPr>
      </w:pPr>
      <w:r w:rsidRPr="00F34274">
        <w:rPr>
          <w:rFonts w:eastAsia="Arial" w:cs="Arial"/>
          <w:bCs/>
        </w:rPr>
        <w:t>10. Did Covid-19 have an impact on raising funding through your Investor?</w:t>
      </w:r>
    </w:p>
    <w:p w14:paraId="6310B0F6" w14:textId="77777777" w:rsidR="00CD60C2" w:rsidRPr="00F34274" w:rsidRDefault="00CD60C2" w:rsidP="00957DB2">
      <w:pPr>
        <w:rPr>
          <w:rFonts w:eastAsia="Arial" w:cs="Arial"/>
        </w:rPr>
      </w:pPr>
      <w:r w:rsidRPr="00F34274">
        <w:rPr>
          <w:rFonts w:eastAsia="Arial" w:cs="Arial"/>
        </w:rPr>
        <w:t>PLEASE CHECK ONE</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142855" w:themeColor="text2"/>
        </w:tblBorders>
        <w:tblLook w:val="04A0" w:firstRow="1" w:lastRow="0" w:firstColumn="1" w:lastColumn="0" w:noHBand="0" w:noVBand="1"/>
      </w:tblPr>
      <w:tblGrid>
        <w:gridCol w:w="8693"/>
        <w:gridCol w:w="1269"/>
      </w:tblGrid>
      <w:tr w:rsidR="00CD60C2" w:rsidRPr="00DB65C8" w14:paraId="0A682050"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right w:val="single" w:sz="4" w:space="0" w:color="142855" w:themeColor="text2"/>
            </w:tcBorders>
          </w:tcPr>
          <w:p w14:paraId="1261BBE4" w14:textId="77777777" w:rsidR="00CD60C2" w:rsidRPr="00DB65C8" w:rsidRDefault="00CD60C2" w:rsidP="00957DB2">
            <w:pPr>
              <w:rPr>
                <w:rFonts w:eastAsia="Arial" w:cs="Arial"/>
                <w:b w:val="0"/>
                <w:bCs w:val="0"/>
              </w:rPr>
            </w:pPr>
            <w:r w:rsidRPr="00DB65C8">
              <w:rPr>
                <w:rFonts w:eastAsia="Arial" w:cs="Arial"/>
                <w:b w:val="0"/>
                <w:bCs w:val="0"/>
              </w:rPr>
              <w:t xml:space="preserve">Covid-19 encouraged me to raise funding </w:t>
            </w:r>
          </w:p>
        </w:tc>
        <w:tc>
          <w:tcPr>
            <w:tcW w:w="637" w:type="pct"/>
            <w:tcBorders>
              <w:top w:val="single" w:sz="4" w:space="0" w:color="auto"/>
              <w:left w:val="single" w:sz="4" w:space="0" w:color="142855" w:themeColor="text2"/>
              <w:bottom w:val="single" w:sz="4" w:space="0" w:color="142855" w:themeColor="text2"/>
            </w:tcBorders>
          </w:tcPr>
          <w:p w14:paraId="4A71CA3B" w14:textId="77777777" w:rsidR="00CD60C2" w:rsidRPr="00DB65C8" w:rsidRDefault="00CD60C2"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DB65C8">
              <w:rPr>
                <w:rFonts w:eastAsia="Arial" w:cs="Arial"/>
                <w:b w:val="0"/>
                <w:bCs w:val="0"/>
              </w:rPr>
              <w:t>1</w:t>
            </w:r>
          </w:p>
        </w:tc>
      </w:tr>
      <w:tr w:rsidR="00CD60C2" w:rsidRPr="00DB65C8" w14:paraId="41D4CF40"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right w:val="single" w:sz="4" w:space="0" w:color="142855" w:themeColor="text2"/>
            </w:tcBorders>
          </w:tcPr>
          <w:p w14:paraId="57AC5F99" w14:textId="77777777" w:rsidR="00CD60C2" w:rsidRPr="00DB65C8" w:rsidRDefault="00CD60C2" w:rsidP="00957DB2">
            <w:pPr>
              <w:rPr>
                <w:rFonts w:eastAsia="Arial" w:cs="Arial"/>
                <w:b w:val="0"/>
                <w:bCs w:val="0"/>
              </w:rPr>
            </w:pPr>
            <w:r w:rsidRPr="00DB65C8">
              <w:rPr>
                <w:rFonts w:eastAsia="Arial" w:cs="Arial"/>
                <w:b w:val="0"/>
                <w:bCs w:val="0"/>
              </w:rPr>
              <w:t xml:space="preserve">Covid-19 had no effect in raising funding </w:t>
            </w:r>
          </w:p>
        </w:tc>
        <w:tc>
          <w:tcPr>
            <w:tcW w:w="637" w:type="pct"/>
            <w:tcBorders>
              <w:top w:val="single" w:sz="4" w:space="0" w:color="142855" w:themeColor="text2"/>
              <w:left w:val="single" w:sz="4" w:space="0" w:color="142855" w:themeColor="text2"/>
              <w:bottom w:val="single" w:sz="4" w:space="0" w:color="142855" w:themeColor="text2"/>
            </w:tcBorders>
          </w:tcPr>
          <w:p w14:paraId="0ADC55D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2</w:t>
            </w:r>
          </w:p>
        </w:tc>
      </w:tr>
      <w:tr w:rsidR="00CD60C2" w:rsidRPr="00DB65C8" w14:paraId="331E64F5" w14:textId="77777777" w:rsidTr="00201E3C">
        <w:tc>
          <w:tcPr>
            <w:cnfStyle w:val="001000000000" w:firstRow="0" w:lastRow="0" w:firstColumn="1" w:lastColumn="0" w:oddVBand="0" w:evenVBand="0" w:oddHBand="0" w:evenHBand="0" w:firstRowFirstColumn="0" w:firstRowLastColumn="0" w:lastRowFirstColumn="0" w:lastRowLastColumn="0"/>
            <w:tcW w:w="4363" w:type="pct"/>
            <w:tcBorders>
              <w:right w:val="single" w:sz="4" w:space="0" w:color="142855" w:themeColor="text2"/>
            </w:tcBorders>
          </w:tcPr>
          <w:p w14:paraId="1C1F970E" w14:textId="77777777" w:rsidR="00CD60C2" w:rsidRPr="00DB65C8" w:rsidRDefault="00CD60C2" w:rsidP="00957DB2">
            <w:pPr>
              <w:rPr>
                <w:rFonts w:eastAsia="Arial" w:cs="Arial"/>
                <w:b w:val="0"/>
                <w:bCs w:val="0"/>
              </w:rPr>
            </w:pPr>
            <w:r w:rsidRPr="00DB65C8">
              <w:rPr>
                <w:rFonts w:eastAsia="Arial" w:cs="Arial"/>
                <w:b w:val="0"/>
                <w:bCs w:val="0"/>
              </w:rPr>
              <w:t xml:space="preserve">Covid-19 made me less likely to receive funding </w:t>
            </w:r>
          </w:p>
        </w:tc>
        <w:tc>
          <w:tcPr>
            <w:tcW w:w="637" w:type="pct"/>
            <w:tcBorders>
              <w:top w:val="single" w:sz="4" w:space="0" w:color="142855" w:themeColor="text2"/>
              <w:left w:val="single" w:sz="4" w:space="0" w:color="142855" w:themeColor="text2"/>
              <w:bottom w:val="single" w:sz="4" w:space="0" w:color="142855" w:themeColor="text2"/>
            </w:tcBorders>
          </w:tcPr>
          <w:p w14:paraId="02F2AE89"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3</w:t>
            </w:r>
          </w:p>
        </w:tc>
      </w:tr>
      <w:tr w:rsidR="00CD60C2" w:rsidRPr="00DB65C8" w14:paraId="4FBAC0E0"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pct"/>
            <w:tcBorders>
              <w:right w:val="single" w:sz="4" w:space="0" w:color="142855" w:themeColor="text2"/>
            </w:tcBorders>
          </w:tcPr>
          <w:p w14:paraId="3013E4C6" w14:textId="77777777" w:rsidR="00CD60C2" w:rsidRPr="00DB65C8" w:rsidRDefault="00CD60C2" w:rsidP="00957DB2">
            <w:pPr>
              <w:rPr>
                <w:rFonts w:eastAsia="Arial" w:cs="Arial"/>
                <w:b w:val="0"/>
                <w:bCs w:val="0"/>
              </w:rPr>
            </w:pPr>
            <w:r w:rsidRPr="00DB65C8">
              <w:rPr>
                <w:rFonts w:eastAsia="Arial" w:cs="Arial"/>
                <w:b w:val="0"/>
                <w:bCs w:val="0"/>
              </w:rPr>
              <w:t>Don’t know</w:t>
            </w:r>
          </w:p>
        </w:tc>
        <w:tc>
          <w:tcPr>
            <w:tcW w:w="637" w:type="pct"/>
            <w:tcBorders>
              <w:top w:val="single" w:sz="4" w:space="0" w:color="142855" w:themeColor="text2"/>
              <w:left w:val="single" w:sz="4" w:space="0" w:color="142855" w:themeColor="text2"/>
              <w:bottom w:val="single" w:sz="4" w:space="0" w:color="auto"/>
            </w:tcBorders>
          </w:tcPr>
          <w:p w14:paraId="063C3B47"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99</w:t>
            </w:r>
          </w:p>
        </w:tc>
      </w:tr>
    </w:tbl>
    <w:p w14:paraId="4A86200D" w14:textId="77777777" w:rsidR="00CD60C2" w:rsidRPr="00F34274" w:rsidRDefault="00CD60C2" w:rsidP="00957DB2">
      <w:pPr>
        <w:rPr>
          <w:rFonts w:eastAsia="Arial" w:cs="Arial"/>
        </w:rPr>
      </w:pPr>
    </w:p>
    <w:p w14:paraId="168861ED" w14:textId="77777777" w:rsidR="00CD60C2" w:rsidRPr="00F34274" w:rsidRDefault="00CD60C2" w:rsidP="00957DB2">
      <w:pPr>
        <w:rPr>
          <w:rFonts w:eastAsia="Arial" w:cs="Arial"/>
        </w:rPr>
      </w:pPr>
      <w:r w:rsidRPr="00F34274">
        <w:rPr>
          <w:rFonts w:eastAsia="Arial" w:cs="Arial"/>
        </w:rPr>
        <w:t>ALL</w:t>
      </w:r>
    </w:p>
    <w:p w14:paraId="0921745A" w14:textId="77777777" w:rsidR="00CD60C2" w:rsidRPr="00F34274" w:rsidRDefault="00CD60C2" w:rsidP="00957DB2">
      <w:pPr>
        <w:rPr>
          <w:rFonts w:eastAsia="Arial" w:cs="Arial"/>
          <w:bCs/>
        </w:rPr>
      </w:pPr>
      <w:r w:rsidRPr="00F34274">
        <w:rPr>
          <w:rFonts w:eastAsia="Arial" w:cs="Arial"/>
          <w:bCs/>
        </w:rPr>
        <w:t>11. Before receiving funding from your Investor, how difficult did you find it to raise equity finance within your region of the UK?</w:t>
      </w:r>
    </w:p>
    <w:p w14:paraId="63795D76" w14:textId="77777777" w:rsidR="00CD60C2" w:rsidRPr="00F34274" w:rsidRDefault="00CD60C2" w:rsidP="00957DB2">
      <w:pPr>
        <w:rPr>
          <w:rFonts w:eastAsia="Arial" w:cs="Arial"/>
        </w:rPr>
      </w:pPr>
      <w:r w:rsidRPr="00F34274">
        <w:rPr>
          <w:rFonts w:eastAsia="Arial" w:cs="Arial"/>
        </w:rPr>
        <w:t>PLEASE CHECK ONE ONLY</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7"/>
        <w:gridCol w:w="1265"/>
      </w:tblGrid>
      <w:tr w:rsidR="00CD60C2" w:rsidRPr="00DB65C8" w14:paraId="1A89199B"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2035D9F" w14:textId="77777777" w:rsidR="00CD60C2" w:rsidRPr="00DB65C8" w:rsidRDefault="00CD60C2" w:rsidP="00957DB2">
            <w:pPr>
              <w:rPr>
                <w:rFonts w:eastAsia="Arial" w:cs="Arial"/>
                <w:b w:val="0"/>
                <w:bCs w:val="0"/>
              </w:rPr>
            </w:pPr>
            <w:r w:rsidRPr="00DB65C8">
              <w:rPr>
                <w:rFonts w:eastAsia="Arial" w:cs="Arial"/>
                <w:b w:val="0"/>
                <w:bCs w:val="0"/>
              </w:rPr>
              <w:lastRenderedPageBreak/>
              <w:t>Very difficult</w:t>
            </w:r>
          </w:p>
        </w:tc>
        <w:tc>
          <w:tcPr>
            <w:tcW w:w="635" w:type="pct"/>
          </w:tcPr>
          <w:p w14:paraId="162B69DE" w14:textId="77777777" w:rsidR="00CD60C2" w:rsidRPr="00DB65C8" w:rsidRDefault="00CD60C2"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DB65C8">
              <w:rPr>
                <w:rFonts w:eastAsia="Arial" w:cs="Arial"/>
                <w:b w:val="0"/>
                <w:bCs w:val="0"/>
              </w:rPr>
              <w:t>1</w:t>
            </w:r>
          </w:p>
        </w:tc>
      </w:tr>
      <w:tr w:rsidR="00CD60C2" w:rsidRPr="00DB65C8" w14:paraId="5FF913B2"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18A80C61" w14:textId="77777777" w:rsidR="00CD60C2" w:rsidRPr="00DB65C8" w:rsidRDefault="00CD60C2" w:rsidP="00957DB2">
            <w:pPr>
              <w:rPr>
                <w:rFonts w:eastAsia="Arial" w:cs="Arial"/>
                <w:b w:val="0"/>
                <w:bCs w:val="0"/>
              </w:rPr>
            </w:pPr>
            <w:r w:rsidRPr="00DB65C8">
              <w:rPr>
                <w:rFonts w:eastAsia="Arial" w:cs="Arial"/>
                <w:b w:val="0"/>
                <w:bCs w:val="0"/>
              </w:rPr>
              <w:t>Fairly difficult</w:t>
            </w:r>
          </w:p>
        </w:tc>
        <w:tc>
          <w:tcPr>
            <w:tcW w:w="635" w:type="pct"/>
          </w:tcPr>
          <w:p w14:paraId="01EF9A24"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2</w:t>
            </w:r>
          </w:p>
        </w:tc>
      </w:tr>
      <w:tr w:rsidR="00CD60C2" w:rsidRPr="00DB65C8" w14:paraId="3724118F"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71756B7B" w14:textId="77777777" w:rsidR="00CD60C2" w:rsidRPr="00DB65C8" w:rsidRDefault="00CD60C2" w:rsidP="00957DB2">
            <w:pPr>
              <w:rPr>
                <w:rFonts w:eastAsia="Arial" w:cs="Arial"/>
                <w:b w:val="0"/>
                <w:bCs w:val="0"/>
              </w:rPr>
            </w:pPr>
            <w:r w:rsidRPr="00DB65C8">
              <w:rPr>
                <w:rFonts w:eastAsia="Arial" w:cs="Arial"/>
                <w:b w:val="0"/>
                <w:bCs w:val="0"/>
              </w:rPr>
              <w:t>Neither difficult/nor easy</w:t>
            </w:r>
          </w:p>
        </w:tc>
        <w:tc>
          <w:tcPr>
            <w:tcW w:w="635" w:type="pct"/>
          </w:tcPr>
          <w:p w14:paraId="40A93A08"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3</w:t>
            </w:r>
          </w:p>
        </w:tc>
      </w:tr>
      <w:tr w:rsidR="00CD60C2" w:rsidRPr="00DB65C8" w14:paraId="28DCE9B8"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7DC26DD1" w14:textId="77777777" w:rsidR="00CD60C2" w:rsidRPr="00DB65C8" w:rsidRDefault="00CD60C2" w:rsidP="00957DB2">
            <w:pPr>
              <w:rPr>
                <w:rFonts w:eastAsia="Arial" w:cs="Arial"/>
                <w:b w:val="0"/>
                <w:bCs w:val="0"/>
              </w:rPr>
            </w:pPr>
            <w:r w:rsidRPr="00DB65C8">
              <w:rPr>
                <w:rFonts w:eastAsia="Arial" w:cs="Arial"/>
                <w:b w:val="0"/>
                <w:bCs w:val="0"/>
              </w:rPr>
              <w:t>Fairly easy</w:t>
            </w:r>
          </w:p>
        </w:tc>
        <w:tc>
          <w:tcPr>
            <w:tcW w:w="635" w:type="pct"/>
          </w:tcPr>
          <w:p w14:paraId="26FBE715"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4</w:t>
            </w:r>
          </w:p>
        </w:tc>
      </w:tr>
      <w:tr w:rsidR="00CD60C2" w:rsidRPr="00DB65C8" w14:paraId="79986DEA"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3DFF108F" w14:textId="77777777" w:rsidR="00CD60C2" w:rsidRPr="00DB65C8" w:rsidRDefault="00CD60C2" w:rsidP="00957DB2">
            <w:pPr>
              <w:rPr>
                <w:rFonts w:eastAsia="Arial" w:cs="Arial"/>
                <w:b w:val="0"/>
                <w:bCs w:val="0"/>
              </w:rPr>
            </w:pPr>
            <w:r w:rsidRPr="00DB65C8">
              <w:rPr>
                <w:rFonts w:eastAsia="Arial" w:cs="Arial"/>
                <w:b w:val="0"/>
                <w:bCs w:val="0"/>
              </w:rPr>
              <w:t>Very easy</w:t>
            </w:r>
          </w:p>
        </w:tc>
        <w:tc>
          <w:tcPr>
            <w:tcW w:w="635" w:type="pct"/>
          </w:tcPr>
          <w:p w14:paraId="7D2B1A2F"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5</w:t>
            </w:r>
          </w:p>
        </w:tc>
      </w:tr>
      <w:tr w:rsidR="00CD60C2" w:rsidRPr="00DB65C8" w14:paraId="25FFA013"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67BD9920" w14:textId="77777777" w:rsidR="00CD60C2" w:rsidRPr="00DB65C8" w:rsidRDefault="00CD60C2" w:rsidP="00957DB2">
            <w:pPr>
              <w:rPr>
                <w:rFonts w:eastAsia="Arial" w:cs="Arial"/>
                <w:b w:val="0"/>
                <w:bCs w:val="0"/>
              </w:rPr>
            </w:pPr>
            <w:r w:rsidRPr="00DB65C8">
              <w:rPr>
                <w:rFonts w:eastAsia="Arial" w:cs="Arial"/>
                <w:b w:val="0"/>
                <w:bCs w:val="0"/>
              </w:rPr>
              <w:t>Don’t know</w:t>
            </w:r>
          </w:p>
        </w:tc>
        <w:tc>
          <w:tcPr>
            <w:tcW w:w="635" w:type="pct"/>
          </w:tcPr>
          <w:p w14:paraId="6FA848D9"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99</w:t>
            </w:r>
          </w:p>
        </w:tc>
      </w:tr>
    </w:tbl>
    <w:p w14:paraId="5AACBA77" w14:textId="77777777" w:rsidR="00CD60C2" w:rsidRPr="00F34274" w:rsidRDefault="00CD60C2" w:rsidP="00957DB2">
      <w:pPr>
        <w:rPr>
          <w:rFonts w:eastAsia="Arial" w:cs="Arial"/>
        </w:rPr>
      </w:pPr>
    </w:p>
    <w:p w14:paraId="2F7A3E99" w14:textId="77777777" w:rsidR="00CD60C2" w:rsidRPr="00F34274" w:rsidRDefault="00CD60C2" w:rsidP="00957DB2">
      <w:pPr>
        <w:rPr>
          <w:rFonts w:eastAsia="Arial" w:cs="Arial"/>
        </w:rPr>
      </w:pPr>
      <w:r w:rsidRPr="00F34274">
        <w:rPr>
          <w:rFonts w:eastAsia="Arial" w:cs="Arial"/>
        </w:rPr>
        <w:t>ALL</w:t>
      </w:r>
    </w:p>
    <w:p w14:paraId="7FC0457A" w14:textId="77777777" w:rsidR="00CD60C2" w:rsidRPr="00F34274" w:rsidRDefault="00CD60C2" w:rsidP="00957DB2">
      <w:pPr>
        <w:rPr>
          <w:rFonts w:eastAsia="Arial" w:cs="Arial"/>
          <w:bCs/>
        </w:rPr>
      </w:pPr>
      <w:r w:rsidRPr="00F34274">
        <w:rPr>
          <w:rFonts w:eastAsia="Arial" w:cs="Arial"/>
          <w:bCs/>
        </w:rPr>
        <w:t xml:space="preserve">12. What type of external funding sources, if any, was your company </w:t>
      </w:r>
      <w:r w:rsidRPr="00F34274">
        <w:rPr>
          <w:rFonts w:eastAsia="Arial" w:cs="Arial"/>
          <w:bCs/>
          <w:u w:val="single"/>
        </w:rPr>
        <w:t>using</w:t>
      </w:r>
      <w:r w:rsidRPr="00F34274">
        <w:rPr>
          <w:rFonts w:eastAsia="Arial" w:cs="Arial"/>
          <w:bCs/>
        </w:rPr>
        <w:t xml:space="preserve"> prior to receiving funding from your Investor, if any?</w:t>
      </w:r>
    </w:p>
    <w:p w14:paraId="0E36479E" w14:textId="77777777" w:rsidR="00CD60C2" w:rsidRPr="00F34274" w:rsidRDefault="00CD60C2" w:rsidP="00957DB2">
      <w:pPr>
        <w:rPr>
          <w:rFonts w:eastAsia="Arial" w:cs="Arial"/>
          <w:bCs/>
          <w:i/>
          <w:iCs/>
        </w:rPr>
      </w:pPr>
      <w:bookmarkStart w:id="222" w:name="_Hlk120896818"/>
      <w:r w:rsidRPr="00F34274">
        <w:rPr>
          <w:rFonts w:eastAsia="Arial" w:cs="Arial"/>
          <w:bCs/>
          <w:i/>
          <w:iCs/>
        </w:rPr>
        <w:t>By using, we mean there was a funding facility in place, even if not drawn down, or funding previously received from an equity investor.</w:t>
      </w:r>
    </w:p>
    <w:p w14:paraId="53663A42" w14:textId="77777777" w:rsidR="00CD60C2" w:rsidRPr="00F34274" w:rsidRDefault="00CD60C2" w:rsidP="00957DB2">
      <w:pPr>
        <w:rPr>
          <w:rFonts w:eastAsia="Arial" w:cs="Arial"/>
        </w:rPr>
      </w:pPr>
      <w:r w:rsidRPr="00F34274">
        <w:rPr>
          <w:rFonts w:eastAsia="Arial" w:cs="Arial"/>
        </w:rPr>
        <w:t>PLEASE CHECK ALL THAT APPLY</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7"/>
        <w:gridCol w:w="1265"/>
      </w:tblGrid>
      <w:tr w:rsidR="00CD60C2" w:rsidRPr="00DB65C8" w14:paraId="6C4F3DE7"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13D5E938" w14:textId="77777777" w:rsidR="00CD60C2" w:rsidRPr="00DB65C8" w:rsidRDefault="00CD60C2" w:rsidP="00957DB2">
            <w:pPr>
              <w:rPr>
                <w:rFonts w:eastAsia="Arial" w:cs="Arial"/>
                <w:b w:val="0"/>
                <w:bCs w:val="0"/>
              </w:rPr>
            </w:pPr>
            <w:r w:rsidRPr="00DB65C8">
              <w:rPr>
                <w:rFonts w:eastAsia="Arial" w:cs="Arial"/>
                <w:b w:val="0"/>
                <w:bCs w:val="0"/>
              </w:rPr>
              <w:t>Credit cards</w:t>
            </w:r>
          </w:p>
        </w:tc>
        <w:tc>
          <w:tcPr>
            <w:tcW w:w="635" w:type="pct"/>
            <w:vAlign w:val="center"/>
          </w:tcPr>
          <w:p w14:paraId="1060CAC2" w14:textId="77777777" w:rsidR="00CD60C2" w:rsidRPr="00DB65C8" w:rsidRDefault="00CD60C2"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DB65C8">
              <w:rPr>
                <w:rFonts w:eastAsia="Arial" w:cs="Arial"/>
                <w:b w:val="0"/>
                <w:bCs w:val="0"/>
              </w:rPr>
              <w:t>1</w:t>
            </w:r>
          </w:p>
        </w:tc>
      </w:tr>
      <w:tr w:rsidR="00CD60C2" w:rsidRPr="00DB65C8" w14:paraId="6F664EA5"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3706C76C" w14:textId="77777777" w:rsidR="00CD60C2" w:rsidRPr="00DB65C8" w:rsidRDefault="00CD60C2" w:rsidP="00957DB2">
            <w:pPr>
              <w:rPr>
                <w:rFonts w:eastAsia="Arial" w:cs="Arial"/>
                <w:b w:val="0"/>
                <w:bCs w:val="0"/>
              </w:rPr>
            </w:pPr>
            <w:r w:rsidRPr="00DB65C8">
              <w:rPr>
                <w:rFonts w:eastAsia="Arial" w:cs="Arial"/>
                <w:b w:val="0"/>
                <w:bCs w:val="0"/>
              </w:rPr>
              <w:t>Equity funding from business angel (not from your Investor)</w:t>
            </w:r>
          </w:p>
        </w:tc>
        <w:tc>
          <w:tcPr>
            <w:tcW w:w="635" w:type="pct"/>
            <w:vAlign w:val="center"/>
          </w:tcPr>
          <w:p w14:paraId="1A1D417E"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2</w:t>
            </w:r>
          </w:p>
        </w:tc>
      </w:tr>
      <w:tr w:rsidR="00CD60C2" w:rsidRPr="00DB65C8" w14:paraId="272BD392"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42E401E8" w14:textId="77777777" w:rsidR="00CD60C2" w:rsidRPr="00DB65C8" w:rsidRDefault="00CD60C2" w:rsidP="00957DB2">
            <w:pPr>
              <w:rPr>
                <w:rFonts w:eastAsia="Arial" w:cs="Arial"/>
                <w:b w:val="0"/>
                <w:bCs w:val="0"/>
              </w:rPr>
            </w:pPr>
            <w:r w:rsidRPr="00DB65C8">
              <w:rPr>
                <w:rFonts w:eastAsia="Arial" w:cs="Arial"/>
                <w:b w:val="0"/>
                <w:bCs w:val="0"/>
              </w:rPr>
              <w:t>Equity funding from crowdfunding platform</w:t>
            </w:r>
          </w:p>
        </w:tc>
        <w:tc>
          <w:tcPr>
            <w:tcW w:w="635" w:type="pct"/>
            <w:vAlign w:val="center"/>
          </w:tcPr>
          <w:p w14:paraId="402A05C3"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3</w:t>
            </w:r>
          </w:p>
        </w:tc>
      </w:tr>
      <w:tr w:rsidR="00CD60C2" w:rsidRPr="00DB65C8" w14:paraId="6F3B4267"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576057B0" w14:textId="77777777" w:rsidR="00CD60C2" w:rsidRPr="00DB65C8" w:rsidRDefault="00CD60C2" w:rsidP="00957DB2">
            <w:pPr>
              <w:rPr>
                <w:rFonts w:eastAsia="Arial" w:cs="Arial"/>
                <w:b w:val="0"/>
                <w:bCs w:val="0"/>
              </w:rPr>
            </w:pPr>
            <w:r w:rsidRPr="00DB65C8">
              <w:rPr>
                <w:rFonts w:eastAsia="Arial" w:cs="Arial"/>
                <w:b w:val="0"/>
                <w:bCs w:val="0"/>
              </w:rPr>
              <w:t>Equity funding from Venture Capitalist or Private Equity</w:t>
            </w:r>
          </w:p>
        </w:tc>
        <w:tc>
          <w:tcPr>
            <w:tcW w:w="635" w:type="pct"/>
            <w:vAlign w:val="center"/>
          </w:tcPr>
          <w:p w14:paraId="2610D80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4</w:t>
            </w:r>
          </w:p>
        </w:tc>
      </w:tr>
      <w:tr w:rsidR="00CD60C2" w:rsidRPr="00DB65C8" w14:paraId="3B124308"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4F6F516B" w14:textId="77777777" w:rsidR="00CD60C2" w:rsidRPr="00DB65C8" w:rsidRDefault="00CD60C2" w:rsidP="00957DB2">
            <w:pPr>
              <w:rPr>
                <w:rFonts w:eastAsia="Arial" w:cs="Arial"/>
                <w:b w:val="0"/>
                <w:bCs w:val="0"/>
              </w:rPr>
            </w:pPr>
            <w:r w:rsidRPr="00DB65C8">
              <w:rPr>
                <w:rFonts w:eastAsia="Arial" w:cs="Arial"/>
                <w:b w:val="0"/>
                <w:bCs w:val="0"/>
              </w:rPr>
              <w:t>Equity funding from another investor</w:t>
            </w:r>
          </w:p>
        </w:tc>
        <w:tc>
          <w:tcPr>
            <w:tcW w:w="635" w:type="pct"/>
            <w:vAlign w:val="center"/>
          </w:tcPr>
          <w:p w14:paraId="7C935434"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5</w:t>
            </w:r>
          </w:p>
        </w:tc>
      </w:tr>
      <w:tr w:rsidR="00CD60C2" w:rsidRPr="00DB65C8" w14:paraId="65A9EA34"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6A2525D" w14:textId="77777777" w:rsidR="00CD60C2" w:rsidRPr="00DB65C8" w:rsidRDefault="00CD60C2" w:rsidP="00957DB2">
            <w:pPr>
              <w:rPr>
                <w:rFonts w:eastAsia="Arial" w:cs="Arial"/>
                <w:b w:val="0"/>
                <w:bCs w:val="0"/>
              </w:rPr>
            </w:pPr>
            <w:r w:rsidRPr="00DB65C8">
              <w:rPr>
                <w:rFonts w:eastAsia="Arial" w:cs="Arial"/>
                <w:b w:val="0"/>
                <w:bCs w:val="0"/>
              </w:rPr>
              <w:t>Invoice finance or factoring</w:t>
            </w:r>
          </w:p>
        </w:tc>
        <w:tc>
          <w:tcPr>
            <w:tcW w:w="635" w:type="pct"/>
            <w:vAlign w:val="center"/>
          </w:tcPr>
          <w:p w14:paraId="5C3E861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6</w:t>
            </w:r>
          </w:p>
        </w:tc>
      </w:tr>
      <w:tr w:rsidR="00CD60C2" w:rsidRPr="00DB65C8" w14:paraId="3117EE89"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428AB74A" w14:textId="77777777" w:rsidR="00CD60C2" w:rsidRPr="00DB65C8" w:rsidRDefault="00CD60C2" w:rsidP="00957DB2">
            <w:pPr>
              <w:rPr>
                <w:rFonts w:eastAsia="Arial" w:cs="Arial"/>
                <w:b w:val="0"/>
                <w:bCs w:val="0"/>
              </w:rPr>
            </w:pPr>
            <w:r w:rsidRPr="00DB65C8">
              <w:rPr>
                <w:rFonts w:eastAsia="Arial" w:cs="Arial"/>
                <w:b w:val="0"/>
                <w:bCs w:val="0"/>
              </w:rPr>
              <w:t>Leasing or hire purchase (asset-finance)</w:t>
            </w:r>
          </w:p>
        </w:tc>
        <w:tc>
          <w:tcPr>
            <w:tcW w:w="635" w:type="pct"/>
            <w:vAlign w:val="center"/>
          </w:tcPr>
          <w:p w14:paraId="5EA66906"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7</w:t>
            </w:r>
          </w:p>
        </w:tc>
      </w:tr>
      <w:tr w:rsidR="00CD60C2" w:rsidRPr="00DB65C8" w14:paraId="188B6674"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7E26D20F" w14:textId="77777777" w:rsidR="00CD60C2" w:rsidRPr="00DB65C8" w:rsidRDefault="00CD60C2" w:rsidP="00957DB2">
            <w:pPr>
              <w:rPr>
                <w:rFonts w:eastAsia="Arial" w:cs="Arial"/>
                <w:b w:val="0"/>
                <w:bCs w:val="0"/>
              </w:rPr>
            </w:pPr>
            <w:r w:rsidRPr="00DB65C8">
              <w:rPr>
                <w:rFonts w:eastAsia="Arial" w:cs="Arial"/>
                <w:b w:val="0"/>
                <w:bCs w:val="0"/>
              </w:rPr>
              <w:t>Loans from directors, other individuals, organisations [can include loans from friends]</w:t>
            </w:r>
          </w:p>
        </w:tc>
        <w:tc>
          <w:tcPr>
            <w:tcW w:w="635" w:type="pct"/>
            <w:vAlign w:val="center"/>
          </w:tcPr>
          <w:p w14:paraId="325596EA"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8</w:t>
            </w:r>
          </w:p>
        </w:tc>
      </w:tr>
      <w:tr w:rsidR="00CD60C2" w:rsidRPr="00DB65C8" w14:paraId="6820C959"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36E622A5" w14:textId="77777777" w:rsidR="00CD60C2" w:rsidRPr="00DB65C8" w:rsidRDefault="00CD60C2" w:rsidP="00957DB2">
            <w:pPr>
              <w:rPr>
                <w:rFonts w:eastAsia="Arial" w:cs="Arial"/>
                <w:b w:val="0"/>
                <w:bCs w:val="0"/>
              </w:rPr>
            </w:pPr>
            <w:r w:rsidRPr="00DB65C8">
              <w:rPr>
                <w:rFonts w:eastAsia="Arial" w:cs="Arial"/>
                <w:b w:val="0"/>
                <w:bCs w:val="0"/>
              </w:rPr>
              <w:t>Loans/mortgage from banks and other organisations</w:t>
            </w:r>
          </w:p>
        </w:tc>
        <w:tc>
          <w:tcPr>
            <w:tcW w:w="635" w:type="pct"/>
            <w:vAlign w:val="center"/>
          </w:tcPr>
          <w:p w14:paraId="35CBD7C1"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9</w:t>
            </w:r>
          </w:p>
        </w:tc>
      </w:tr>
      <w:tr w:rsidR="00CD60C2" w:rsidRPr="00DB65C8" w14:paraId="58C5907E"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CD94B0D" w14:textId="77777777" w:rsidR="00CD60C2" w:rsidRPr="00DB65C8" w:rsidRDefault="00CD60C2" w:rsidP="00957DB2">
            <w:pPr>
              <w:rPr>
                <w:rFonts w:eastAsia="Arial" w:cs="Arial"/>
                <w:b w:val="0"/>
                <w:bCs w:val="0"/>
              </w:rPr>
            </w:pPr>
            <w:r w:rsidRPr="00DB65C8">
              <w:rPr>
                <w:rFonts w:eastAsia="Arial" w:cs="Arial"/>
                <w:b w:val="0"/>
                <w:bCs w:val="0"/>
              </w:rPr>
              <w:t>Government backed loans</w:t>
            </w:r>
          </w:p>
        </w:tc>
        <w:tc>
          <w:tcPr>
            <w:tcW w:w="635" w:type="pct"/>
            <w:vAlign w:val="center"/>
          </w:tcPr>
          <w:p w14:paraId="472104E5"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10</w:t>
            </w:r>
          </w:p>
        </w:tc>
      </w:tr>
      <w:tr w:rsidR="00CD60C2" w:rsidRPr="00DB65C8" w14:paraId="6A0ACF6B"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2E4520AB" w14:textId="77777777" w:rsidR="00CD60C2" w:rsidRPr="00DB65C8" w:rsidRDefault="00CD60C2" w:rsidP="00957DB2">
            <w:pPr>
              <w:rPr>
                <w:rFonts w:eastAsia="Arial" w:cs="Arial"/>
                <w:b w:val="0"/>
                <w:bCs w:val="0"/>
              </w:rPr>
            </w:pPr>
            <w:r w:rsidRPr="00DB65C8">
              <w:rPr>
                <w:rFonts w:eastAsia="Arial" w:cs="Arial"/>
                <w:b w:val="0"/>
                <w:bCs w:val="0"/>
              </w:rPr>
              <w:t>Personal funds from owner(s) and/or any director(s)</w:t>
            </w:r>
          </w:p>
        </w:tc>
        <w:tc>
          <w:tcPr>
            <w:tcW w:w="635" w:type="pct"/>
            <w:vAlign w:val="center"/>
          </w:tcPr>
          <w:p w14:paraId="2D03135E"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11</w:t>
            </w:r>
          </w:p>
        </w:tc>
      </w:tr>
      <w:tr w:rsidR="00CD60C2" w:rsidRPr="00DB65C8" w14:paraId="21C47210"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3BC426A5" w14:textId="77777777" w:rsidR="00CD60C2" w:rsidRPr="00DB65C8" w:rsidRDefault="00CD60C2" w:rsidP="00957DB2">
            <w:pPr>
              <w:rPr>
                <w:rFonts w:eastAsia="Arial" w:cs="Arial"/>
                <w:b w:val="0"/>
                <w:bCs w:val="0"/>
              </w:rPr>
            </w:pPr>
            <w:r w:rsidRPr="00DB65C8">
              <w:rPr>
                <w:rFonts w:eastAsia="Arial" w:cs="Arial"/>
                <w:b w:val="0"/>
                <w:bCs w:val="0"/>
              </w:rPr>
              <w:lastRenderedPageBreak/>
              <w:t>Revolving credit facility or bank overdraft</w:t>
            </w:r>
          </w:p>
        </w:tc>
        <w:tc>
          <w:tcPr>
            <w:tcW w:w="635" w:type="pct"/>
            <w:vAlign w:val="center"/>
          </w:tcPr>
          <w:p w14:paraId="6F0B5B8F"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12</w:t>
            </w:r>
          </w:p>
        </w:tc>
      </w:tr>
      <w:tr w:rsidR="00CD60C2" w:rsidRPr="00DB65C8" w14:paraId="0217313F"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0858A60F" w14:textId="77777777" w:rsidR="00CD60C2" w:rsidRPr="00DB65C8" w:rsidRDefault="00CD60C2" w:rsidP="00957DB2">
            <w:pPr>
              <w:rPr>
                <w:rFonts w:eastAsia="Arial" w:cs="Arial"/>
                <w:b w:val="0"/>
                <w:bCs w:val="0"/>
              </w:rPr>
            </w:pPr>
            <w:r w:rsidRPr="00DB65C8">
              <w:rPr>
                <w:rFonts w:eastAsia="Arial" w:cs="Arial"/>
                <w:b w:val="0"/>
                <w:bCs w:val="0"/>
              </w:rPr>
              <w:t>Other [Please write in]</w:t>
            </w:r>
          </w:p>
        </w:tc>
        <w:tc>
          <w:tcPr>
            <w:tcW w:w="635" w:type="pct"/>
            <w:vAlign w:val="center"/>
          </w:tcPr>
          <w:p w14:paraId="4BE7438C"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13</w:t>
            </w:r>
          </w:p>
        </w:tc>
      </w:tr>
      <w:tr w:rsidR="00CD60C2" w:rsidRPr="00DB65C8" w14:paraId="575D341A"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Pr>
          <w:p w14:paraId="4EC8FA21" w14:textId="77777777" w:rsidR="00CD60C2" w:rsidRPr="00DB65C8" w:rsidRDefault="00CD60C2" w:rsidP="00957DB2">
            <w:pPr>
              <w:rPr>
                <w:rFonts w:eastAsia="Arial" w:cs="Arial"/>
                <w:b w:val="0"/>
                <w:bCs w:val="0"/>
              </w:rPr>
            </w:pPr>
            <w:r w:rsidRPr="00DB65C8">
              <w:rPr>
                <w:rFonts w:eastAsia="Arial" w:cs="Arial"/>
                <w:b w:val="0"/>
                <w:bCs w:val="0"/>
              </w:rPr>
              <w:t>None</w:t>
            </w:r>
          </w:p>
        </w:tc>
        <w:tc>
          <w:tcPr>
            <w:tcW w:w="635" w:type="pct"/>
            <w:vAlign w:val="center"/>
          </w:tcPr>
          <w:p w14:paraId="0F309F55"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14</w:t>
            </w:r>
          </w:p>
        </w:tc>
      </w:tr>
      <w:tr w:rsidR="00CD60C2" w:rsidRPr="00DB65C8" w14:paraId="141A7668" w14:textId="77777777" w:rsidTr="00201E3C">
        <w:tc>
          <w:tcPr>
            <w:cnfStyle w:val="001000000000" w:firstRow="0" w:lastRow="0" w:firstColumn="1" w:lastColumn="0" w:oddVBand="0" w:evenVBand="0" w:oddHBand="0" w:evenHBand="0" w:firstRowFirstColumn="0" w:firstRowLastColumn="0" w:lastRowFirstColumn="0" w:lastRowLastColumn="0"/>
            <w:tcW w:w="4365" w:type="pct"/>
          </w:tcPr>
          <w:p w14:paraId="2DA4BA70" w14:textId="77777777" w:rsidR="00CD60C2" w:rsidRPr="00DB65C8" w:rsidRDefault="00CD60C2" w:rsidP="00957DB2">
            <w:pPr>
              <w:rPr>
                <w:rFonts w:eastAsia="Arial" w:cs="Arial"/>
                <w:b w:val="0"/>
                <w:bCs w:val="0"/>
              </w:rPr>
            </w:pPr>
            <w:r w:rsidRPr="00DB65C8">
              <w:rPr>
                <w:rFonts w:eastAsia="Arial" w:cs="Arial"/>
                <w:b w:val="0"/>
                <w:bCs w:val="0"/>
              </w:rPr>
              <w:t>Don’t know</w:t>
            </w:r>
          </w:p>
        </w:tc>
        <w:tc>
          <w:tcPr>
            <w:tcW w:w="635" w:type="pct"/>
            <w:vAlign w:val="center"/>
          </w:tcPr>
          <w:p w14:paraId="2391313B"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15</w:t>
            </w:r>
          </w:p>
        </w:tc>
      </w:tr>
      <w:bookmarkEnd w:id="222"/>
    </w:tbl>
    <w:p w14:paraId="563D42AE" w14:textId="77777777" w:rsidR="00CD60C2" w:rsidRPr="00F34274" w:rsidRDefault="00CD60C2" w:rsidP="00957DB2">
      <w:pPr>
        <w:rPr>
          <w:rFonts w:eastAsia="Arial" w:cs="Arial"/>
        </w:rPr>
      </w:pPr>
    </w:p>
    <w:p w14:paraId="0733F152" w14:textId="77777777" w:rsidR="00CD60C2" w:rsidRPr="00F34274" w:rsidRDefault="00CD60C2" w:rsidP="00957DB2">
      <w:pPr>
        <w:rPr>
          <w:rFonts w:eastAsia="Arial" w:cs="Arial"/>
        </w:rPr>
      </w:pPr>
      <w:bookmarkStart w:id="223" w:name="_Hlk122601846"/>
      <w:r w:rsidRPr="00F34274">
        <w:rPr>
          <w:rFonts w:eastAsia="Arial" w:cs="Arial"/>
        </w:rPr>
        <w:t>ALL</w:t>
      </w:r>
    </w:p>
    <w:p w14:paraId="6EBD7DAD" w14:textId="77777777" w:rsidR="00CD60C2" w:rsidRPr="00F34274" w:rsidRDefault="00CD60C2" w:rsidP="00957DB2">
      <w:pPr>
        <w:rPr>
          <w:rFonts w:eastAsia="Arial" w:cs="Arial"/>
          <w:bCs/>
        </w:rPr>
      </w:pPr>
      <w:bookmarkStart w:id="224" w:name="_Hlk123897862"/>
      <w:r w:rsidRPr="00F34274">
        <w:rPr>
          <w:rFonts w:eastAsia="Arial" w:cs="Arial"/>
          <w:bCs/>
        </w:rPr>
        <w:t xml:space="preserve">13. Aside from the above, what sources of external funding did you </w:t>
      </w:r>
      <w:r w:rsidRPr="00F34274">
        <w:rPr>
          <w:rFonts w:eastAsia="Arial" w:cs="Arial"/>
          <w:bCs/>
          <w:u w:val="single"/>
        </w:rPr>
        <w:t>seek or apply for</w:t>
      </w:r>
      <w:r w:rsidRPr="00F34274">
        <w:rPr>
          <w:rFonts w:eastAsia="Arial" w:cs="Arial"/>
          <w:bCs/>
        </w:rPr>
        <w:t xml:space="preserve"> but were </w:t>
      </w:r>
      <w:r w:rsidRPr="00F34274">
        <w:rPr>
          <w:rFonts w:eastAsia="Arial" w:cs="Arial"/>
          <w:bCs/>
          <w:u w:val="single"/>
        </w:rPr>
        <w:t>unsuccessful</w:t>
      </w:r>
      <w:r w:rsidRPr="00F34274">
        <w:rPr>
          <w:rFonts w:eastAsia="Arial" w:cs="Arial"/>
          <w:bCs/>
        </w:rPr>
        <w:t xml:space="preserve"> in securing immediately prior to receiving funding from your Investor</w:t>
      </w:r>
      <w:bookmarkStart w:id="225" w:name="_Hlk86134864"/>
      <w:bookmarkStart w:id="226" w:name="_Hlk86141704"/>
      <w:r w:rsidRPr="00F34274">
        <w:rPr>
          <w:rFonts w:eastAsia="Arial" w:cs="Arial"/>
          <w:bCs/>
        </w:rPr>
        <w:t>?</w:t>
      </w:r>
      <w:bookmarkEnd w:id="225"/>
    </w:p>
    <w:p w14:paraId="768B3A19" w14:textId="77777777" w:rsidR="00CD60C2" w:rsidRPr="00F34274" w:rsidRDefault="00CD60C2" w:rsidP="00957DB2">
      <w:pPr>
        <w:rPr>
          <w:rFonts w:eastAsia="Arial" w:cs="Arial"/>
        </w:rPr>
      </w:pPr>
      <w:r w:rsidRPr="00F34274">
        <w:rPr>
          <w:rFonts w:eastAsia="Arial" w:cs="Arial"/>
        </w:rPr>
        <w:t>PLEASE CHECK ALL THAT APPLY</w:t>
      </w:r>
    </w:p>
    <w:tbl>
      <w:tblPr>
        <w:tblStyle w:val="PlainTable21"/>
        <w:tblW w:w="5000" w:type="pct"/>
        <w:tblLook w:val="04A0" w:firstRow="1" w:lastRow="0" w:firstColumn="1" w:lastColumn="0" w:noHBand="0" w:noVBand="1"/>
      </w:tblPr>
      <w:tblGrid>
        <w:gridCol w:w="8697"/>
        <w:gridCol w:w="1265"/>
      </w:tblGrid>
      <w:tr w:rsidR="00CD60C2" w:rsidRPr="00682F20" w14:paraId="1935E9E0" w14:textId="77777777" w:rsidTr="00201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5640D2C8" w14:textId="77777777" w:rsidR="00CD60C2" w:rsidRPr="00682F20" w:rsidRDefault="00CD60C2" w:rsidP="00957DB2">
            <w:pPr>
              <w:rPr>
                <w:rFonts w:eastAsia="Arial" w:cs="Arial"/>
                <w:b w:val="0"/>
                <w:bCs w:val="0"/>
              </w:rPr>
            </w:pPr>
            <w:bookmarkStart w:id="227" w:name="_Hlk86134914"/>
            <w:r w:rsidRPr="00682F20">
              <w:rPr>
                <w:rFonts w:eastAsia="Arial" w:cs="Arial"/>
                <w:b w:val="0"/>
                <w:bCs w:val="0"/>
              </w:rPr>
              <w:t>Credit cards</w:t>
            </w:r>
          </w:p>
        </w:tc>
        <w:tc>
          <w:tcPr>
            <w:tcW w:w="635" w:type="pct"/>
            <w:tcBorders>
              <w:top w:val="single" w:sz="4" w:space="0" w:color="auto"/>
              <w:left w:val="single" w:sz="4" w:space="0" w:color="auto"/>
              <w:bottom w:val="single" w:sz="4" w:space="0" w:color="auto"/>
              <w:right w:val="single" w:sz="4" w:space="0" w:color="auto"/>
            </w:tcBorders>
            <w:vAlign w:val="center"/>
          </w:tcPr>
          <w:p w14:paraId="0FE32CAF" w14:textId="77777777" w:rsidR="00CD60C2" w:rsidRPr="00682F20" w:rsidRDefault="00CD60C2" w:rsidP="3E2B953A">
            <w:pPr>
              <w:jc w:val="righ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682F20">
              <w:rPr>
                <w:rFonts w:eastAsia="Arial" w:cs="Arial"/>
                <w:b w:val="0"/>
                <w:bCs w:val="0"/>
              </w:rPr>
              <w:t>1</w:t>
            </w:r>
          </w:p>
        </w:tc>
      </w:tr>
      <w:tr w:rsidR="00CD60C2" w:rsidRPr="00DB65C8" w14:paraId="484B6316"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445A07F9" w14:textId="77777777" w:rsidR="00CD60C2" w:rsidRPr="00DB65C8" w:rsidRDefault="00CD60C2" w:rsidP="00957DB2">
            <w:pPr>
              <w:rPr>
                <w:rFonts w:eastAsia="Arial" w:cs="Arial"/>
                <w:b w:val="0"/>
                <w:bCs w:val="0"/>
              </w:rPr>
            </w:pPr>
            <w:r w:rsidRPr="00DB65C8">
              <w:rPr>
                <w:rFonts w:eastAsia="Arial" w:cs="Arial"/>
                <w:b w:val="0"/>
                <w:bCs w:val="0"/>
              </w:rPr>
              <w:t xml:space="preserve">Equity finance (equity from directors, individuals, friends, family, crowd funding platforms, Venture </w:t>
            </w:r>
            <w:proofErr w:type="gramStart"/>
            <w:r w:rsidRPr="00DB65C8">
              <w:rPr>
                <w:rFonts w:eastAsia="Arial" w:cs="Arial"/>
                <w:b w:val="0"/>
                <w:bCs w:val="0"/>
              </w:rPr>
              <w:t>Capital</w:t>
            </w:r>
            <w:proofErr w:type="gramEnd"/>
            <w:r w:rsidRPr="00DB65C8">
              <w:rPr>
                <w:rFonts w:eastAsia="Arial" w:cs="Arial"/>
                <w:b w:val="0"/>
                <w:bCs w:val="0"/>
              </w:rPr>
              <w:t xml:space="preserve"> or other investment organisations)</w:t>
            </w:r>
          </w:p>
        </w:tc>
        <w:tc>
          <w:tcPr>
            <w:tcW w:w="635" w:type="pct"/>
            <w:tcBorders>
              <w:top w:val="single" w:sz="4" w:space="0" w:color="auto"/>
              <w:left w:val="single" w:sz="4" w:space="0" w:color="auto"/>
              <w:bottom w:val="single" w:sz="4" w:space="0" w:color="auto"/>
              <w:right w:val="single" w:sz="4" w:space="0" w:color="auto"/>
            </w:tcBorders>
            <w:vAlign w:val="center"/>
          </w:tcPr>
          <w:p w14:paraId="4CF0ADE1"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2</w:t>
            </w:r>
          </w:p>
        </w:tc>
      </w:tr>
      <w:tr w:rsidR="00CD60C2" w:rsidRPr="00DB65C8" w14:paraId="29169C37"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0F250E60" w14:textId="77777777" w:rsidR="00CD60C2" w:rsidRPr="00DB65C8" w:rsidRDefault="00CD60C2" w:rsidP="00957DB2">
            <w:pPr>
              <w:rPr>
                <w:rFonts w:eastAsia="Arial" w:cs="Arial"/>
                <w:b w:val="0"/>
                <w:bCs w:val="0"/>
              </w:rPr>
            </w:pPr>
            <w:r w:rsidRPr="00DB65C8">
              <w:rPr>
                <w:rFonts w:eastAsia="Arial" w:cs="Arial"/>
                <w:b w:val="0"/>
                <w:bCs w:val="0"/>
              </w:rPr>
              <w:t>Government backed loans such as Bounce Back Loan Scheme (BBLS), Coronavirus Business Interruption Loan Scheme (CBILS), etc.</w:t>
            </w:r>
          </w:p>
        </w:tc>
        <w:tc>
          <w:tcPr>
            <w:tcW w:w="635" w:type="pct"/>
            <w:tcBorders>
              <w:top w:val="single" w:sz="4" w:space="0" w:color="auto"/>
              <w:left w:val="single" w:sz="4" w:space="0" w:color="auto"/>
              <w:bottom w:val="single" w:sz="4" w:space="0" w:color="auto"/>
              <w:right w:val="single" w:sz="4" w:space="0" w:color="auto"/>
            </w:tcBorders>
            <w:vAlign w:val="center"/>
          </w:tcPr>
          <w:p w14:paraId="1BA52203"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3</w:t>
            </w:r>
          </w:p>
        </w:tc>
      </w:tr>
      <w:tr w:rsidR="00CD60C2" w:rsidRPr="00DB65C8" w14:paraId="3C91A141"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6373BCA0" w14:textId="77777777" w:rsidR="00CD60C2" w:rsidRPr="00DB65C8" w:rsidRDefault="00CD60C2" w:rsidP="00957DB2">
            <w:pPr>
              <w:rPr>
                <w:rFonts w:eastAsia="Arial" w:cs="Arial"/>
                <w:b w:val="0"/>
                <w:bCs w:val="0"/>
              </w:rPr>
            </w:pPr>
            <w:r w:rsidRPr="00DB65C8">
              <w:rPr>
                <w:rFonts w:eastAsia="Arial" w:cs="Arial"/>
                <w:b w:val="0"/>
                <w:bCs w:val="0"/>
              </w:rPr>
              <w:t>Invoice finance or factoring</w:t>
            </w:r>
          </w:p>
        </w:tc>
        <w:tc>
          <w:tcPr>
            <w:tcW w:w="635" w:type="pct"/>
            <w:tcBorders>
              <w:top w:val="single" w:sz="4" w:space="0" w:color="auto"/>
              <w:left w:val="single" w:sz="4" w:space="0" w:color="auto"/>
              <w:bottom w:val="single" w:sz="4" w:space="0" w:color="auto"/>
              <w:right w:val="single" w:sz="4" w:space="0" w:color="auto"/>
            </w:tcBorders>
            <w:vAlign w:val="center"/>
          </w:tcPr>
          <w:p w14:paraId="6A182D60"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4</w:t>
            </w:r>
          </w:p>
        </w:tc>
      </w:tr>
      <w:tr w:rsidR="00CD60C2" w:rsidRPr="00DB65C8" w14:paraId="37B95F67"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39E40B3D" w14:textId="77777777" w:rsidR="00CD60C2" w:rsidRPr="00DB65C8" w:rsidRDefault="00CD60C2" w:rsidP="00957DB2">
            <w:pPr>
              <w:rPr>
                <w:rFonts w:eastAsia="Arial" w:cs="Arial"/>
                <w:b w:val="0"/>
                <w:bCs w:val="0"/>
              </w:rPr>
            </w:pPr>
            <w:r w:rsidRPr="00DB65C8">
              <w:rPr>
                <w:rFonts w:eastAsia="Arial" w:cs="Arial"/>
                <w:b w:val="0"/>
                <w:bCs w:val="0"/>
              </w:rPr>
              <w:t>Leasing or hire purchase (asset-finance)</w:t>
            </w:r>
          </w:p>
        </w:tc>
        <w:tc>
          <w:tcPr>
            <w:tcW w:w="635" w:type="pct"/>
            <w:tcBorders>
              <w:top w:val="single" w:sz="4" w:space="0" w:color="auto"/>
              <w:left w:val="single" w:sz="4" w:space="0" w:color="auto"/>
              <w:bottom w:val="single" w:sz="4" w:space="0" w:color="auto"/>
              <w:right w:val="single" w:sz="4" w:space="0" w:color="auto"/>
            </w:tcBorders>
            <w:vAlign w:val="center"/>
          </w:tcPr>
          <w:p w14:paraId="7C8FE7B7"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5</w:t>
            </w:r>
          </w:p>
        </w:tc>
      </w:tr>
      <w:tr w:rsidR="00CD60C2" w:rsidRPr="00DB65C8" w14:paraId="62CAC2AF"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5D8DB913" w14:textId="77777777" w:rsidR="00CD60C2" w:rsidRPr="00DB65C8" w:rsidRDefault="00CD60C2" w:rsidP="00957DB2">
            <w:pPr>
              <w:rPr>
                <w:rFonts w:eastAsia="Arial" w:cs="Arial"/>
                <w:b w:val="0"/>
                <w:bCs w:val="0"/>
              </w:rPr>
            </w:pPr>
            <w:r w:rsidRPr="00DB65C8">
              <w:rPr>
                <w:rFonts w:eastAsia="Arial" w:cs="Arial"/>
                <w:b w:val="0"/>
                <w:bCs w:val="0"/>
              </w:rPr>
              <w:t>Loans from directors, other individuals, organisations [can include loans from friends]</w:t>
            </w:r>
          </w:p>
        </w:tc>
        <w:tc>
          <w:tcPr>
            <w:tcW w:w="635" w:type="pct"/>
            <w:tcBorders>
              <w:top w:val="single" w:sz="4" w:space="0" w:color="auto"/>
              <w:left w:val="single" w:sz="4" w:space="0" w:color="auto"/>
              <w:bottom w:val="single" w:sz="4" w:space="0" w:color="auto"/>
              <w:right w:val="single" w:sz="4" w:space="0" w:color="auto"/>
            </w:tcBorders>
            <w:vAlign w:val="center"/>
          </w:tcPr>
          <w:p w14:paraId="2101F2C2"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6</w:t>
            </w:r>
          </w:p>
        </w:tc>
      </w:tr>
      <w:tr w:rsidR="00CD60C2" w:rsidRPr="00DB65C8" w14:paraId="4C3B9E0F"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179B94FC" w14:textId="77777777" w:rsidR="00CD60C2" w:rsidRPr="00DB65C8" w:rsidRDefault="00CD60C2" w:rsidP="00957DB2">
            <w:pPr>
              <w:rPr>
                <w:rFonts w:eastAsia="Arial" w:cs="Arial"/>
                <w:b w:val="0"/>
                <w:bCs w:val="0"/>
              </w:rPr>
            </w:pPr>
            <w:r w:rsidRPr="00DB65C8">
              <w:rPr>
                <w:rFonts w:eastAsia="Arial" w:cs="Arial"/>
                <w:b w:val="0"/>
                <w:bCs w:val="0"/>
              </w:rPr>
              <w:t xml:space="preserve">Loans/mortgage from banks and other organisations </w:t>
            </w:r>
          </w:p>
        </w:tc>
        <w:tc>
          <w:tcPr>
            <w:tcW w:w="635" w:type="pct"/>
            <w:tcBorders>
              <w:top w:val="single" w:sz="4" w:space="0" w:color="auto"/>
              <w:left w:val="single" w:sz="4" w:space="0" w:color="auto"/>
              <w:bottom w:val="single" w:sz="4" w:space="0" w:color="auto"/>
              <w:right w:val="single" w:sz="4" w:space="0" w:color="auto"/>
            </w:tcBorders>
            <w:vAlign w:val="center"/>
          </w:tcPr>
          <w:p w14:paraId="46AF401E"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7</w:t>
            </w:r>
          </w:p>
        </w:tc>
      </w:tr>
      <w:tr w:rsidR="00CD60C2" w:rsidRPr="00DB65C8" w14:paraId="0C9C1DB1"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262B7327" w14:textId="04313A14" w:rsidR="00CD60C2" w:rsidRPr="00DB65C8" w:rsidRDefault="00CD60C2" w:rsidP="00957DB2">
            <w:pPr>
              <w:rPr>
                <w:rFonts w:eastAsia="Arial" w:cs="Arial"/>
                <w:b w:val="0"/>
                <w:bCs w:val="0"/>
              </w:rPr>
            </w:pPr>
            <w:r w:rsidRPr="00DB65C8">
              <w:rPr>
                <w:rFonts w:eastAsia="Arial" w:cs="Arial"/>
                <w:b w:val="0"/>
                <w:bCs w:val="0"/>
              </w:rPr>
              <w:t xml:space="preserve">Other government backed schemes such as the Angel </w:t>
            </w:r>
            <w:proofErr w:type="spellStart"/>
            <w:r w:rsidRPr="00DB65C8">
              <w:rPr>
                <w:rFonts w:eastAsia="Arial" w:cs="Arial"/>
                <w:b w:val="0"/>
                <w:bCs w:val="0"/>
              </w:rPr>
              <w:t>CoFund</w:t>
            </w:r>
            <w:proofErr w:type="spellEnd"/>
            <w:r w:rsidRPr="00DB65C8">
              <w:rPr>
                <w:rFonts w:eastAsia="Arial" w:cs="Arial"/>
                <w:b w:val="0"/>
                <w:bCs w:val="0"/>
              </w:rPr>
              <w:t xml:space="preserve">, the Enterprise Investment Scheme (EIS) and the Seed Enterprise Investment Scheme (SEIS), the Future Fund, DCMS supported Creative Scale Up Programme, UKBAA / </w:t>
            </w:r>
            <w:proofErr w:type="spellStart"/>
            <w:r w:rsidRPr="00DB65C8">
              <w:rPr>
                <w:rFonts w:eastAsia="Arial" w:cs="Arial"/>
                <w:b w:val="0"/>
                <w:bCs w:val="0"/>
              </w:rPr>
              <w:t>SETsquared</w:t>
            </w:r>
            <w:proofErr w:type="spellEnd"/>
            <w:r w:rsidRPr="00DB65C8">
              <w:rPr>
                <w:rFonts w:eastAsia="Arial" w:cs="Arial"/>
                <w:b w:val="0"/>
                <w:bCs w:val="0"/>
              </w:rPr>
              <w:t xml:space="preserve"> funded Angel Investment Accelerator, etc.</w:t>
            </w:r>
          </w:p>
        </w:tc>
        <w:tc>
          <w:tcPr>
            <w:tcW w:w="635" w:type="pct"/>
            <w:tcBorders>
              <w:top w:val="single" w:sz="4" w:space="0" w:color="auto"/>
              <w:left w:val="single" w:sz="4" w:space="0" w:color="auto"/>
              <w:bottom w:val="single" w:sz="4" w:space="0" w:color="auto"/>
              <w:right w:val="single" w:sz="4" w:space="0" w:color="auto"/>
            </w:tcBorders>
            <w:vAlign w:val="center"/>
          </w:tcPr>
          <w:p w14:paraId="6BED6081"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8</w:t>
            </w:r>
          </w:p>
        </w:tc>
      </w:tr>
      <w:tr w:rsidR="00CD60C2" w:rsidRPr="00DB65C8" w14:paraId="10F73790"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5C2BC745" w14:textId="77777777" w:rsidR="00CD60C2" w:rsidRPr="00DB65C8" w:rsidRDefault="00CD60C2" w:rsidP="00957DB2">
            <w:pPr>
              <w:rPr>
                <w:rFonts w:eastAsia="Arial" w:cs="Arial"/>
                <w:b w:val="0"/>
                <w:bCs w:val="0"/>
              </w:rPr>
            </w:pPr>
            <w:r w:rsidRPr="00DB65C8">
              <w:rPr>
                <w:rFonts w:eastAsia="Arial" w:cs="Arial"/>
                <w:b w:val="0"/>
                <w:bCs w:val="0"/>
              </w:rPr>
              <w:t>Personal funds from owner(s) and/or any director(s)</w:t>
            </w:r>
          </w:p>
        </w:tc>
        <w:tc>
          <w:tcPr>
            <w:tcW w:w="635" w:type="pct"/>
            <w:tcBorders>
              <w:top w:val="single" w:sz="4" w:space="0" w:color="auto"/>
              <w:left w:val="single" w:sz="4" w:space="0" w:color="auto"/>
              <w:bottom w:val="single" w:sz="4" w:space="0" w:color="auto"/>
              <w:right w:val="single" w:sz="4" w:space="0" w:color="auto"/>
            </w:tcBorders>
            <w:vAlign w:val="center"/>
          </w:tcPr>
          <w:p w14:paraId="16889635"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9</w:t>
            </w:r>
          </w:p>
        </w:tc>
      </w:tr>
      <w:tr w:rsidR="00CD60C2" w:rsidRPr="00DB65C8" w14:paraId="372319B3"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771B4DA6" w14:textId="77777777" w:rsidR="00CD60C2" w:rsidRPr="00DB65C8" w:rsidRDefault="00CD60C2" w:rsidP="00957DB2">
            <w:pPr>
              <w:rPr>
                <w:rFonts w:eastAsia="Arial" w:cs="Arial"/>
                <w:b w:val="0"/>
                <w:bCs w:val="0"/>
              </w:rPr>
            </w:pPr>
            <w:r w:rsidRPr="00DB65C8">
              <w:rPr>
                <w:rFonts w:eastAsia="Arial" w:cs="Arial"/>
                <w:b w:val="0"/>
                <w:bCs w:val="0"/>
              </w:rPr>
              <w:t>Revolving credit facility or bank overdraft</w:t>
            </w:r>
          </w:p>
        </w:tc>
        <w:tc>
          <w:tcPr>
            <w:tcW w:w="635" w:type="pct"/>
            <w:tcBorders>
              <w:top w:val="single" w:sz="4" w:space="0" w:color="auto"/>
              <w:left w:val="single" w:sz="4" w:space="0" w:color="auto"/>
              <w:bottom w:val="single" w:sz="4" w:space="0" w:color="auto"/>
              <w:right w:val="single" w:sz="4" w:space="0" w:color="auto"/>
            </w:tcBorders>
            <w:vAlign w:val="center"/>
          </w:tcPr>
          <w:p w14:paraId="6D7EDE4D"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10</w:t>
            </w:r>
          </w:p>
        </w:tc>
      </w:tr>
      <w:tr w:rsidR="00CD60C2" w:rsidRPr="00DB65C8" w14:paraId="496FC18A"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589DA6E4" w14:textId="77777777" w:rsidR="00CD60C2" w:rsidRPr="00DB65C8" w:rsidRDefault="00CD60C2" w:rsidP="00957DB2">
            <w:pPr>
              <w:rPr>
                <w:rFonts w:eastAsia="Arial" w:cs="Arial"/>
                <w:b w:val="0"/>
                <w:bCs w:val="0"/>
              </w:rPr>
            </w:pPr>
            <w:r w:rsidRPr="00DB65C8">
              <w:rPr>
                <w:rFonts w:eastAsia="Arial" w:cs="Arial"/>
                <w:b w:val="0"/>
                <w:bCs w:val="0"/>
              </w:rPr>
              <w:t>Applied/sought other finance – please write in</w:t>
            </w:r>
          </w:p>
        </w:tc>
        <w:tc>
          <w:tcPr>
            <w:tcW w:w="635" w:type="pct"/>
            <w:tcBorders>
              <w:top w:val="single" w:sz="4" w:space="0" w:color="auto"/>
              <w:left w:val="single" w:sz="4" w:space="0" w:color="auto"/>
              <w:bottom w:val="single" w:sz="4" w:space="0" w:color="auto"/>
              <w:right w:val="single" w:sz="4" w:space="0" w:color="auto"/>
            </w:tcBorders>
            <w:vAlign w:val="center"/>
          </w:tcPr>
          <w:p w14:paraId="331861E1"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11</w:t>
            </w:r>
          </w:p>
        </w:tc>
      </w:tr>
      <w:tr w:rsidR="00CD60C2" w:rsidRPr="00DB65C8" w14:paraId="14DD6136" w14:textId="77777777" w:rsidTr="00201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5F60ABF0" w14:textId="77777777" w:rsidR="00CD60C2" w:rsidRPr="00DB65C8" w:rsidRDefault="00CD60C2" w:rsidP="00957DB2">
            <w:pPr>
              <w:rPr>
                <w:rFonts w:eastAsia="Arial" w:cs="Arial"/>
                <w:b w:val="0"/>
                <w:bCs w:val="0"/>
              </w:rPr>
            </w:pPr>
            <w:r w:rsidRPr="00DB65C8">
              <w:rPr>
                <w:rFonts w:eastAsia="Arial" w:cs="Arial"/>
                <w:b w:val="0"/>
                <w:bCs w:val="0"/>
              </w:rPr>
              <w:lastRenderedPageBreak/>
              <w:t>Had not applied for/sought any</w:t>
            </w:r>
          </w:p>
        </w:tc>
        <w:tc>
          <w:tcPr>
            <w:tcW w:w="635" w:type="pct"/>
            <w:tcBorders>
              <w:top w:val="single" w:sz="4" w:space="0" w:color="auto"/>
              <w:left w:val="single" w:sz="4" w:space="0" w:color="auto"/>
              <w:bottom w:val="single" w:sz="4" w:space="0" w:color="auto"/>
              <w:right w:val="single" w:sz="4" w:space="0" w:color="auto"/>
            </w:tcBorders>
            <w:vAlign w:val="center"/>
          </w:tcPr>
          <w:p w14:paraId="1AB10A1B" w14:textId="77777777" w:rsidR="00CD60C2" w:rsidRPr="00DB65C8" w:rsidRDefault="00CD60C2" w:rsidP="3E2B953A">
            <w:pPr>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DB65C8">
              <w:rPr>
                <w:rFonts w:eastAsia="Arial" w:cs="Arial"/>
              </w:rPr>
              <w:t>12</w:t>
            </w:r>
          </w:p>
        </w:tc>
      </w:tr>
      <w:tr w:rsidR="00CD60C2" w:rsidRPr="00DB65C8" w14:paraId="4A5FD9D3" w14:textId="77777777" w:rsidTr="00201E3C">
        <w:tc>
          <w:tcPr>
            <w:cnfStyle w:val="001000000000" w:firstRow="0" w:lastRow="0" w:firstColumn="1" w:lastColumn="0" w:oddVBand="0" w:evenVBand="0" w:oddHBand="0" w:evenHBand="0" w:firstRowFirstColumn="0" w:firstRowLastColumn="0" w:lastRowFirstColumn="0" w:lastRowLastColumn="0"/>
            <w:tcW w:w="4365" w:type="pct"/>
            <w:tcBorders>
              <w:top w:val="single" w:sz="4" w:space="0" w:color="auto"/>
              <w:left w:val="single" w:sz="4" w:space="0" w:color="auto"/>
              <w:bottom w:val="single" w:sz="4" w:space="0" w:color="auto"/>
              <w:right w:val="single" w:sz="4" w:space="0" w:color="auto"/>
            </w:tcBorders>
          </w:tcPr>
          <w:p w14:paraId="0BE71F53" w14:textId="77777777" w:rsidR="00CD60C2" w:rsidRPr="00DB65C8" w:rsidRDefault="00CD60C2" w:rsidP="00957DB2">
            <w:pPr>
              <w:rPr>
                <w:rFonts w:eastAsia="Arial" w:cs="Arial"/>
                <w:b w:val="0"/>
                <w:bCs w:val="0"/>
              </w:rPr>
            </w:pPr>
            <w:r w:rsidRPr="00DB65C8">
              <w:rPr>
                <w:rFonts w:eastAsia="Arial" w:cs="Arial"/>
                <w:b w:val="0"/>
                <w:bCs w:val="0"/>
              </w:rPr>
              <w:t>Don’t know</w:t>
            </w:r>
          </w:p>
        </w:tc>
        <w:tc>
          <w:tcPr>
            <w:tcW w:w="635" w:type="pct"/>
            <w:tcBorders>
              <w:top w:val="single" w:sz="4" w:space="0" w:color="auto"/>
              <w:left w:val="single" w:sz="4" w:space="0" w:color="auto"/>
              <w:bottom w:val="single" w:sz="4" w:space="0" w:color="auto"/>
              <w:right w:val="single" w:sz="4" w:space="0" w:color="auto"/>
            </w:tcBorders>
            <w:vAlign w:val="center"/>
          </w:tcPr>
          <w:p w14:paraId="3CA96A4D" w14:textId="77777777" w:rsidR="00CD60C2" w:rsidRPr="00DB65C8" w:rsidRDefault="00CD60C2" w:rsidP="3E2B953A">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DB65C8">
              <w:rPr>
                <w:rFonts w:eastAsia="Arial" w:cs="Arial"/>
              </w:rPr>
              <w:t>13</w:t>
            </w:r>
          </w:p>
        </w:tc>
      </w:tr>
      <w:bookmarkEnd w:id="226"/>
      <w:bookmarkEnd w:id="227"/>
    </w:tbl>
    <w:p w14:paraId="5A3442ED" w14:textId="77777777" w:rsidR="00CD60C2" w:rsidRPr="00F34274" w:rsidRDefault="00CD60C2" w:rsidP="00957DB2">
      <w:pPr>
        <w:rPr>
          <w:rFonts w:eastAsia="Arial" w:cs="Arial"/>
        </w:rPr>
      </w:pPr>
    </w:p>
    <w:p w14:paraId="21F85EAF" w14:textId="77777777" w:rsidR="00CD60C2" w:rsidRPr="00F34274" w:rsidRDefault="00CD60C2" w:rsidP="00957DB2">
      <w:pPr>
        <w:rPr>
          <w:rFonts w:eastAsia="Arial" w:cs="Arial"/>
        </w:rPr>
      </w:pPr>
      <w:bookmarkStart w:id="228" w:name="_Hlk124457788"/>
      <w:r w:rsidRPr="00F34274">
        <w:rPr>
          <w:rFonts w:eastAsia="Arial" w:cs="Arial"/>
        </w:rPr>
        <w:t>ALL</w:t>
      </w:r>
    </w:p>
    <w:p w14:paraId="50551838" w14:textId="77777777" w:rsidR="00CD60C2" w:rsidRPr="00F34274" w:rsidRDefault="00CD60C2" w:rsidP="00957DB2">
      <w:pPr>
        <w:rPr>
          <w:rFonts w:eastAsia="Arial" w:cs="Arial"/>
          <w:bCs/>
        </w:rPr>
      </w:pPr>
      <w:r w:rsidRPr="00F34274">
        <w:rPr>
          <w:rFonts w:eastAsia="Arial" w:cs="Arial"/>
          <w:bCs/>
        </w:rPr>
        <w:t>14. Please select from the following list any government backed loans / scheme that you received funding or assistance from (Please select Not Applicable if you have not received any Government funding).</w:t>
      </w:r>
    </w:p>
    <w:p w14:paraId="6B8F0278" w14:textId="77777777" w:rsidR="00CD60C2" w:rsidRPr="00F34274" w:rsidRDefault="00CD60C2" w:rsidP="00957DB2">
      <w:pPr>
        <w:rPr>
          <w:rFonts w:eastAsia="Arial" w:cs="Arial"/>
        </w:rPr>
      </w:pPr>
      <w:r w:rsidRPr="00F34274">
        <w:rPr>
          <w:rFonts w:eastAsia="Arial" w:cs="Arial"/>
        </w:rPr>
        <w:t>PLEASE CHECK ALL THAT APPLY</w:t>
      </w:r>
    </w:p>
    <w:tbl>
      <w:tblPr>
        <w:tblStyle w:val="withborders11"/>
        <w:tblW w:w="5000" w:type="pct"/>
        <w:tblInd w:w="0" w:type="dxa"/>
        <w:tblLook w:val="04A0" w:firstRow="1" w:lastRow="0" w:firstColumn="1" w:lastColumn="0" w:noHBand="0" w:noVBand="1"/>
      </w:tblPr>
      <w:tblGrid>
        <w:gridCol w:w="8697"/>
        <w:gridCol w:w="1265"/>
      </w:tblGrid>
      <w:tr w:rsidR="00CD60C2" w:rsidRPr="00F34274" w14:paraId="59F2E383" w14:textId="77777777" w:rsidTr="00201E3C">
        <w:trPr>
          <w:trHeight w:val="397"/>
        </w:trPr>
        <w:tc>
          <w:tcPr>
            <w:tcW w:w="4365" w:type="pct"/>
          </w:tcPr>
          <w:p w14:paraId="685EA589" w14:textId="6F8DBDB2" w:rsidR="00CD60C2" w:rsidRPr="00F34274" w:rsidRDefault="00CD60C2" w:rsidP="00957DB2">
            <w:pPr>
              <w:rPr>
                <w:rFonts w:eastAsia="Arial" w:cs="Arial"/>
              </w:rPr>
            </w:pPr>
            <w:r w:rsidRPr="00F34274">
              <w:rPr>
                <w:rFonts w:eastAsia="Arial" w:cs="Arial"/>
              </w:rPr>
              <w:t xml:space="preserve">The Angel </w:t>
            </w:r>
            <w:proofErr w:type="spellStart"/>
            <w:r w:rsidRPr="00F34274">
              <w:rPr>
                <w:rFonts w:eastAsia="Arial" w:cs="Arial"/>
              </w:rPr>
              <w:t>CoFund</w:t>
            </w:r>
            <w:proofErr w:type="spellEnd"/>
          </w:p>
        </w:tc>
        <w:tc>
          <w:tcPr>
            <w:tcW w:w="635" w:type="pct"/>
            <w:hideMark/>
          </w:tcPr>
          <w:p w14:paraId="120160FF" w14:textId="77777777" w:rsidR="00CD60C2" w:rsidRPr="00F34274" w:rsidRDefault="00CD60C2" w:rsidP="00957DB2">
            <w:pPr>
              <w:rPr>
                <w:rFonts w:eastAsia="Arial" w:cs="Arial"/>
              </w:rPr>
            </w:pPr>
            <w:r w:rsidRPr="00F34274">
              <w:rPr>
                <w:rFonts w:eastAsia="Arial" w:cs="Arial"/>
              </w:rPr>
              <w:t>1</w:t>
            </w:r>
          </w:p>
        </w:tc>
      </w:tr>
      <w:tr w:rsidR="00CD60C2" w:rsidRPr="00F34274" w14:paraId="15C70AE8" w14:textId="77777777" w:rsidTr="00201E3C">
        <w:trPr>
          <w:trHeight w:val="397"/>
        </w:trPr>
        <w:tc>
          <w:tcPr>
            <w:tcW w:w="4365" w:type="pct"/>
          </w:tcPr>
          <w:p w14:paraId="560F005D" w14:textId="77777777" w:rsidR="00CD60C2" w:rsidRPr="00F34274" w:rsidRDefault="00CD60C2" w:rsidP="00957DB2">
            <w:pPr>
              <w:rPr>
                <w:rFonts w:eastAsia="Arial" w:cs="Arial"/>
              </w:rPr>
            </w:pPr>
            <w:r w:rsidRPr="00F34274">
              <w:rPr>
                <w:rFonts w:eastAsia="Arial" w:cs="Arial"/>
              </w:rPr>
              <w:t>The Enterprise Investment Scheme (EIS) / The Seed Enterprise Investment Scheme (SEIS)</w:t>
            </w:r>
          </w:p>
        </w:tc>
        <w:tc>
          <w:tcPr>
            <w:tcW w:w="635" w:type="pct"/>
            <w:hideMark/>
          </w:tcPr>
          <w:p w14:paraId="188DDF95" w14:textId="77777777" w:rsidR="00CD60C2" w:rsidRPr="00F34274" w:rsidRDefault="00CD60C2" w:rsidP="00957DB2">
            <w:pPr>
              <w:rPr>
                <w:rFonts w:eastAsia="Arial" w:cs="Arial"/>
              </w:rPr>
            </w:pPr>
            <w:r w:rsidRPr="00F34274">
              <w:rPr>
                <w:rFonts w:eastAsia="Arial" w:cs="Arial"/>
              </w:rPr>
              <w:t>2</w:t>
            </w:r>
          </w:p>
        </w:tc>
      </w:tr>
      <w:tr w:rsidR="00CD60C2" w:rsidRPr="00F34274" w14:paraId="524BC970" w14:textId="77777777" w:rsidTr="00201E3C">
        <w:trPr>
          <w:trHeight w:val="397"/>
        </w:trPr>
        <w:tc>
          <w:tcPr>
            <w:tcW w:w="4365" w:type="pct"/>
          </w:tcPr>
          <w:p w14:paraId="0FFA2D77" w14:textId="77777777" w:rsidR="00CD60C2" w:rsidRPr="00F34274" w:rsidRDefault="00CD60C2" w:rsidP="00957DB2">
            <w:pPr>
              <w:rPr>
                <w:rFonts w:eastAsia="Arial" w:cs="Arial"/>
              </w:rPr>
            </w:pPr>
            <w:r w:rsidRPr="00F34274">
              <w:rPr>
                <w:rFonts w:eastAsia="Arial" w:cs="Arial"/>
              </w:rPr>
              <w:t>The Coronavirus Job Retention Scheme</w:t>
            </w:r>
          </w:p>
        </w:tc>
        <w:tc>
          <w:tcPr>
            <w:tcW w:w="635" w:type="pct"/>
            <w:hideMark/>
          </w:tcPr>
          <w:p w14:paraId="0BAEF724" w14:textId="77777777" w:rsidR="00CD60C2" w:rsidRPr="00F34274" w:rsidRDefault="00CD60C2" w:rsidP="00957DB2">
            <w:pPr>
              <w:rPr>
                <w:rFonts w:eastAsia="Arial" w:cs="Arial"/>
              </w:rPr>
            </w:pPr>
            <w:r w:rsidRPr="00F34274">
              <w:rPr>
                <w:rFonts w:eastAsia="Arial" w:cs="Arial"/>
              </w:rPr>
              <w:t>3</w:t>
            </w:r>
          </w:p>
        </w:tc>
      </w:tr>
      <w:tr w:rsidR="00CD60C2" w:rsidRPr="00F34274" w14:paraId="77BB01FF" w14:textId="77777777" w:rsidTr="00201E3C">
        <w:trPr>
          <w:trHeight w:val="397"/>
        </w:trPr>
        <w:tc>
          <w:tcPr>
            <w:tcW w:w="4365" w:type="pct"/>
          </w:tcPr>
          <w:p w14:paraId="407BB1B8" w14:textId="77777777" w:rsidR="00CD60C2" w:rsidRPr="00F34274" w:rsidRDefault="00CD60C2" w:rsidP="00957DB2">
            <w:pPr>
              <w:rPr>
                <w:rFonts w:eastAsia="Arial" w:cs="Arial"/>
              </w:rPr>
            </w:pPr>
            <w:r w:rsidRPr="00F34274">
              <w:rPr>
                <w:rFonts w:eastAsia="Arial" w:cs="Arial"/>
              </w:rPr>
              <w:t>Statutory Sick Pay Rebate Scheme</w:t>
            </w:r>
          </w:p>
        </w:tc>
        <w:tc>
          <w:tcPr>
            <w:tcW w:w="635" w:type="pct"/>
            <w:hideMark/>
          </w:tcPr>
          <w:p w14:paraId="645DA620" w14:textId="77777777" w:rsidR="00CD60C2" w:rsidRPr="00F34274" w:rsidRDefault="00CD60C2" w:rsidP="00957DB2">
            <w:pPr>
              <w:rPr>
                <w:rFonts w:eastAsia="Arial" w:cs="Arial"/>
              </w:rPr>
            </w:pPr>
            <w:r w:rsidRPr="00F34274">
              <w:rPr>
                <w:rFonts w:eastAsia="Arial" w:cs="Arial"/>
              </w:rPr>
              <w:t>4</w:t>
            </w:r>
          </w:p>
        </w:tc>
      </w:tr>
      <w:tr w:rsidR="00CD60C2" w:rsidRPr="00F34274" w14:paraId="79F2BC42" w14:textId="77777777" w:rsidTr="00201E3C">
        <w:trPr>
          <w:trHeight w:val="397"/>
        </w:trPr>
        <w:tc>
          <w:tcPr>
            <w:tcW w:w="4365" w:type="pct"/>
          </w:tcPr>
          <w:p w14:paraId="5C4894D0" w14:textId="77777777" w:rsidR="00CD60C2" w:rsidRPr="00F34274" w:rsidRDefault="00CD60C2" w:rsidP="00957DB2">
            <w:pPr>
              <w:rPr>
                <w:rFonts w:eastAsia="Arial" w:cs="Arial"/>
              </w:rPr>
            </w:pPr>
            <w:r w:rsidRPr="00F34274">
              <w:rPr>
                <w:rFonts w:eastAsia="Arial" w:cs="Arial"/>
              </w:rPr>
              <w:t>VAT Payments Deferral Scheme</w:t>
            </w:r>
          </w:p>
        </w:tc>
        <w:tc>
          <w:tcPr>
            <w:tcW w:w="635" w:type="pct"/>
          </w:tcPr>
          <w:p w14:paraId="6781CF18" w14:textId="77777777" w:rsidR="00CD60C2" w:rsidRPr="00F34274" w:rsidRDefault="00CD60C2" w:rsidP="00957DB2">
            <w:pPr>
              <w:rPr>
                <w:rFonts w:eastAsia="Arial" w:cs="Arial"/>
              </w:rPr>
            </w:pPr>
            <w:r w:rsidRPr="00F34274">
              <w:rPr>
                <w:rFonts w:eastAsia="Arial" w:cs="Arial"/>
              </w:rPr>
              <w:t>5</w:t>
            </w:r>
          </w:p>
        </w:tc>
      </w:tr>
      <w:tr w:rsidR="00CD60C2" w:rsidRPr="00F34274" w14:paraId="5974FCC7" w14:textId="77777777" w:rsidTr="00201E3C">
        <w:trPr>
          <w:trHeight w:val="397"/>
        </w:trPr>
        <w:tc>
          <w:tcPr>
            <w:tcW w:w="4365" w:type="pct"/>
          </w:tcPr>
          <w:p w14:paraId="702D296F" w14:textId="77777777" w:rsidR="00CD60C2" w:rsidRPr="00F34274" w:rsidRDefault="00CD60C2" w:rsidP="00957DB2">
            <w:pPr>
              <w:rPr>
                <w:rFonts w:eastAsia="Arial" w:cs="Arial"/>
              </w:rPr>
            </w:pPr>
            <w:r w:rsidRPr="00F34274">
              <w:rPr>
                <w:rFonts w:eastAsia="Arial" w:cs="Arial"/>
              </w:rPr>
              <w:t>Business Rate Relief Due to Coronavirus</w:t>
            </w:r>
          </w:p>
        </w:tc>
        <w:tc>
          <w:tcPr>
            <w:tcW w:w="635" w:type="pct"/>
          </w:tcPr>
          <w:p w14:paraId="0F9B721A" w14:textId="77777777" w:rsidR="00CD60C2" w:rsidRPr="00F34274" w:rsidRDefault="00CD60C2" w:rsidP="00957DB2">
            <w:pPr>
              <w:rPr>
                <w:rFonts w:eastAsia="Arial" w:cs="Arial"/>
              </w:rPr>
            </w:pPr>
            <w:r w:rsidRPr="00F34274">
              <w:rPr>
                <w:rFonts w:eastAsia="Arial" w:cs="Arial"/>
              </w:rPr>
              <w:t>6</w:t>
            </w:r>
          </w:p>
        </w:tc>
      </w:tr>
      <w:tr w:rsidR="00CD60C2" w:rsidRPr="00F34274" w14:paraId="69D0F9A8" w14:textId="77777777" w:rsidTr="00201E3C">
        <w:trPr>
          <w:trHeight w:val="397"/>
        </w:trPr>
        <w:tc>
          <w:tcPr>
            <w:tcW w:w="4365" w:type="pct"/>
          </w:tcPr>
          <w:p w14:paraId="78123402" w14:textId="77777777" w:rsidR="00CD60C2" w:rsidRPr="00F34274" w:rsidRDefault="00CD60C2" w:rsidP="00957DB2">
            <w:pPr>
              <w:rPr>
                <w:rFonts w:eastAsia="Arial" w:cs="Arial"/>
              </w:rPr>
            </w:pPr>
            <w:r w:rsidRPr="00F34274">
              <w:rPr>
                <w:rFonts w:eastAsia="Arial" w:cs="Arial"/>
              </w:rPr>
              <w:t xml:space="preserve">COVID-19 Corporate Financing Facility </w:t>
            </w:r>
          </w:p>
        </w:tc>
        <w:tc>
          <w:tcPr>
            <w:tcW w:w="635" w:type="pct"/>
          </w:tcPr>
          <w:p w14:paraId="6D622922" w14:textId="77777777" w:rsidR="00CD60C2" w:rsidRPr="00F34274" w:rsidRDefault="00CD60C2" w:rsidP="00957DB2">
            <w:pPr>
              <w:rPr>
                <w:rFonts w:eastAsia="Arial" w:cs="Arial"/>
              </w:rPr>
            </w:pPr>
            <w:r w:rsidRPr="00F34274">
              <w:rPr>
                <w:rFonts w:eastAsia="Arial" w:cs="Arial"/>
              </w:rPr>
              <w:t>7</w:t>
            </w:r>
          </w:p>
        </w:tc>
      </w:tr>
      <w:tr w:rsidR="00CD60C2" w:rsidRPr="00F34274" w14:paraId="14293EB9" w14:textId="77777777" w:rsidTr="00201E3C">
        <w:trPr>
          <w:trHeight w:val="397"/>
        </w:trPr>
        <w:tc>
          <w:tcPr>
            <w:tcW w:w="4365" w:type="pct"/>
          </w:tcPr>
          <w:p w14:paraId="11068910" w14:textId="77777777" w:rsidR="00CD60C2" w:rsidRPr="00F34274" w:rsidRDefault="00CD60C2" w:rsidP="00957DB2">
            <w:pPr>
              <w:rPr>
                <w:rFonts w:eastAsia="Arial" w:cs="Arial"/>
              </w:rPr>
            </w:pPr>
            <w:r w:rsidRPr="00F34274">
              <w:rPr>
                <w:rFonts w:eastAsia="Arial" w:cs="Arial"/>
              </w:rPr>
              <w:t>Bounce Back Loan Scheme, Coronavirus Business Interruption Loan Scheme</w:t>
            </w:r>
          </w:p>
        </w:tc>
        <w:tc>
          <w:tcPr>
            <w:tcW w:w="635" w:type="pct"/>
          </w:tcPr>
          <w:p w14:paraId="42C4D4EC" w14:textId="77777777" w:rsidR="00CD60C2" w:rsidRPr="00F34274" w:rsidRDefault="00CD60C2" w:rsidP="00957DB2">
            <w:pPr>
              <w:rPr>
                <w:rFonts w:eastAsia="Arial" w:cs="Arial"/>
              </w:rPr>
            </w:pPr>
            <w:r w:rsidRPr="00F34274">
              <w:rPr>
                <w:rFonts w:eastAsia="Arial" w:cs="Arial"/>
              </w:rPr>
              <w:t>8</w:t>
            </w:r>
          </w:p>
        </w:tc>
      </w:tr>
      <w:tr w:rsidR="00CD60C2" w:rsidRPr="00F34274" w14:paraId="7A3465FC" w14:textId="77777777" w:rsidTr="00201E3C">
        <w:trPr>
          <w:trHeight w:val="397"/>
        </w:trPr>
        <w:tc>
          <w:tcPr>
            <w:tcW w:w="4365" w:type="pct"/>
          </w:tcPr>
          <w:p w14:paraId="0D5802A5" w14:textId="77777777" w:rsidR="00CD60C2" w:rsidRPr="00F34274" w:rsidDel="00F82D27" w:rsidRDefault="00CD60C2" w:rsidP="00957DB2">
            <w:pPr>
              <w:rPr>
                <w:rFonts w:eastAsia="Arial" w:cs="Arial"/>
              </w:rPr>
            </w:pPr>
            <w:r w:rsidRPr="00F34274">
              <w:rPr>
                <w:rFonts w:eastAsia="Arial" w:cs="Arial"/>
              </w:rPr>
              <w:t>Self-Employment Income Support Scheme</w:t>
            </w:r>
          </w:p>
        </w:tc>
        <w:tc>
          <w:tcPr>
            <w:tcW w:w="635" w:type="pct"/>
          </w:tcPr>
          <w:p w14:paraId="046A39B4" w14:textId="77777777" w:rsidR="00CD60C2" w:rsidRPr="00F34274" w:rsidRDefault="00CD60C2" w:rsidP="00957DB2">
            <w:pPr>
              <w:rPr>
                <w:rFonts w:eastAsia="Arial" w:cs="Arial"/>
              </w:rPr>
            </w:pPr>
            <w:r w:rsidRPr="00F34274">
              <w:rPr>
                <w:rFonts w:eastAsia="Arial" w:cs="Arial"/>
              </w:rPr>
              <w:t>9</w:t>
            </w:r>
          </w:p>
        </w:tc>
      </w:tr>
      <w:tr w:rsidR="00CD60C2" w:rsidRPr="00F34274" w14:paraId="6D0AAFF5" w14:textId="77777777" w:rsidTr="00201E3C">
        <w:trPr>
          <w:trHeight w:val="397"/>
        </w:trPr>
        <w:tc>
          <w:tcPr>
            <w:tcW w:w="4365" w:type="pct"/>
          </w:tcPr>
          <w:p w14:paraId="47396C35" w14:textId="77777777" w:rsidR="00CD60C2" w:rsidRPr="00F34274" w:rsidRDefault="00CD60C2" w:rsidP="00957DB2">
            <w:pPr>
              <w:rPr>
                <w:rFonts w:eastAsia="Arial" w:cs="Arial"/>
              </w:rPr>
            </w:pPr>
            <w:r w:rsidRPr="00F34274">
              <w:rPr>
                <w:rFonts w:eastAsia="Arial" w:cs="Arial"/>
              </w:rPr>
              <w:t>UKRI / Innovate UK funding</w:t>
            </w:r>
          </w:p>
        </w:tc>
        <w:tc>
          <w:tcPr>
            <w:tcW w:w="635" w:type="pct"/>
          </w:tcPr>
          <w:p w14:paraId="00F90A3E" w14:textId="77777777" w:rsidR="00CD60C2" w:rsidRPr="00F34274" w:rsidRDefault="00CD60C2" w:rsidP="00957DB2">
            <w:pPr>
              <w:rPr>
                <w:rFonts w:eastAsia="Arial" w:cs="Arial"/>
              </w:rPr>
            </w:pPr>
            <w:r w:rsidRPr="00F34274">
              <w:rPr>
                <w:rFonts w:eastAsia="Arial" w:cs="Arial"/>
              </w:rPr>
              <w:t>10</w:t>
            </w:r>
          </w:p>
        </w:tc>
      </w:tr>
      <w:tr w:rsidR="00CD60C2" w:rsidRPr="00F34274" w14:paraId="649EA2BE" w14:textId="77777777" w:rsidTr="00201E3C">
        <w:trPr>
          <w:trHeight w:val="397"/>
        </w:trPr>
        <w:tc>
          <w:tcPr>
            <w:tcW w:w="4365" w:type="pct"/>
          </w:tcPr>
          <w:p w14:paraId="4E0D3620" w14:textId="77777777" w:rsidR="00CD60C2" w:rsidRPr="00F34274" w:rsidRDefault="00CD60C2" w:rsidP="00957DB2">
            <w:pPr>
              <w:rPr>
                <w:rFonts w:eastAsia="Arial" w:cs="Arial"/>
              </w:rPr>
            </w:pPr>
            <w:r w:rsidRPr="00F34274">
              <w:rPr>
                <w:rFonts w:eastAsia="Arial" w:cs="Arial"/>
              </w:rPr>
              <w:t>Innovate UK’s SMART Competition</w:t>
            </w:r>
          </w:p>
        </w:tc>
        <w:tc>
          <w:tcPr>
            <w:tcW w:w="635" w:type="pct"/>
          </w:tcPr>
          <w:p w14:paraId="6BE25332" w14:textId="77777777" w:rsidR="00CD60C2" w:rsidRPr="00F34274" w:rsidRDefault="00CD60C2" w:rsidP="00957DB2">
            <w:pPr>
              <w:rPr>
                <w:rFonts w:eastAsia="Arial" w:cs="Arial"/>
              </w:rPr>
            </w:pPr>
            <w:r w:rsidRPr="00F34274">
              <w:rPr>
                <w:rFonts w:eastAsia="Arial" w:cs="Arial"/>
              </w:rPr>
              <w:t>11</w:t>
            </w:r>
          </w:p>
        </w:tc>
      </w:tr>
      <w:tr w:rsidR="00CD60C2" w:rsidRPr="00F34274" w14:paraId="7F82EF56" w14:textId="77777777" w:rsidTr="00201E3C">
        <w:trPr>
          <w:trHeight w:val="397"/>
        </w:trPr>
        <w:tc>
          <w:tcPr>
            <w:tcW w:w="4365" w:type="pct"/>
          </w:tcPr>
          <w:p w14:paraId="34D63D59" w14:textId="77777777" w:rsidR="00CD60C2" w:rsidRPr="00F34274" w:rsidRDefault="00CD60C2" w:rsidP="00957DB2">
            <w:pPr>
              <w:rPr>
                <w:rFonts w:eastAsia="Arial" w:cs="Arial"/>
              </w:rPr>
            </w:pPr>
            <w:r w:rsidRPr="00F34274">
              <w:rPr>
                <w:rFonts w:eastAsia="Arial" w:cs="Arial"/>
              </w:rPr>
              <w:t>DCMS supported Creative Scale Up Programme</w:t>
            </w:r>
          </w:p>
        </w:tc>
        <w:tc>
          <w:tcPr>
            <w:tcW w:w="635" w:type="pct"/>
            <w:hideMark/>
          </w:tcPr>
          <w:p w14:paraId="19FC4F82" w14:textId="77777777" w:rsidR="00CD60C2" w:rsidRPr="00F34274" w:rsidRDefault="00CD60C2" w:rsidP="00957DB2">
            <w:pPr>
              <w:rPr>
                <w:rFonts w:eastAsia="Arial" w:cs="Arial"/>
              </w:rPr>
            </w:pPr>
            <w:r w:rsidRPr="00F34274">
              <w:rPr>
                <w:rFonts w:eastAsia="Arial" w:cs="Arial"/>
              </w:rPr>
              <w:t>12</w:t>
            </w:r>
          </w:p>
        </w:tc>
      </w:tr>
      <w:tr w:rsidR="00CD60C2" w:rsidRPr="00F34274" w14:paraId="63AD4904" w14:textId="77777777" w:rsidTr="00201E3C">
        <w:trPr>
          <w:trHeight w:val="397"/>
        </w:trPr>
        <w:tc>
          <w:tcPr>
            <w:tcW w:w="4365" w:type="pct"/>
          </w:tcPr>
          <w:p w14:paraId="5D24B086" w14:textId="77777777" w:rsidR="00CD60C2" w:rsidRPr="00F34274" w:rsidRDefault="00CD60C2" w:rsidP="00957DB2">
            <w:pPr>
              <w:rPr>
                <w:rFonts w:eastAsia="Arial" w:cs="Arial"/>
              </w:rPr>
            </w:pPr>
            <w:r w:rsidRPr="00F34274">
              <w:rPr>
                <w:rFonts w:eastAsia="Arial" w:cs="Arial"/>
              </w:rPr>
              <w:t>DCMS funded London Office for Rapid Cybersecurity Advancement (LORCA)</w:t>
            </w:r>
          </w:p>
        </w:tc>
        <w:tc>
          <w:tcPr>
            <w:tcW w:w="635" w:type="pct"/>
          </w:tcPr>
          <w:p w14:paraId="6394EF4D" w14:textId="77777777" w:rsidR="00CD60C2" w:rsidRPr="00F34274" w:rsidRDefault="00CD60C2" w:rsidP="00957DB2">
            <w:pPr>
              <w:rPr>
                <w:rFonts w:eastAsia="Arial" w:cs="Arial"/>
              </w:rPr>
            </w:pPr>
            <w:r w:rsidRPr="00F34274">
              <w:rPr>
                <w:rFonts w:eastAsia="Arial" w:cs="Arial"/>
              </w:rPr>
              <w:t>13</w:t>
            </w:r>
          </w:p>
        </w:tc>
      </w:tr>
      <w:tr w:rsidR="00CD60C2" w:rsidRPr="00F34274" w14:paraId="2A41EEF0" w14:textId="77777777" w:rsidTr="00201E3C">
        <w:trPr>
          <w:trHeight w:val="397"/>
        </w:trPr>
        <w:tc>
          <w:tcPr>
            <w:tcW w:w="4365" w:type="pct"/>
          </w:tcPr>
          <w:p w14:paraId="09D71BD0" w14:textId="77777777" w:rsidR="00CD60C2" w:rsidRPr="00F34274" w:rsidRDefault="00CD60C2" w:rsidP="00957DB2">
            <w:pPr>
              <w:rPr>
                <w:rFonts w:eastAsia="Arial" w:cs="Arial"/>
              </w:rPr>
            </w:pPr>
            <w:r w:rsidRPr="00F34274">
              <w:rPr>
                <w:rFonts w:eastAsia="Arial" w:cs="Arial"/>
              </w:rPr>
              <w:t>Innovation Grants to Creative Industries Tax Reliefs</w:t>
            </w:r>
          </w:p>
        </w:tc>
        <w:tc>
          <w:tcPr>
            <w:tcW w:w="635" w:type="pct"/>
          </w:tcPr>
          <w:p w14:paraId="1C52A99F" w14:textId="77777777" w:rsidR="00CD60C2" w:rsidRPr="00F34274" w:rsidRDefault="00CD60C2" w:rsidP="00957DB2">
            <w:pPr>
              <w:rPr>
                <w:rFonts w:eastAsia="Arial" w:cs="Arial"/>
              </w:rPr>
            </w:pPr>
            <w:r w:rsidRPr="00F34274">
              <w:rPr>
                <w:rFonts w:eastAsia="Arial" w:cs="Arial"/>
              </w:rPr>
              <w:t>14</w:t>
            </w:r>
          </w:p>
        </w:tc>
      </w:tr>
      <w:tr w:rsidR="00CD60C2" w:rsidRPr="00F34274" w14:paraId="3308C818" w14:textId="77777777" w:rsidTr="00201E3C">
        <w:trPr>
          <w:trHeight w:val="397"/>
        </w:trPr>
        <w:tc>
          <w:tcPr>
            <w:tcW w:w="4365" w:type="pct"/>
          </w:tcPr>
          <w:p w14:paraId="3E782D2D" w14:textId="77777777" w:rsidR="00CD60C2" w:rsidRPr="00F34274" w:rsidRDefault="00CD60C2" w:rsidP="00957DB2">
            <w:pPr>
              <w:rPr>
                <w:rFonts w:eastAsia="Arial" w:cs="Arial"/>
              </w:rPr>
            </w:pPr>
            <w:r w:rsidRPr="00F34274">
              <w:rPr>
                <w:rFonts w:eastAsia="Arial" w:cs="Arial"/>
              </w:rPr>
              <w:t>R&amp;D Tax Credits (SME R&amp;D Tax Relief and the RDEC)</w:t>
            </w:r>
          </w:p>
        </w:tc>
        <w:tc>
          <w:tcPr>
            <w:tcW w:w="635" w:type="pct"/>
          </w:tcPr>
          <w:p w14:paraId="2369F5D6" w14:textId="77777777" w:rsidR="00CD60C2" w:rsidRPr="00F34274" w:rsidRDefault="00CD60C2" w:rsidP="00957DB2">
            <w:pPr>
              <w:rPr>
                <w:rFonts w:eastAsia="Arial" w:cs="Arial"/>
              </w:rPr>
            </w:pPr>
            <w:r w:rsidRPr="00F34274">
              <w:rPr>
                <w:rFonts w:eastAsia="Arial" w:cs="Arial"/>
              </w:rPr>
              <w:t>15</w:t>
            </w:r>
          </w:p>
        </w:tc>
      </w:tr>
      <w:tr w:rsidR="00CD60C2" w:rsidRPr="00F34274" w14:paraId="02D0AFEB" w14:textId="77777777" w:rsidTr="00201E3C">
        <w:trPr>
          <w:trHeight w:val="397"/>
        </w:trPr>
        <w:tc>
          <w:tcPr>
            <w:tcW w:w="4365" w:type="pct"/>
          </w:tcPr>
          <w:p w14:paraId="72F100C8" w14:textId="77777777" w:rsidR="00CD60C2" w:rsidRPr="00F34274" w:rsidRDefault="00CD60C2" w:rsidP="00957DB2">
            <w:pPr>
              <w:rPr>
                <w:rFonts w:eastAsia="Arial" w:cs="Arial"/>
              </w:rPr>
            </w:pPr>
            <w:r w:rsidRPr="00F34274">
              <w:rPr>
                <w:rFonts w:eastAsia="Arial" w:cs="Arial"/>
              </w:rPr>
              <w:lastRenderedPageBreak/>
              <w:t>Patent Box</w:t>
            </w:r>
          </w:p>
        </w:tc>
        <w:tc>
          <w:tcPr>
            <w:tcW w:w="635" w:type="pct"/>
          </w:tcPr>
          <w:p w14:paraId="22B7DE1C" w14:textId="77777777" w:rsidR="00CD60C2" w:rsidRPr="00F34274" w:rsidRDefault="00CD60C2" w:rsidP="00957DB2">
            <w:pPr>
              <w:rPr>
                <w:rFonts w:eastAsia="Arial" w:cs="Arial"/>
              </w:rPr>
            </w:pPr>
            <w:r w:rsidRPr="00F34274">
              <w:rPr>
                <w:rFonts w:eastAsia="Arial" w:cs="Arial"/>
              </w:rPr>
              <w:t>16</w:t>
            </w:r>
          </w:p>
        </w:tc>
      </w:tr>
      <w:tr w:rsidR="00CD60C2" w:rsidRPr="00F34274" w14:paraId="6F735EFB" w14:textId="77777777" w:rsidTr="00201E3C">
        <w:trPr>
          <w:trHeight w:val="397"/>
        </w:trPr>
        <w:tc>
          <w:tcPr>
            <w:tcW w:w="4365" w:type="pct"/>
          </w:tcPr>
          <w:p w14:paraId="1AF97263" w14:textId="77777777" w:rsidR="00CD60C2" w:rsidRPr="00F34274" w:rsidRDefault="00CD60C2" w:rsidP="00957DB2">
            <w:pPr>
              <w:rPr>
                <w:rFonts w:eastAsia="Arial" w:cs="Arial"/>
              </w:rPr>
            </w:pPr>
            <w:r w:rsidRPr="00F34274">
              <w:rPr>
                <w:rFonts w:eastAsia="Arial" w:cs="Arial"/>
              </w:rPr>
              <w:t>The Prince's Trust Enterprise Programme</w:t>
            </w:r>
          </w:p>
        </w:tc>
        <w:tc>
          <w:tcPr>
            <w:tcW w:w="635" w:type="pct"/>
          </w:tcPr>
          <w:p w14:paraId="6EA5F34A" w14:textId="77777777" w:rsidR="00CD60C2" w:rsidRPr="00F34274" w:rsidRDefault="00CD60C2" w:rsidP="00957DB2">
            <w:pPr>
              <w:rPr>
                <w:rFonts w:eastAsia="Arial" w:cs="Arial"/>
              </w:rPr>
            </w:pPr>
            <w:r w:rsidRPr="00F34274">
              <w:rPr>
                <w:rFonts w:eastAsia="Arial" w:cs="Arial"/>
              </w:rPr>
              <w:t>17</w:t>
            </w:r>
          </w:p>
        </w:tc>
      </w:tr>
      <w:tr w:rsidR="00CD60C2" w:rsidRPr="00F34274" w14:paraId="4EEE4E39" w14:textId="77777777" w:rsidTr="00201E3C">
        <w:trPr>
          <w:trHeight w:val="397"/>
        </w:trPr>
        <w:tc>
          <w:tcPr>
            <w:tcW w:w="4365" w:type="pct"/>
          </w:tcPr>
          <w:p w14:paraId="380FC230" w14:textId="77777777" w:rsidR="00CD60C2" w:rsidRPr="00F34274" w:rsidRDefault="00CD60C2" w:rsidP="00957DB2">
            <w:pPr>
              <w:rPr>
                <w:rFonts w:eastAsia="Arial" w:cs="Arial"/>
              </w:rPr>
            </w:pPr>
            <w:r w:rsidRPr="00F34274">
              <w:rPr>
                <w:rFonts w:eastAsia="Arial" w:cs="Arial"/>
              </w:rPr>
              <w:t xml:space="preserve">UKBAA / </w:t>
            </w:r>
            <w:proofErr w:type="spellStart"/>
            <w:r w:rsidRPr="00F34274">
              <w:rPr>
                <w:rFonts w:eastAsia="Arial" w:cs="Arial"/>
              </w:rPr>
              <w:t>SETsquared</w:t>
            </w:r>
            <w:proofErr w:type="spellEnd"/>
            <w:r w:rsidRPr="00F34274">
              <w:rPr>
                <w:rFonts w:eastAsia="Arial" w:cs="Arial"/>
              </w:rPr>
              <w:t xml:space="preserve"> funded Angel Investment Accelerator </w:t>
            </w:r>
          </w:p>
        </w:tc>
        <w:tc>
          <w:tcPr>
            <w:tcW w:w="635" w:type="pct"/>
          </w:tcPr>
          <w:p w14:paraId="4F9980C8" w14:textId="77777777" w:rsidR="00CD60C2" w:rsidRPr="00F34274" w:rsidRDefault="00CD60C2" w:rsidP="00957DB2">
            <w:pPr>
              <w:rPr>
                <w:rFonts w:eastAsia="Arial" w:cs="Arial"/>
              </w:rPr>
            </w:pPr>
            <w:r w:rsidRPr="00F34274">
              <w:rPr>
                <w:rFonts w:eastAsia="Arial" w:cs="Arial"/>
              </w:rPr>
              <w:t>18</w:t>
            </w:r>
          </w:p>
        </w:tc>
      </w:tr>
      <w:tr w:rsidR="00CD60C2" w:rsidRPr="00F34274" w14:paraId="47F73486" w14:textId="77777777" w:rsidTr="00201E3C">
        <w:trPr>
          <w:trHeight w:val="397"/>
        </w:trPr>
        <w:tc>
          <w:tcPr>
            <w:tcW w:w="4365" w:type="pct"/>
          </w:tcPr>
          <w:p w14:paraId="273BCB2F" w14:textId="77777777" w:rsidR="00CD60C2" w:rsidRPr="00F34274" w:rsidRDefault="00CD60C2" w:rsidP="00957DB2">
            <w:pPr>
              <w:rPr>
                <w:rFonts w:eastAsia="Arial" w:cs="Arial"/>
              </w:rPr>
            </w:pPr>
            <w:r w:rsidRPr="00F34274">
              <w:rPr>
                <w:rFonts w:eastAsia="Arial" w:cs="Arial"/>
              </w:rPr>
              <w:t>Other schemes promoted by the UKBAA such as the partnerships with Amazon Web Services</w:t>
            </w:r>
          </w:p>
        </w:tc>
        <w:tc>
          <w:tcPr>
            <w:tcW w:w="635" w:type="pct"/>
          </w:tcPr>
          <w:p w14:paraId="3BEE81D2" w14:textId="77777777" w:rsidR="00CD60C2" w:rsidRPr="00F34274" w:rsidRDefault="00CD60C2" w:rsidP="00957DB2">
            <w:pPr>
              <w:rPr>
                <w:rFonts w:eastAsia="Arial" w:cs="Arial"/>
              </w:rPr>
            </w:pPr>
            <w:r w:rsidRPr="00F34274">
              <w:rPr>
                <w:rFonts w:eastAsia="Arial" w:cs="Arial"/>
              </w:rPr>
              <w:t>19</w:t>
            </w:r>
          </w:p>
        </w:tc>
      </w:tr>
      <w:tr w:rsidR="00CD60C2" w:rsidRPr="00F34274" w14:paraId="2C7C7DEC" w14:textId="77777777" w:rsidTr="00201E3C">
        <w:trPr>
          <w:trHeight w:val="397"/>
        </w:trPr>
        <w:tc>
          <w:tcPr>
            <w:tcW w:w="4365" w:type="pct"/>
          </w:tcPr>
          <w:p w14:paraId="71A6CD59" w14:textId="77777777" w:rsidR="00CD60C2" w:rsidRPr="00F34274" w:rsidRDefault="00CD60C2" w:rsidP="00957DB2">
            <w:pPr>
              <w:rPr>
                <w:rFonts w:eastAsia="Arial" w:cs="Arial"/>
              </w:rPr>
            </w:pPr>
            <w:r w:rsidRPr="00F34274">
              <w:rPr>
                <w:rFonts w:eastAsia="Arial" w:cs="Arial"/>
              </w:rPr>
              <w:t>Patient Capital Fund</w:t>
            </w:r>
          </w:p>
        </w:tc>
        <w:tc>
          <w:tcPr>
            <w:tcW w:w="635" w:type="pct"/>
          </w:tcPr>
          <w:p w14:paraId="2720B2EA" w14:textId="77777777" w:rsidR="00CD60C2" w:rsidRPr="00F34274" w:rsidRDefault="00CD60C2" w:rsidP="00957DB2">
            <w:pPr>
              <w:rPr>
                <w:rFonts w:eastAsia="Arial" w:cs="Arial"/>
              </w:rPr>
            </w:pPr>
            <w:r w:rsidRPr="00F34274">
              <w:rPr>
                <w:rFonts w:eastAsia="Arial" w:cs="Arial"/>
              </w:rPr>
              <w:t>20</w:t>
            </w:r>
          </w:p>
        </w:tc>
      </w:tr>
      <w:tr w:rsidR="00CD60C2" w:rsidRPr="00F34274" w14:paraId="7288CDCA" w14:textId="77777777" w:rsidTr="00201E3C">
        <w:trPr>
          <w:trHeight w:val="397"/>
        </w:trPr>
        <w:tc>
          <w:tcPr>
            <w:tcW w:w="4365" w:type="pct"/>
          </w:tcPr>
          <w:p w14:paraId="3EF78214" w14:textId="77777777" w:rsidR="00CD60C2" w:rsidRPr="00F34274" w:rsidRDefault="00CD60C2" w:rsidP="00957DB2">
            <w:pPr>
              <w:rPr>
                <w:rFonts w:eastAsia="Arial" w:cs="Arial"/>
              </w:rPr>
            </w:pPr>
            <w:r w:rsidRPr="00F34274">
              <w:rPr>
                <w:rFonts w:eastAsia="Arial" w:cs="Arial"/>
              </w:rPr>
              <w:t>Other [Please specify]:</w:t>
            </w:r>
          </w:p>
        </w:tc>
        <w:tc>
          <w:tcPr>
            <w:tcW w:w="635" w:type="pct"/>
          </w:tcPr>
          <w:p w14:paraId="38460DB6" w14:textId="77777777" w:rsidR="00CD60C2" w:rsidRPr="00F34274" w:rsidRDefault="00CD60C2" w:rsidP="00957DB2">
            <w:pPr>
              <w:rPr>
                <w:rFonts w:eastAsia="Arial" w:cs="Arial"/>
              </w:rPr>
            </w:pPr>
            <w:r w:rsidRPr="00F34274">
              <w:rPr>
                <w:rFonts w:eastAsia="Arial" w:cs="Arial"/>
              </w:rPr>
              <w:t>98</w:t>
            </w:r>
          </w:p>
        </w:tc>
      </w:tr>
      <w:tr w:rsidR="00CD60C2" w:rsidRPr="00F34274" w14:paraId="5EE0120B" w14:textId="77777777" w:rsidTr="00201E3C">
        <w:trPr>
          <w:trHeight w:val="397"/>
        </w:trPr>
        <w:tc>
          <w:tcPr>
            <w:tcW w:w="4365" w:type="pct"/>
          </w:tcPr>
          <w:p w14:paraId="054BB3F3" w14:textId="77777777" w:rsidR="00CD60C2" w:rsidRPr="00F34274" w:rsidRDefault="00CD60C2" w:rsidP="00957DB2">
            <w:pPr>
              <w:rPr>
                <w:rFonts w:eastAsia="Arial" w:cs="Arial"/>
              </w:rPr>
            </w:pPr>
            <w:r w:rsidRPr="00F34274">
              <w:rPr>
                <w:rFonts w:eastAsia="Arial" w:cs="Arial"/>
              </w:rPr>
              <w:t>Not applicable – have not received Government funding</w:t>
            </w:r>
          </w:p>
        </w:tc>
        <w:tc>
          <w:tcPr>
            <w:tcW w:w="635" w:type="pct"/>
          </w:tcPr>
          <w:p w14:paraId="4443249A" w14:textId="77777777" w:rsidR="00CD60C2" w:rsidRPr="00F34274" w:rsidRDefault="00CD60C2" w:rsidP="00957DB2">
            <w:pPr>
              <w:rPr>
                <w:rFonts w:eastAsia="Arial" w:cs="Arial"/>
              </w:rPr>
            </w:pPr>
            <w:r w:rsidRPr="00F34274">
              <w:rPr>
                <w:rFonts w:eastAsia="Arial" w:cs="Arial"/>
              </w:rPr>
              <w:t>99</w:t>
            </w:r>
          </w:p>
        </w:tc>
      </w:tr>
    </w:tbl>
    <w:p w14:paraId="552111A0" w14:textId="77777777" w:rsidR="00CD60C2" w:rsidRPr="00F34274" w:rsidRDefault="00CD60C2" w:rsidP="00957DB2">
      <w:pPr>
        <w:rPr>
          <w:rFonts w:eastAsia="Arial" w:cs="Arial"/>
        </w:rPr>
      </w:pPr>
      <w:bookmarkStart w:id="229" w:name="_Hlk122601889"/>
      <w:bookmarkEnd w:id="223"/>
      <w:bookmarkEnd w:id="224"/>
      <w:bookmarkEnd w:id="228"/>
    </w:p>
    <w:p w14:paraId="70AE1AF6" w14:textId="77777777" w:rsidR="00CD60C2" w:rsidRPr="00F34274" w:rsidRDefault="00CD60C2" w:rsidP="00957DB2">
      <w:pPr>
        <w:rPr>
          <w:rFonts w:eastAsia="Arial" w:cs="Arial"/>
        </w:rPr>
      </w:pPr>
      <w:r w:rsidRPr="00F34274">
        <w:rPr>
          <w:rFonts w:eastAsia="Arial" w:cs="Arial"/>
        </w:rPr>
        <w:t>ALL</w:t>
      </w:r>
    </w:p>
    <w:p w14:paraId="624D4886" w14:textId="77777777" w:rsidR="00CD60C2" w:rsidRPr="00F34274" w:rsidRDefault="00CD60C2" w:rsidP="00957DB2">
      <w:pPr>
        <w:rPr>
          <w:rFonts w:eastAsia="Arial" w:cs="Arial"/>
          <w:bCs/>
        </w:rPr>
      </w:pPr>
      <w:bookmarkStart w:id="230" w:name="_Ref74154539"/>
      <w:r w:rsidRPr="00F34274">
        <w:rPr>
          <w:rFonts w:eastAsia="Arial" w:cs="Arial"/>
          <w:bCs/>
        </w:rPr>
        <w:t xml:space="preserve">15. Prior to 2019, do you think you would have been able to obtain similar private sector funding compared to peer firms in your region of the UK? </w:t>
      </w:r>
    </w:p>
    <w:bookmarkEnd w:id="230"/>
    <w:p w14:paraId="49E431F1" w14:textId="77777777" w:rsidR="00CD60C2" w:rsidRPr="00F34274" w:rsidRDefault="00CD60C2" w:rsidP="00957DB2">
      <w:pPr>
        <w:rPr>
          <w:rFonts w:eastAsia="Arial" w:cs="Arial"/>
        </w:rPr>
      </w:pPr>
      <w:r w:rsidRPr="00F34274">
        <w:rPr>
          <w:rFonts w:eastAsia="Arial" w:cs="Arial"/>
        </w:rPr>
        <w:t>PLEASE CHECK ONE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97"/>
        <w:gridCol w:w="1265"/>
      </w:tblGrid>
      <w:tr w:rsidR="00CD60C2" w:rsidRPr="00F34274" w14:paraId="7BF33E68" w14:textId="77777777" w:rsidTr="00201E3C">
        <w:tc>
          <w:tcPr>
            <w:tcW w:w="4365" w:type="pct"/>
            <w:tcBorders>
              <w:top w:val="single" w:sz="4" w:space="0" w:color="000000"/>
              <w:left w:val="single" w:sz="4" w:space="0" w:color="000000"/>
              <w:bottom w:val="single" w:sz="4" w:space="0" w:color="000000"/>
              <w:right w:val="single" w:sz="4" w:space="0" w:color="000000"/>
            </w:tcBorders>
            <w:vAlign w:val="center"/>
          </w:tcPr>
          <w:p w14:paraId="525CCEA7" w14:textId="77777777" w:rsidR="00CD60C2" w:rsidRPr="00F34274" w:rsidRDefault="00CD60C2" w:rsidP="00957DB2">
            <w:pPr>
              <w:rPr>
                <w:rFonts w:eastAsia="Arial" w:cs="Arial"/>
              </w:rPr>
            </w:pPr>
            <w:r w:rsidRPr="00F34274">
              <w:rPr>
                <w:rFonts w:eastAsia="Arial" w:cs="Arial"/>
              </w:rPr>
              <w:t>Yes, definitely</w:t>
            </w:r>
          </w:p>
        </w:tc>
        <w:tc>
          <w:tcPr>
            <w:tcW w:w="635" w:type="pct"/>
            <w:tcBorders>
              <w:top w:val="single" w:sz="4" w:space="0" w:color="000000"/>
              <w:left w:val="single" w:sz="4" w:space="0" w:color="000000"/>
              <w:bottom w:val="single" w:sz="4" w:space="0" w:color="000000"/>
              <w:right w:val="single" w:sz="4" w:space="0" w:color="000000"/>
            </w:tcBorders>
            <w:vAlign w:val="center"/>
          </w:tcPr>
          <w:p w14:paraId="4D70D048" w14:textId="77777777" w:rsidR="00CD60C2" w:rsidRPr="00F34274" w:rsidRDefault="00CD60C2" w:rsidP="00957DB2">
            <w:pPr>
              <w:rPr>
                <w:rFonts w:eastAsia="Arial" w:cs="Arial"/>
              </w:rPr>
            </w:pPr>
            <w:r w:rsidRPr="00F34274">
              <w:rPr>
                <w:rFonts w:eastAsia="Arial" w:cs="Arial"/>
              </w:rPr>
              <w:t>1</w:t>
            </w:r>
          </w:p>
        </w:tc>
      </w:tr>
      <w:tr w:rsidR="00CD60C2" w:rsidRPr="00F34274" w14:paraId="5C2BE3A2" w14:textId="77777777" w:rsidTr="00201E3C">
        <w:tc>
          <w:tcPr>
            <w:tcW w:w="4365" w:type="pct"/>
            <w:tcBorders>
              <w:top w:val="single" w:sz="4" w:space="0" w:color="000000"/>
              <w:left w:val="single" w:sz="4" w:space="0" w:color="000000"/>
              <w:bottom w:val="single" w:sz="4" w:space="0" w:color="000000"/>
              <w:right w:val="single" w:sz="4" w:space="0" w:color="000000"/>
            </w:tcBorders>
            <w:vAlign w:val="center"/>
          </w:tcPr>
          <w:p w14:paraId="3DAE1D55" w14:textId="77777777" w:rsidR="00CD60C2" w:rsidRPr="00F34274" w:rsidRDefault="00CD60C2" w:rsidP="00957DB2">
            <w:pPr>
              <w:rPr>
                <w:rFonts w:eastAsia="Arial" w:cs="Arial"/>
              </w:rPr>
            </w:pPr>
            <w:r w:rsidRPr="00F34274">
              <w:rPr>
                <w:rFonts w:eastAsia="Arial" w:cs="Arial"/>
              </w:rPr>
              <w:t>Yes, probably</w:t>
            </w:r>
          </w:p>
        </w:tc>
        <w:tc>
          <w:tcPr>
            <w:tcW w:w="635" w:type="pct"/>
            <w:tcBorders>
              <w:top w:val="single" w:sz="4" w:space="0" w:color="000000"/>
              <w:left w:val="single" w:sz="4" w:space="0" w:color="000000"/>
              <w:bottom w:val="single" w:sz="4" w:space="0" w:color="000000"/>
              <w:right w:val="single" w:sz="4" w:space="0" w:color="000000"/>
            </w:tcBorders>
            <w:vAlign w:val="center"/>
          </w:tcPr>
          <w:p w14:paraId="5BA821F7" w14:textId="77777777" w:rsidR="00CD60C2" w:rsidRPr="00F34274" w:rsidRDefault="00CD60C2" w:rsidP="00957DB2">
            <w:pPr>
              <w:rPr>
                <w:rFonts w:eastAsia="Arial" w:cs="Arial"/>
              </w:rPr>
            </w:pPr>
            <w:r w:rsidRPr="00F34274">
              <w:rPr>
                <w:rFonts w:eastAsia="Arial" w:cs="Arial"/>
              </w:rPr>
              <w:t>2</w:t>
            </w:r>
          </w:p>
        </w:tc>
      </w:tr>
      <w:tr w:rsidR="00CD60C2" w:rsidRPr="00F34274" w14:paraId="733278FC" w14:textId="77777777" w:rsidTr="00201E3C">
        <w:tc>
          <w:tcPr>
            <w:tcW w:w="4365" w:type="pct"/>
            <w:tcBorders>
              <w:top w:val="single" w:sz="4" w:space="0" w:color="000000"/>
              <w:left w:val="single" w:sz="4" w:space="0" w:color="000000"/>
              <w:bottom w:val="single" w:sz="4" w:space="0" w:color="000000"/>
              <w:right w:val="single" w:sz="4" w:space="0" w:color="000000"/>
            </w:tcBorders>
            <w:vAlign w:val="center"/>
          </w:tcPr>
          <w:p w14:paraId="1AC8B511" w14:textId="77777777" w:rsidR="00CD60C2" w:rsidRPr="00F34274" w:rsidRDefault="00CD60C2" w:rsidP="00957DB2">
            <w:pPr>
              <w:rPr>
                <w:rFonts w:eastAsia="Arial" w:cs="Arial"/>
              </w:rPr>
            </w:pPr>
            <w:r w:rsidRPr="00F34274">
              <w:rPr>
                <w:rFonts w:eastAsia="Arial" w:cs="Arial"/>
              </w:rPr>
              <w:t xml:space="preserve">My ability to obtain finance would be </w:t>
            </w:r>
            <w:proofErr w:type="gramStart"/>
            <w:r w:rsidRPr="00F34274">
              <w:rPr>
                <w:rFonts w:eastAsia="Arial" w:cs="Arial"/>
              </w:rPr>
              <w:t>similar to</w:t>
            </w:r>
            <w:proofErr w:type="gramEnd"/>
            <w:r w:rsidRPr="00F34274">
              <w:rPr>
                <w:rFonts w:eastAsia="Arial" w:cs="Arial"/>
              </w:rPr>
              <w:t xml:space="preserve"> my peers</w:t>
            </w:r>
          </w:p>
        </w:tc>
        <w:tc>
          <w:tcPr>
            <w:tcW w:w="635" w:type="pct"/>
            <w:tcBorders>
              <w:top w:val="single" w:sz="4" w:space="0" w:color="000000"/>
              <w:left w:val="single" w:sz="4" w:space="0" w:color="000000"/>
              <w:bottom w:val="single" w:sz="4" w:space="0" w:color="000000"/>
              <w:right w:val="single" w:sz="4" w:space="0" w:color="000000"/>
            </w:tcBorders>
            <w:vAlign w:val="center"/>
          </w:tcPr>
          <w:p w14:paraId="20D70047" w14:textId="77777777" w:rsidR="00CD60C2" w:rsidRPr="00F34274" w:rsidRDefault="00CD60C2" w:rsidP="00957DB2">
            <w:pPr>
              <w:rPr>
                <w:rFonts w:eastAsia="Arial" w:cs="Arial"/>
              </w:rPr>
            </w:pPr>
            <w:r w:rsidRPr="00F34274">
              <w:rPr>
                <w:rFonts w:eastAsia="Arial" w:cs="Arial"/>
              </w:rPr>
              <w:t>3</w:t>
            </w:r>
          </w:p>
        </w:tc>
      </w:tr>
      <w:tr w:rsidR="00CD60C2" w:rsidRPr="00F34274" w14:paraId="605AD344" w14:textId="77777777" w:rsidTr="00201E3C">
        <w:tc>
          <w:tcPr>
            <w:tcW w:w="4365" w:type="pct"/>
            <w:tcBorders>
              <w:top w:val="single" w:sz="4" w:space="0" w:color="000000"/>
              <w:left w:val="single" w:sz="4" w:space="0" w:color="000000"/>
              <w:bottom w:val="single" w:sz="4" w:space="0" w:color="000000"/>
              <w:right w:val="single" w:sz="4" w:space="0" w:color="000000"/>
            </w:tcBorders>
            <w:vAlign w:val="center"/>
          </w:tcPr>
          <w:p w14:paraId="7258498A" w14:textId="77777777" w:rsidR="00CD60C2" w:rsidRPr="00F34274" w:rsidRDefault="00CD60C2" w:rsidP="00957DB2">
            <w:pPr>
              <w:rPr>
                <w:rFonts w:eastAsia="Arial" w:cs="Arial"/>
              </w:rPr>
            </w:pPr>
            <w:r w:rsidRPr="00F34274">
              <w:rPr>
                <w:rFonts w:eastAsia="Arial" w:cs="Arial"/>
              </w:rPr>
              <w:t>No, probably not</w:t>
            </w:r>
          </w:p>
        </w:tc>
        <w:tc>
          <w:tcPr>
            <w:tcW w:w="635" w:type="pct"/>
            <w:tcBorders>
              <w:top w:val="single" w:sz="4" w:space="0" w:color="000000"/>
              <w:left w:val="single" w:sz="4" w:space="0" w:color="000000"/>
              <w:bottom w:val="single" w:sz="4" w:space="0" w:color="000000"/>
              <w:right w:val="single" w:sz="4" w:space="0" w:color="000000"/>
            </w:tcBorders>
            <w:vAlign w:val="center"/>
          </w:tcPr>
          <w:p w14:paraId="400A25D9" w14:textId="77777777" w:rsidR="00CD60C2" w:rsidRPr="00F34274" w:rsidRDefault="00CD60C2" w:rsidP="00957DB2">
            <w:pPr>
              <w:rPr>
                <w:rFonts w:eastAsia="Arial" w:cs="Arial"/>
              </w:rPr>
            </w:pPr>
            <w:r w:rsidRPr="00F34274">
              <w:rPr>
                <w:rFonts w:eastAsia="Arial" w:cs="Arial"/>
              </w:rPr>
              <w:t>4</w:t>
            </w:r>
          </w:p>
        </w:tc>
      </w:tr>
      <w:tr w:rsidR="00CD60C2" w:rsidRPr="00F34274" w14:paraId="0344B3B2" w14:textId="77777777" w:rsidTr="00201E3C">
        <w:tc>
          <w:tcPr>
            <w:tcW w:w="4365" w:type="pct"/>
            <w:tcBorders>
              <w:top w:val="single" w:sz="4" w:space="0" w:color="000000"/>
              <w:left w:val="single" w:sz="4" w:space="0" w:color="000000"/>
              <w:bottom w:val="single" w:sz="4" w:space="0" w:color="000000"/>
              <w:right w:val="single" w:sz="4" w:space="0" w:color="000000"/>
            </w:tcBorders>
            <w:vAlign w:val="center"/>
          </w:tcPr>
          <w:p w14:paraId="1767C4F4" w14:textId="77777777" w:rsidR="00CD60C2" w:rsidRPr="00F34274" w:rsidRDefault="00CD60C2" w:rsidP="00957DB2">
            <w:pPr>
              <w:rPr>
                <w:rFonts w:eastAsia="Arial" w:cs="Arial"/>
              </w:rPr>
            </w:pPr>
            <w:r w:rsidRPr="00F34274">
              <w:rPr>
                <w:rFonts w:eastAsia="Arial" w:cs="Arial"/>
              </w:rPr>
              <w:t xml:space="preserve">No, </w:t>
            </w:r>
            <w:proofErr w:type="gramStart"/>
            <w:r w:rsidRPr="00F34274">
              <w:rPr>
                <w:rFonts w:eastAsia="Arial" w:cs="Arial"/>
              </w:rPr>
              <w:t>definitely not</w:t>
            </w:r>
            <w:proofErr w:type="gramEnd"/>
          </w:p>
        </w:tc>
        <w:tc>
          <w:tcPr>
            <w:tcW w:w="635" w:type="pct"/>
            <w:tcBorders>
              <w:top w:val="single" w:sz="4" w:space="0" w:color="000000"/>
              <w:left w:val="single" w:sz="4" w:space="0" w:color="000000"/>
              <w:bottom w:val="single" w:sz="4" w:space="0" w:color="000000"/>
              <w:right w:val="single" w:sz="4" w:space="0" w:color="000000"/>
            </w:tcBorders>
            <w:vAlign w:val="center"/>
          </w:tcPr>
          <w:p w14:paraId="02FB71AD" w14:textId="77777777" w:rsidR="00CD60C2" w:rsidRPr="00F34274" w:rsidRDefault="00CD60C2" w:rsidP="00957DB2">
            <w:pPr>
              <w:rPr>
                <w:rFonts w:eastAsia="Arial" w:cs="Arial"/>
              </w:rPr>
            </w:pPr>
            <w:r w:rsidRPr="00F34274">
              <w:rPr>
                <w:rFonts w:eastAsia="Arial" w:cs="Arial"/>
              </w:rPr>
              <w:t>5</w:t>
            </w:r>
          </w:p>
        </w:tc>
      </w:tr>
      <w:tr w:rsidR="00CD60C2" w:rsidRPr="00F34274" w14:paraId="691F61D2" w14:textId="77777777" w:rsidTr="00201E3C">
        <w:tc>
          <w:tcPr>
            <w:tcW w:w="4365" w:type="pct"/>
            <w:tcBorders>
              <w:top w:val="single" w:sz="4" w:space="0" w:color="000000"/>
              <w:left w:val="single" w:sz="4" w:space="0" w:color="000000"/>
              <w:bottom w:val="single" w:sz="4" w:space="0" w:color="000000"/>
              <w:right w:val="single" w:sz="4" w:space="0" w:color="000000"/>
            </w:tcBorders>
          </w:tcPr>
          <w:p w14:paraId="7DAE6FD5" w14:textId="77777777" w:rsidR="00CD60C2" w:rsidRPr="00F34274" w:rsidRDefault="00CD60C2" w:rsidP="00957DB2">
            <w:pPr>
              <w:rPr>
                <w:rFonts w:eastAsia="Arial" w:cs="Arial"/>
              </w:rPr>
            </w:pPr>
            <w:r w:rsidRPr="00F34274">
              <w:rPr>
                <w:rFonts w:eastAsia="Arial" w:cs="Arial"/>
              </w:rPr>
              <w:t>Don’t know</w:t>
            </w:r>
          </w:p>
        </w:tc>
        <w:tc>
          <w:tcPr>
            <w:tcW w:w="635" w:type="pct"/>
            <w:tcBorders>
              <w:top w:val="single" w:sz="4" w:space="0" w:color="000000"/>
              <w:left w:val="single" w:sz="4" w:space="0" w:color="000000"/>
              <w:bottom w:val="single" w:sz="4" w:space="0" w:color="000000"/>
              <w:right w:val="single" w:sz="4" w:space="0" w:color="000000"/>
            </w:tcBorders>
          </w:tcPr>
          <w:p w14:paraId="280529C0" w14:textId="77777777" w:rsidR="00CD60C2" w:rsidRPr="00F34274" w:rsidRDefault="00CD60C2" w:rsidP="00957DB2">
            <w:pPr>
              <w:rPr>
                <w:rFonts w:eastAsia="Arial" w:cs="Arial"/>
              </w:rPr>
            </w:pPr>
            <w:r w:rsidRPr="00F34274">
              <w:rPr>
                <w:rFonts w:eastAsia="Arial" w:cs="Arial"/>
              </w:rPr>
              <w:t>99</w:t>
            </w:r>
          </w:p>
        </w:tc>
      </w:tr>
    </w:tbl>
    <w:p w14:paraId="73F8A288" w14:textId="77777777" w:rsidR="00CD60C2" w:rsidRPr="00F34274" w:rsidRDefault="00CD60C2" w:rsidP="00957DB2">
      <w:pPr>
        <w:rPr>
          <w:rFonts w:eastAsia="Arial" w:cs="Arial"/>
        </w:rPr>
      </w:pPr>
    </w:p>
    <w:p w14:paraId="2480352B" w14:textId="77777777" w:rsidR="00CD60C2" w:rsidRPr="00F34274" w:rsidRDefault="00CD60C2" w:rsidP="00957DB2">
      <w:pPr>
        <w:rPr>
          <w:rFonts w:eastAsia="Arial" w:cs="Arial"/>
        </w:rPr>
      </w:pPr>
      <w:r w:rsidRPr="00F34274">
        <w:rPr>
          <w:rFonts w:eastAsia="Arial" w:cs="Arial"/>
        </w:rPr>
        <w:t>IF ABLE TO FIND SIMILAR FINANCE ELSEWHERE (Q13 = 1, 2)</w:t>
      </w:r>
    </w:p>
    <w:p w14:paraId="65846C8A" w14:textId="77777777" w:rsidR="00CD60C2" w:rsidRPr="00F34274" w:rsidRDefault="00CD60C2" w:rsidP="00957DB2">
      <w:pPr>
        <w:rPr>
          <w:rFonts w:eastAsia="Arial" w:cs="Arial"/>
          <w:bCs/>
        </w:rPr>
      </w:pPr>
      <w:r w:rsidRPr="00F34274">
        <w:rPr>
          <w:rFonts w:eastAsia="Arial" w:cs="Arial"/>
          <w:bCs/>
        </w:rPr>
        <w:t xml:space="preserve">16. If you could have not raised funding from your Investor, how much funding do you think you would have been able to raise from an alternative investor? </w:t>
      </w:r>
    </w:p>
    <w:p w14:paraId="49B6CF43" w14:textId="77777777" w:rsidR="005A7B44" w:rsidRDefault="005A7B44" w:rsidP="00957DB2">
      <w:pPr>
        <w:rPr>
          <w:rFonts w:eastAsia="Arial" w:cs="Arial"/>
        </w:rPr>
      </w:pPr>
    </w:p>
    <w:p w14:paraId="2444D3A2" w14:textId="10DB5775" w:rsidR="00CD60C2" w:rsidRPr="00F34274" w:rsidRDefault="00CD60C2" w:rsidP="00957DB2">
      <w:pPr>
        <w:rPr>
          <w:rFonts w:eastAsia="Arial" w:cs="Arial"/>
        </w:rPr>
      </w:pPr>
      <w:r w:rsidRPr="00F34274">
        <w:rPr>
          <w:rFonts w:eastAsia="Arial" w:cs="Arial"/>
        </w:rPr>
        <w:lastRenderedPageBreak/>
        <w:t>PLEASE CHECK ONE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55"/>
        <w:gridCol w:w="1307"/>
      </w:tblGrid>
      <w:tr w:rsidR="00CD60C2" w:rsidRPr="00F34274" w14:paraId="282811FE" w14:textId="77777777" w:rsidTr="00201E3C">
        <w:tc>
          <w:tcPr>
            <w:tcW w:w="4344" w:type="pct"/>
          </w:tcPr>
          <w:p w14:paraId="7F77BE19" w14:textId="77777777" w:rsidR="00CD60C2" w:rsidRPr="00F34274" w:rsidRDefault="00CD60C2" w:rsidP="00957DB2">
            <w:pPr>
              <w:rPr>
                <w:rFonts w:eastAsia="Arial" w:cs="Arial"/>
              </w:rPr>
            </w:pPr>
            <w:r w:rsidRPr="00F34274">
              <w:rPr>
                <w:rFonts w:eastAsia="Arial" w:cs="Arial"/>
              </w:rPr>
              <w:t>The same amount</w:t>
            </w:r>
          </w:p>
        </w:tc>
        <w:tc>
          <w:tcPr>
            <w:tcW w:w="656" w:type="pct"/>
            <w:vAlign w:val="center"/>
          </w:tcPr>
          <w:p w14:paraId="2FC4B387" w14:textId="77777777" w:rsidR="00CD60C2" w:rsidRPr="00F34274" w:rsidRDefault="00CD60C2" w:rsidP="00957DB2">
            <w:pPr>
              <w:rPr>
                <w:rFonts w:eastAsia="Arial" w:cs="Arial"/>
              </w:rPr>
            </w:pPr>
            <w:r w:rsidRPr="00F34274">
              <w:rPr>
                <w:rFonts w:eastAsia="Arial" w:cs="Arial"/>
              </w:rPr>
              <w:t>1</w:t>
            </w:r>
          </w:p>
        </w:tc>
      </w:tr>
      <w:tr w:rsidR="00CD60C2" w:rsidRPr="00F34274" w14:paraId="54AAFC40" w14:textId="77777777" w:rsidTr="00201E3C">
        <w:tc>
          <w:tcPr>
            <w:tcW w:w="4344" w:type="pct"/>
          </w:tcPr>
          <w:p w14:paraId="24470FD9" w14:textId="77777777" w:rsidR="00CD60C2" w:rsidRPr="00F34274" w:rsidRDefault="00CD60C2" w:rsidP="00957DB2">
            <w:pPr>
              <w:rPr>
                <w:rFonts w:eastAsia="Arial" w:cs="Arial"/>
              </w:rPr>
            </w:pPr>
            <w:r w:rsidRPr="00F34274">
              <w:rPr>
                <w:rFonts w:eastAsia="Arial" w:cs="Arial"/>
              </w:rPr>
              <w:t>Would have raised more</w:t>
            </w:r>
          </w:p>
        </w:tc>
        <w:tc>
          <w:tcPr>
            <w:tcW w:w="656" w:type="pct"/>
            <w:vAlign w:val="center"/>
          </w:tcPr>
          <w:p w14:paraId="5537B1C0" w14:textId="77777777" w:rsidR="00CD60C2" w:rsidRPr="00F34274" w:rsidRDefault="00CD60C2" w:rsidP="00957DB2">
            <w:pPr>
              <w:rPr>
                <w:rFonts w:eastAsia="Arial" w:cs="Arial"/>
              </w:rPr>
            </w:pPr>
            <w:r w:rsidRPr="00F34274">
              <w:rPr>
                <w:rFonts w:eastAsia="Arial" w:cs="Arial"/>
              </w:rPr>
              <w:t>2</w:t>
            </w:r>
          </w:p>
        </w:tc>
      </w:tr>
      <w:tr w:rsidR="00CD60C2" w:rsidRPr="00F34274" w14:paraId="4C1C4CED" w14:textId="77777777" w:rsidTr="00201E3C">
        <w:tc>
          <w:tcPr>
            <w:tcW w:w="4344" w:type="pct"/>
          </w:tcPr>
          <w:p w14:paraId="3E9BF380" w14:textId="77777777" w:rsidR="00CD60C2" w:rsidRPr="00F34274" w:rsidRDefault="00CD60C2" w:rsidP="00957DB2">
            <w:pPr>
              <w:rPr>
                <w:rFonts w:eastAsia="Arial" w:cs="Arial"/>
              </w:rPr>
            </w:pPr>
            <w:r w:rsidRPr="00F34274">
              <w:rPr>
                <w:rFonts w:eastAsia="Arial" w:cs="Arial"/>
              </w:rPr>
              <w:t xml:space="preserve">We would have raised less than 25% of the finance received from our Investor </w:t>
            </w:r>
          </w:p>
        </w:tc>
        <w:tc>
          <w:tcPr>
            <w:tcW w:w="656" w:type="pct"/>
            <w:vAlign w:val="center"/>
          </w:tcPr>
          <w:p w14:paraId="7FD93D94" w14:textId="77777777" w:rsidR="00CD60C2" w:rsidRPr="00F34274" w:rsidRDefault="00CD60C2" w:rsidP="00957DB2">
            <w:pPr>
              <w:rPr>
                <w:rFonts w:eastAsia="Arial" w:cs="Arial"/>
              </w:rPr>
            </w:pPr>
            <w:r w:rsidRPr="00F34274">
              <w:rPr>
                <w:rFonts w:eastAsia="Arial" w:cs="Arial"/>
              </w:rPr>
              <w:t>3</w:t>
            </w:r>
          </w:p>
        </w:tc>
      </w:tr>
      <w:tr w:rsidR="00CD60C2" w:rsidRPr="00F34274" w14:paraId="79691D29" w14:textId="77777777" w:rsidTr="00201E3C">
        <w:tc>
          <w:tcPr>
            <w:tcW w:w="4344" w:type="pct"/>
          </w:tcPr>
          <w:p w14:paraId="74C00B2B" w14:textId="77777777" w:rsidR="00CD60C2" w:rsidRPr="00F34274" w:rsidRDefault="00CD60C2" w:rsidP="00957DB2">
            <w:pPr>
              <w:rPr>
                <w:rFonts w:eastAsia="Arial" w:cs="Arial"/>
              </w:rPr>
            </w:pPr>
            <w:r w:rsidRPr="00F34274">
              <w:rPr>
                <w:rFonts w:eastAsia="Arial" w:cs="Arial"/>
              </w:rPr>
              <w:t>We would have raised between 25% and 50%</w:t>
            </w:r>
          </w:p>
        </w:tc>
        <w:tc>
          <w:tcPr>
            <w:tcW w:w="656" w:type="pct"/>
            <w:vAlign w:val="center"/>
          </w:tcPr>
          <w:p w14:paraId="0679601E" w14:textId="77777777" w:rsidR="00CD60C2" w:rsidRPr="00F34274" w:rsidRDefault="00CD60C2" w:rsidP="00957DB2">
            <w:pPr>
              <w:rPr>
                <w:rFonts w:eastAsia="Arial" w:cs="Arial"/>
              </w:rPr>
            </w:pPr>
            <w:r w:rsidRPr="00F34274">
              <w:rPr>
                <w:rFonts w:eastAsia="Arial" w:cs="Arial"/>
              </w:rPr>
              <w:t>4</w:t>
            </w:r>
          </w:p>
        </w:tc>
      </w:tr>
      <w:tr w:rsidR="00CD60C2" w:rsidRPr="00F34274" w14:paraId="4BA8746A" w14:textId="77777777" w:rsidTr="00201E3C">
        <w:trPr>
          <w:trHeight w:val="233"/>
        </w:trPr>
        <w:tc>
          <w:tcPr>
            <w:tcW w:w="4344" w:type="pct"/>
          </w:tcPr>
          <w:p w14:paraId="5090ABEC" w14:textId="77777777" w:rsidR="00CD60C2" w:rsidRPr="00F34274" w:rsidRDefault="00CD60C2" w:rsidP="00957DB2">
            <w:pPr>
              <w:rPr>
                <w:rFonts w:eastAsia="Arial" w:cs="Arial"/>
              </w:rPr>
            </w:pPr>
            <w:r w:rsidRPr="00F34274">
              <w:rPr>
                <w:rFonts w:eastAsia="Arial" w:cs="Arial"/>
              </w:rPr>
              <w:t>We would have raised between 50% and 75%</w:t>
            </w:r>
          </w:p>
        </w:tc>
        <w:tc>
          <w:tcPr>
            <w:tcW w:w="656" w:type="pct"/>
            <w:vAlign w:val="center"/>
          </w:tcPr>
          <w:p w14:paraId="59206AA7" w14:textId="77777777" w:rsidR="00CD60C2" w:rsidRPr="00F34274" w:rsidRDefault="00CD60C2" w:rsidP="00957DB2">
            <w:pPr>
              <w:rPr>
                <w:rFonts w:eastAsia="Arial" w:cs="Arial"/>
              </w:rPr>
            </w:pPr>
            <w:r w:rsidRPr="00F34274">
              <w:rPr>
                <w:rFonts w:eastAsia="Arial" w:cs="Arial"/>
              </w:rPr>
              <w:t>5</w:t>
            </w:r>
          </w:p>
        </w:tc>
      </w:tr>
      <w:tr w:rsidR="00CD60C2" w:rsidRPr="00F34274" w14:paraId="3AD1989A" w14:textId="77777777" w:rsidTr="00201E3C">
        <w:trPr>
          <w:trHeight w:val="233"/>
        </w:trPr>
        <w:tc>
          <w:tcPr>
            <w:tcW w:w="4344" w:type="pct"/>
          </w:tcPr>
          <w:p w14:paraId="1886E7FE" w14:textId="77777777" w:rsidR="00CD60C2" w:rsidRPr="00F34274" w:rsidRDefault="00CD60C2" w:rsidP="00957DB2">
            <w:pPr>
              <w:rPr>
                <w:rFonts w:eastAsia="Arial" w:cs="Arial"/>
              </w:rPr>
            </w:pPr>
            <w:r w:rsidRPr="00F34274">
              <w:rPr>
                <w:rFonts w:eastAsia="Arial" w:cs="Arial"/>
              </w:rPr>
              <w:t>We would have raised between 75% and 99%</w:t>
            </w:r>
          </w:p>
        </w:tc>
        <w:tc>
          <w:tcPr>
            <w:tcW w:w="656" w:type="pct"/>
            <w:vAlign w:val="center"/>
          </w:tcPr>
          <w:p w14:paraId="0A7EBAD1" w14:textId="77777777" w:rsidR="00CD60C2" w:rsidRPr="00F34274" w:rsidRDefault="00CD60C2" w:rsidP="00957DB2">
            <w:pPr>
              <w:rPr>
                <w:rFonts w:eastAsia="Arial" w:cs="Arial"/>
              </w:rPr>
            </w:pPr>
            <w:r w:rsidRPr="00F34274">
              <w:rPr>
                <w:rFonts w:eastAsia="Arial" w:cs="Arial"/>
              </w:rPr>
              <w:t>6</w:t>
            </w:r>
          </w:p>
        </w:tc>
      </w:tr>
      <w:tr w:rsidR="00CD60C2" w:rsidRPr="00F34274" w14:paraId="0D37ABDC" w14:textId="77777777" w:rsidTr="00201E3C">
        <w:trPr>
          <w:trHeight w:val="233"/>
        </w:trPr>
        <w:tc>
          <w:tcPr>
            <w:tcW w:w="4344" w:type="pct"/>
            <w:tcBorders>
              <w:top w:val="single" w:sz="4" w:space="0" w:color="000000"/>
              <w:left w:val="single" w:sz="4" w:space="0" w:color="000000"/>
              <w:bottom w:val="single" w:sz="4" w:space="0" w:color="000000"/>
              <w:right w:val="single" w:sz="4" w:space="0" w:color="000000"/>
            </w:tcBorders>
          </w:tcPr>
          <w:p w14:paraId="15D81A06" w14:textId="77777777" w:rsidR="00CD60C2" w:rsidRPr="00F34274" w:rsidRDefault="00CD60C2" w:rsidP="00957DB2">
            <w:pPr>
              <w:rPr>
                <w:rFonts w:eastAsia="Arial" w:cs="Arial"/>
              </w:rPr>
            </w:pPr>
            <w:r w:rsidRPr="00F34274">
              <w:rPr>
                <w:rFonts w:eastAsia="Arial" w:cs="Arial"/>
              </w:rPr>
              <w:t>Don’t know</w:t>
            </w:r>
          </w:p>
        </w:tc>
        <w:tc>
          <w:tcPr>
            <w:tcW w:w="656" w:type="pct"/>
            <w:tcBorders>
              <w:top w:val="single" w:sz="4" w:space="0" w:color="000000"/>
              <w:left w:val="single" w:sz="4" w:space="0" w:color="000000"/>
              <w:bottom w:val="single" w:sz="4" w:space="0" w:color="000000"/>
              <w:right w:val="single" w:sz="4" w:space="0" w:color="000000"/>
            </w:tcBorders>
            <w:vAlign w:val="center"/>
          </w:tcPr>
          <w:p w14:paraId="1E6B15FF" w14:textId="77777777" w:rsidR="00CD60C2" w:rsidRPr="00F34274" w:rsidRDefault="00CD60C2" w:rsidP="00957DB2">
            <w:pPr>
              <w:rPr>
                <w:rFonts w:eastAsia="Arial" w:cs="Arial"/>
              </w:rPr>
            </w:pPr>
            <w:r w:rsidRPr="00F34274">
              <w:rPr>
                <w:rFonts w:eastAsia="Arial" w:cs="Arial"/>
              </w:rPr>
              <w:t>99</w:t>
            </w:r>
          </w:p>
        </w:tc>
      </w:tr>
      <w:bookmarkEnd w:id="229"/>
    </w:tbl>
    <w:p w14:paraId="2BC8D0B1" w14:textId="77777777" w:rsidR="00CD60C2" w:rsidRPr="00F34274" w:rsidRDefault="00CD60C2" w:rsidP="00957DB2">
      <w:pPr>
        <w:rPr>
          <w:rFonts w:eastAsia="Arial" w:cs="Arial"/>
        </w:rPr>
      </w:pPr>
    </w:p>
    <w:p w14:paraId="51FAF1DD" w14:textId="77777777" w:rsidR="00CD60C2" w:rsidRPr="00F34274" w:rsidRDefault="00CD60C2" w:rsidP="00957DB2">
      <w:pPr>
        <w:rPr>
          <w:rFonts w:eastAsia="Arial" w:cs="Arial"/>
        </w:rPr>
      </w:pPr>
      <w:r w:rsidRPr="00F34274">
        <w:rPr>
          <w:rFonts w:eastAsia="Arial" w:cs="Arial"/>
        </w:rPr>
        <w:t>ALL</w:t>
      </w:r>
    </w:p>
    <w:p w14:paraId="231D83C7" w14:textId="77777777" w:rsidR="00CD60C2" w:rsidRPr="00F34274" w:rsidRDefault="00CD60C2" w:rsidP="00957DB2">
      <w:pPr>
        <w:rPr>
          <w:rFonts w:eastAsia="Arial" w:cs="Arial"/>
          <w:bCs/>
        </w:rPr>
      </w:pPr>
      <w:r w:rsidRPr="00F34274">
        <w:rPr>
          <w:rFonts w:eastAsia="Arial" w:cs="Arial"/>
          <w:bCs/>
        </w:rPr>
        <w:t>17. Did you plan to raise funding through, or were you approached by your main investor after 2019?</w:t>
      </w:r>
    </w:p>
    <w:p w14:paraId="3E5530A0" w14:textId="77777777" w:rsidR="00CD60C2" w:rsidRPr="00F34274" w:rsidRDefault="00CD60C2" w:rsidP="00957DB2">
      <w:pPr>
        <w:rPr>
          <w:rFonts w:eastAsia="Arial" w:cs="Arial"/>
        </w:rPr>
      </w:pPr>
      <w:r w:rsidRPr="00F34274">
        <w:rPr>
          <w:rFonts w:eastAsia="Arial" w:cs="Arial"/>
        </w:rPr>
        <w:t>PLEASE CHECK ONE ONLY</w:t>
      </w:r>
    </w:p>
    <w:tbl>
      <w:tblPr>
        <w:tblStyle w:val="withborders11"/>
        <w:tblW w:w="5000" w:type="pct"/>
        <w:tblInd w:w="0" w:type="dxa"/>
        <w:tblLook w:val="04A0" w:firstRow="1" w:lastRow="0" w:firstColumn="1" w:lastColumn="0" w:noHBand="0" w:noVBand="1"/>
      </w:tblPr>
      <w:tblGrid>
        <w:gridCol w:w="8671"/>
        <w:gridCol w:w="1291"/>
      </w:tblGrid>
      <w:tr w:rsidR="00CD60C2" w:rsidRPr="00F34274" w14:paraId="68AEB92E" w14:textId="77777777" w:rsidTr="00201E3C">
        <w:tc>
          <w:tcPr>
            <w:tcW w:w="4352" w:type="pct"/>
          </w:tcPr>
          <w:p w14:paraId="653740F7" w14:textId="77777777" w:rsidR="00CD60C2" w:rsidRPr="00F34274" w:rsidRDefault="00CD60C2" w:rsidP="00957DB2">
            <w:pPr>
              <w:rPr>
                <w:rFonts w:eastAsia="Arial" w:cs="Arial"/>
                <w:iCs/>
              </w:rPr>
            </w:pPr>
            <w:r w:rsidRPr="00F34274">
              <w:rPr>
                <w:rFonts w:eastAsia="Arial" w:cs="Arial"/>
                <w:iCs/>
              </w:rPr>
              <w:t>Yes</w:t>
            </w:r>
          </w:p>
        </w:tc>
        <w:tc>
          <w:tcPr>
            <w:tcW w:w="648" w:type="pct"/>
          </w:tcPr>
          <w:p w14:paraId="13C43194" w14:textId="77777777" w:rsidR="00CD60C2" w:rsidRPr="00F34274" w:rsidRDefault="00CD60C2" w:rsidP="00957DB2">
            <w:pPr>
              <w:rPr>
                <w:rFonts w:eastAsia="Arial" w:cs="Arial"/>
                <w:iCs/>
              </w:rPr>
            </w:pPr>
            <w:r w:rsidRPr="00F34274">
              <w:rPr>
                <w:rFonts w:eastAsia="Arial" w:cs="Arial"/>
                <w:iCs/>
              </w:rPr>
              <w:t>1</w:t>
            </w:r>
          </w:p>
        </w:tc>
      </w:tr>
      <w:tr w:rsidR="00CD60C2" w:rsidRPr="00F34274" w14:paraId="4056D06A" w14:textId="77777777" w:rsidTr="00201E3C">
        <w:tc>
          <w:tcPr>
            <w:tcW w:w="4352" w:type="pct"/>
          </w:tcPr>
          <w:p w14:paraId="1202FF51" w14:textId="77777777" w:rsidR="00CD60C2" w:rsidRPr="00F34274" w:rsidRDefault="00CD60C2" w:rsidP="00957DB2">
            <w:pPr>
              <w:rPr>
                <w:rFonts w:eastAsia="Arial" w:cs="Arial"/>
                <w:iCs/>
              </w:rPr>
            </w:pPr>
            <w:r w:rsidRPr="00F34274">
              <w:rPr>
                <w:rFonts w:eastAsia="Arial" w:cs="Arial"/>
                <w:iCs/>
              </w:rPr>
              <w:t>No</w:t>
            </w:r>
          </w:p>
        </w:tc>
        <w:tc>
          <w:tcPr>
            <w:tcW w:w="648" w:type="pct"/>
          </w:tcPr>
          <w:p w14:paraId="18098598" w14:textId="77777777" w:rsidR="00CD60C2" w:rsidRPr="00F34274" w:rsidRDefault="00CD60C2" w:rsidP="00957DB2">
            <w:pPr>
              <w:rPr>
                <w:rFonts w:eastAsia="Arial" w:cs="Arial"/>
                <w:iCs/>
              </w:rPr>
            </w:pPr>
            <w:r w:rsidRPr="00F34274">
              <w:rPr>
                <w:rFonts w:eastAsia="Arial" w:cs="Arial"/>
                <w:iCs/>
              </w:rPr>
              <w:t>2</w:t>
            </w:r>
          </w:p>
        </w:tc>
      </w:tr>
      <w:tr w:rsidR="00CD60C2" w:rsidRPr="00F34274" w14:paraId="728002D9" w14:textId="77777777" w:rsidTr="00201E3C">
        <w:tc>
          <w:tcPr>
            <w:tcW w:w="4352" w:type="pct"/>
          </w:tcPr>
          <w:p w14:paraId="5D865530" w14:textId="77777777" w:rsidR="00CD60C2" w:rsidRPr="00F34274" w:rsidRDefault="00CD60C2" w:rsidP="00957DB2">
            <w:pPr>
              <w:rPr>
                <w:rFonts w:eastAsia="Arial" w:cs="Arial"/>
                <w:iCs/>
              </w:rPr>
            </w:pPr>
            <w:r w:rsidRPr="00F34274">
              <w:rPr>
                <w:rFonts w:eastAsia="Arial" w:cs="Arial"/>
                <w:iCs/>
              </w:rPr>
              <w:t>Don’t know/prefer not to say</w:t>
            </w:r>
          </w:p>
        </w:tc>
        <w:tc>
          <w:tcPr>
            <w:tcW w:w="648" w:type="pct"/>
          </w:tcPr>
          <w:p w14:paraId="057EF4BF" w14:textId="77777777" w:rsidR="00CD60C2" w:rsidRPr="00F34274" w:rsidRDefault="00CD60C2" w:rsidP="00957DB2">
            <w:pPr>
              <w:rPr>
                <w:rFonts w:eastAsia="Arial" w:cs="Arial"/>
                <w:iCs/>
              </w:rPr>
            </w:pPr>
            <w:r w:rsidRPr="00F34274">
              <w:rPr>
                <w:rFonts w:eastAsia="Arial" w:cs="Arial"/>
                <w:iCs/>
              </w:rPr>
              <w:t>3</w:t>
            </w:r>
          </w:p>
        </w:tc>
      </w:tr>
    </w:tbl>
    <w:p w14:paraId="33FA3944" w14:textId="77777777" w:rsidR="00CD60C2" w:rsidRPr="00F34274" w:rsidRDefault="00CD60C2" w:rsidP="00957DB2">
      <w:pPr>
        <w:rPr>
          <w:rFonts w:eastAsia="Arial" w:cs="Arial"/>
        </w:rPr>
      </w:pPr>
      <w:r w:rsidRPr="00F34274">
        <w:rPr>
          <w:rFonts w:eastAsia="Arial" w:cs="Arial"/>
        </w:rPr>
        <w:tab/>
      </w:r>
    </w:p>
    <w:p w14:paraId="2173B80D" w14:textId="77777777" w:rsidR="00CD60C2" w:rsidRPr="00F34274" w:rsidRDefault="00CD60C2" w:rsidP="00957DB2">
      <w:pPr>
        <w:shd w:val="clear" w:color="auto" w:fill="F2F2F2"/>
        <w:rPr>
          <w:rFonts w:eastAsia="Arial" w:cs="Arial"/>
        </w:rPr>
      </w:pPr>
      <w:r w:rsidRPr="00F34274">
        <w:rPr>
          <w:rFonts w:eastAsia="Arial" w:cs="Arial"/>
        </w:rPr>
        <w:t xml:space="preserve">Reasons for Applying </w:t>
      </w:r>
    </w:p>
    <w:p w14:paraId="6F689619" w14:textId="77777777" w:rsidR="00CD60C2" w:rsidRPr="00F34274" w:rsidRDefault="00CD60C2" w:rsidP="00957DB2">
      <w:pPr>
        <w:rPr>
          <w:rFonts w:eastAsia="Arial" w:cs="Arial"/>
        </w:rPr>
      </w:pPr>
      <w:r w:rsidRPr="00F34274">
        <w:rPr>
          <w:rFonts w:eastAsia="Arial" w:cs="Arial"/>
        </w:rPr>
        <w:t>ALL</w:t>
      </w:r>
    </w:p>
    <w:p w14:paraId="1A5332F2" w14:textId="77777777" w:rsidR="00CD60C2" w:rsidRPr="00F34274" w:rsidRDefault="00CD60C2" w:rsidP="00957DB2">
      <w:pPr>
        <w:rPr>
          <w:rFonts w:eastAsia="Arial" w:cs="Arial"/>
          <w:bCs/>
        </w:rPr>
      </w:pPr>
      <w:bookmarkStart w:id="231" w:name="_Hlk77678923"/>
      <w:r w:rsidRPr="00F34274">
        <w:rPr>
          <w:rFonts w:eastAsia="Arial" w:cs="Arial"/>
          <w:bCs/>
        </w:rPr>
        <w:t xml:space="preserve">18. What motivated you and your business to seek angel investment? </w:t>
      </w:r>
    </w:p>
    <w:p w14:paraId="04D63D1E" w14:textId="77777777" w:rsidR="00CD60C2" w:rsidRPr="00F34274" w:rsidRDefault="00CD60C2" w:rsidP="00957DB2">
      <w:pPr>
        <w:rPr>
          <w:rFonts w:eastAsia="Arial" w:cs="Arial"/>
        </w:rPr>
      </w:pPr>
      <w:r w:rsidRPr="00F34274">
        <w:rPr>
          <w:rFonts w:eastAsia="Arial" w:cs="Arial"/>
        </w:rPr>
        <w:t>PLEASE CHECK ALL THAT APPLY</w:t>
      </w:r>
    </w:p>
    <w:tbl>
      <w:tblPr>
        <w:tblStyle w:val="withborders2"/>
        <w:tblW w:w="5000" w:type="pct"/>
        <w:tblLook w:val="04A0" w:firstRow="1" w:lastRow="0" w:firstColumn="1" w:lastColumn="0" w:noHBand="0" w:noVBand="1"/>
      </w:tblPr>
      <w:tblGrid>
        <w:gridCol w:w="8553"/>
        <w:gridCol w:w="1409"/>
      </w:tblGrid>
      <w:tr w:rsidR="00CD60C2" w:rsidRPr="00F34274" w14:paraId="3229ED94" w14:textId="77777777" w:rsidTr="00201E3C">
        <w:tc>
          <w:tcPr>
            <w:tcW w:w="4293" w:type="pct"/>
          </w:tcPr>
          <w:p w14:paraId="29F35B27" w14:textId="77777777" w:rsidR="00CD60C2" w:rsidRPr="00F34274" w:rsidRDefault="00CD60C2" w:rsidP="00957DB2">
            <w:pPr>
              <w:rPr>
                <w:rFonts w:eastAsia="Arial" w:cs="Arial"/>
                <w:bCs/>
              </w:rPr>
            </w:pPr>
            <w:r w:rsidRPr="00F34274">
              <w:rPr>
                <w:rFonts w:eastAsia="Arial" w:cs="Arial"/>
                <w:bCs/>
              </w:rPr>
              <w:t>Terms and conditions relatively attractive compared to other funding sources.</w:t>
            </w:r>
          </w:p>
        </w:tc>
        <w:tc>
          <w:tcPr>
            <w:tcW w:w="707" w:type="pct"/>
          </w:tcPr>
          <w:p w14:paraId="77FCA3EF" w14:textId="77777777" w:rsidR="00CD60C2" w:rsidRPr="00F34274" w:rsidRDefault="00CD60C2" w:rsidP="00957DB2">
            <w:pPr>
              <w:rPr>
                <w:rFonts w:eastAsia="Arial" w:cs="Arial"/>
                <w:bCs/>
              </w:rPr>
            </w:pPr>
            <w:r w:rsidRPr="00F34274">
              <w:rPr>
                <w:rFonts w:eastAsia="Arial" w:cs="Arial"/>
                <w:bCs/>
              </w:rPr>
              <w:t>1</w:t>
            </w:r>
          </w:p>
        </w:tc>
      </w:tr>
      <w:tr w:rsidR="00CD60C2" w:rsidRPr="00F34274" w14:paraId="695C17F0" w14:textId="77777777" w:rsidTr="00201E3C">
        <w:tc>
          <w:tcPr>
            <w:tcW w:w="4293" w:type="pct"/>
          </w:tcPr>
          <w:p w14:paraId="0D8C1405" w14:textId="77777777" w:rsidR="00CD60C2" w:rsidRPr="00F34274" w:rsidRDefault="00CD60C2" w:rsidP="00957DB2">
            <w:pPr>
              <w:rPr>
                <w:rFonts w:eastAsia="Arial" w:cs="Arial"/>
                <w:bCs/>
              </w:rPr>
            </w:pPr>
            <w:r w:rsidRPr="00F34274" w:rsidDel="00E25426">
              <w:rPr>
                <w:rFonts w:eastAsia="Arial" w:cs="Arial"/>
                <w:bCs/>
              </w:rPr>
              <w:t>Most suitable source of funding for the stage of the business</w:t>
            </w:r>
          </w:p>
        </w:tc>
        <w:tc>
          <w:tcPr>
            <w:tcW w:w="707" w:type="pct"/>
          </w:tcPr>
          <w:p w14:paraId="51E8C1B5" w14:textId="77777777" w:rsidR="00CD60C2" w:rsidRPr="00F34274" w:rsidRDefault="00CD60C2" w:rsidP="00957DB2">
            <w:pPr>
              <w:rPr>
                <w:rFonts w:eastAsia="Arial" w:cs="Arial"/>
                <w:bCs/>
              </w:rPr>
            </w:pPr>
            <w:r w:rsidRPr="00F34274">
              <w:rPr>
                <w:rFonts w:eastAsia="Arial" w:cs="Arial"/>
                <w:bCs/>
              </w:rPr>
              <w:t>2</w:t>
            </w:r>
          </w:p>
        </w:tc>
      </w:tr>
      <w:tr w:rsidR="00CD60C2" w:rsidRPr="00F34274" w14:paraId="51461038" w14:textId="77777777" w:rsidTr="00201E3C">
        <w:trPr>
          <w:trHeight w:val="401"/>
        </w:trPr>
        <w:tc>
          <w:tcPr>
            <w:tcW w:w="4293" w:type="pct"/>
          </w:tcPr>
          <w:p w14:paraId="0D0F5491" w14:textId="77777777" w:rsidR="00CD60C2" w:rsidRPr="00F34274" w:rsidRDefault="00CD60C2" w:rsidP="00957DB2">
            <w:pPr>
              <w:rPr>
                <w:rFonts w:eastAsia="Arial" w:cs="Arial"/>
                <w:bCs/>
              </w:rPr>
            </w:pPr>
            <w:r w:rsidRPr="00F34274">
              <w:rPr>
                <w:rFonts w:eastAsia="Arial" w:cs="Arial"/>
                <w:bCs/>
              </w:rPr>
              <w:lastRenderedPageBreak/>
              <w:t>Could not obtain sufficient finance from other sources/only funding available</w:t>
            </w:r>
          </w:p>
        </w:tc>
        <w:tc>
          <w:tcPr>
            <w:tcW w:w="707" w:type="pct"/>
          </w:tcPr>
          <w:p w14:paraId="202BF440" w14:textId="77777777" w:rsidR="00CD60C2" w:rsidRPr="00F34274" w:rsidRDefault="00CD60C2" w:rsidP="00957DB2">
            <w:pPr>
              <w:rPr>
                <w:rFonts w:eastAsia="Arial" w:cs="Arial"/>
                <w:bCs/>
              </w:rPr>
            </w:pPr>
            <w:r w:rsidRPr="00F34274">
              <w:rPr>
                <w:rFonts w:eastAsia="Arial" w:cs="Arial"/>
                <w:bCs/>
              </w:rPr>
              <w:t>3</w:t>
            </w:r>
          </w:p>
        </w:tc>
      </w:tr>
      <w:tr w:rsidR="00CD60C2" w:rsidRPr="00F34274" w14:paraId="4C9A3FDE" w14:textId="77777777" w:rsidTr="00201E3C">
        <w:tc>
          <w:tcPr>
            <w:tcW w:w="4293" w:type="pct"/>
          </w:tcPr>
          <w:p w14:paraId="07E90D70" w14:textId="77777777" w:rsidR="00CD60C2" w:rsidRPr="00F34274" w:rsidDel="00E25426" w:rsidRDefault="00CD60C2" w:rsidP="00957DB2">
            <w:pPr>
              <w:rPr>
                <w:rFonts w:eastAsia="Arial" w:cs="Arial"/>
                <w:bCs/>
              </w:rPr>
            </w:pPr>
            <w:r w:rsidRPr="00F34274">
              <w:rPr>
                <w:rFonts w:eastAsia="Arial" w:cs="Arial"/>
                <w:bCs/>
              </w:rPr>
              <w:t>To reduce use of debt finance</w:t>
            </w:r>
          </w:p>
        </w:tc>
        <w:tc>
          <w:tcPr>
            <w:tcW w:w="707" w:type="pct"/>
          </w:tcPr>
          <w:p w14:paraId="12B5340B" w14:textId="77777777" w:rsidR="00CD60C2" w:rsidRPr="00F34274" w:rsidRDefault="00CD60C2" w:rsidP="00957DB2">
            <w:pPr>
              <w:rPr>
                <w:rFonts w:eastAsia="Arial" w:cs="Arial"/>
                <w:bCs/>
              </w:rPr>
            </w:pPr>
            <w:r w:rsidRPr="00F34274">
              <w:rPr>
                <w:rFonts w:eastAsia="Arial" w:cs="Arial"/>
                <w:bCs/>
              </w:rPr>
              <w:t>4</w:t>
            </w:r>
          </w:p>
        </w:tc>
      </w:tr>
      <w:tr w:rsidR="00CD60C2" w:rsidRPr="00F34274" w14:paraId="157BFD74" w14:textId="77777777" w:rsidTr="00201E3C">
        <w:tc>
          <w:tcPr>
            <w:tcW w:w="4293" w:type="pct"/>
          </w:tcPr>
          <w:p w14:paraId="5491187D" w14:textId="77777777" w:rsidR="00CD60C2" w:rsidRPr="00F34274" w:rsidRDefault="00CD60C2" w:rsidP="00957DB2">
            <w:pPr>
              <w:rPr>
                <w:rFonts w:eastAsia="Arial" w:cs="Arial"/>
                <w:bCs/>
              </w:rPr>
            </w:pPr>
            <w:r w:rsidRPr="00F34274">
              <w:rPr>
                <w:rFonts w:eastAsia="Arial" w:cs="Arial"/>
                <w:bCs/>
              </w:rPr>
              <w:t>Existing investors pulled out/unwilling to invest sufficient capital</w:t>
            </w:r>
          </w:p>
        </w:tc>
        <w:tc>
          <w:tcPr>
            <w:tcW w:w="707" w:type="pct"/>
          </w:tcPr>
          <w:p w14:paraId="5D656261" w14:textId="77777777" w:rsidR="00CD60C2" w:rsidRPr="00F34274" w:rsidRDefault="00CD60C2" w:rsidP="00957DB2">
            <w:pPr>
              <w:rPr>
                <w:rFonts w:eastAsia="Arial" w:cs="Arial"/>
                <w:bCs/>
              </w:rPr>
            </w:pPr>
            <w:r w:rsidRPr="00F34274">
              <w:rPr>
                <w:rFonts w:eastAsia="Arial" w:cs="Arial"/>
                <w:bCs/>
              </w:rPr>
              <w:t>5</w:t>
            </w:r>
          </w:p>
        </w:tc>
      </w:tr>
      <w:tr w:rsidR="00CD60C2" w:rsidRPr="00F34274" w14:paraId="374A5E01" w14:textId="77777777" w:rsidTr="00201E3C">
        <w:tc>
          <w:tcPr>
            <w:tcW w:w="4293" w:type="pct"/>
          </w:tcPr>
          <w:p w14:paraId="50B7194A" w14:textId="77777777" w:rsidR="00CD60C2" w:rsidRPr="00F34274" w:rsidRDefault="00CD60C2" w:rsidP="00957DB2">
            <w:pPr>
              <w:rPr>
                <w:rFonts w:eastAsia="Arial" w:cs="Arial"/>
                <w:bCs/>
              </w:rPr>
            </w:pPr>
            <w:r w:rsidRPr="00F34274">
              <w:rPr>
                <w:rFonts w:eastAsia="Arial" w:cs="Arial"/>
                <w:bCs/>
              </w:rPr>
              <w:t>Other [Please write in]</w:t>
            </w:r>
          </w:p>
        </w:tc>
        <w:tc>
          <w:tcPr>
            <w:tcW w:w="707" w:type="pct"/>
          </w:tcPr>
          <w:p w14:paraId="1B521708" w14:textId="77777777" w:rsidR="00CD60C2" w:rsidRPr="00F34274" w:rsidRDefault="00CD60C2" w:rsidP="00957DB2">
            <w:pPr>
              <w:rPr>
                <w:rFonts w:eastAsia="Arial" w:cs="Arial"/>
                <w:bCs/>
              </w:rPr>
            </w:pPr>
            <w:r w:rsidRPr="00F34274">
              <w:rPr>
                <w:rFonts w:eastAsia="Arial" w:cs="Arial"/>
                <w:bCs/>
              </w:rPr>
              <w:t>98</w:t>
            </w:r>
          </w:p>
        </w:tc>
      </w:tr>
      <w:tr w:rsidR="00CD60C2" w:rsidRPr="00F34274" w14:paraId="555ABFF8" w14:textId="77777777" w:rsidTr="00201E3C">
        <w:tc>
          <w:tcPr>
            <w:tcW w:w="4293" w:type="pct"/>
          </w:tcPr>
          <w:p w14:paraId="3B052CDF" w14:textId="77777777" w:rsidR="00CD60C2" w:rsidRPr="00F34274" w:rsidRDefault="00CD60C2" w:rsidP="00957DB2">
            <w:pPr>
              <w:rPr>
                <w:rFonts w:eastAsia="Arial" w:cs="Arial"/>
                <w:bCs/>
              </w:rPr>
            </w:pPr>
            <w:r w:rsidRPr="00F34274">
              <w:rPr>
                <w:rFonts w:eastAsia="Arial" w:cs="Arial"/>
                <w:bCs/>
              </w:rPr>
              <w:t>Don’t know</w:t>
            </w:r>
          </w:p>
        </w:tc>
        <w:tc>
          <w:tcPr>
            <w:tcW w:w="707" w:type="pct"/>
          </w:tcPr>
          <w:p w14:paraId="50973F0D" w14:textId="77777777" w:rsidR="00CD60C2" w:rsidRPr="00F34274" w:rsidRDefault="00CD60C2" w:rsidP="00957DB2">
            <w:pPr>
              <w:rPr>
                <w:rFonts w:eastAsia="Arial" w:cs="Arial"/>
                <w:bCs/>
              </w:rPr>
            </w:pPr>
            <w:r w:rsidRPr="00F34274">
              <w:rPr>
                <w:rFonts w:eastAsia="Arial" w:cs="Arial"/>
                <w:bCs/>
              </w:rPr>
              <w:t>99</w:t>
            </w:r>
          </w:p>
        </w:tc>
      </w:tr>
      <w:bookmarkEnd w:id="231"/>
    </w:tbl>
    <w:p w14:paraId="15837CAA" w14:textId="77777777" w:rsidR="00CD60C2" w:rsidRPr="00F34274" w:rsidRDefault="00CD60C2" w:rsidP="00957DB2">
      <w:pPr>
        <w:rPr>
          <w:rFonts w:eastAsia="Arial" w:cs="Arial"/>
        </w:rPr>
      </w:pPr>
    </w:p>
    <w:p w14:paraId="70524AFD" w14:textId="77777777" w:rsidR="00CD60C2" w:rsidRPr="00F34274" w:rsidRDefault="00CD60C2" w:rsidP="00957DB2">
      <w:pPr>
        <w:rPr>
          <w:rFonts w:eastAsia="Arial" w:cs="Arial"/>
        </w:rPr>
      </w:pPr>
      <w:r w:rsidRPr="00F34274">
        <w:rPr>
          <w:rFonts w:eastAsia="Arial" w:cs="Arial"/>
        </w:rPr>
        <w:t>ALL</w:t>
      </w:r>
    </w:p>
    <w:p w14:paraId="2013C5D2" w14:textId="77777777" w:rsidR="00CD60C2" w:rsidRPr="00F34274" w:rsidRDefault="00CD60C2" w:rsidP="00957DB2">
      <w:pPr>
        <w:rPr>
          <w:rFonts w:eastAsia="Arial" w:cs="Arial"/>
          <w:bCs/>
        </w:rPr>
      </w:pPr>
      <w:r w:rsidRPr="00F34274">
        <w:rPr>
          <w:rFonts w:eastAsia="Arial" w:cs="Arial"/>
          <w:bCs/>
        </w:rPr>
        <w:t xml:space="preserve">19. If you had not been able to access funding from your Investor, how likely is it that your business would have been able to access similar alternative sources of equity funding?  </w:t>
      </w:r>
    </w:p>
    <w:p w14:paraId="3198D126" w14:textId="77777777" w:rsidR="00CD60C2" w:rsidRPr="00F34274" w:rsidRDefault="00CD60C2" w:rsidP="00957DB2">
      <w:pPr>
        <w:rPr>
          <w:rFonts w:eastAsia="Arial" w:cs="Arial"/>
        </w:rPr>
      </w:pPr>
      <w:r w:rsidRPr="00F34274">
        <w:rPr>
          <w:rFonts w:eastAsia="Arial" w:cs="Arial"/>
        </w:rPr>
        <w:t xml:space="preserve">PLEASE CHECK ONE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3"/>
        <w:gridCol w:w="1409"/>
      </w:tblGrid>
      <w:tr w:rsidR="00CD60C2" w:rsidRPr="00F34274" w14:paraId="68434294" w14:textId="77777777" w:rsidTr="00201E3C">
        <w:tc>
          <w:tcPr>
            <w:tcW w:w="4293" w:type="pct"/>
            <w:tcMar>
              <w:top w:w="0" w:type="dxa"/>
              <w:left w:w="108" w:type="dxa"/>
              <w:bottom w:w="0" w:type="dxa"/>
              <w:right w:w="108" w:type="dxa"/>
            </w:tcMar>
            <w:hideMark/>
          </w:tcPr>
          <w:p w14:paraId="4E9C59B3"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have been able to access alternative sources of finance</w:t>
            </w:r>
          </w:p>
        </w:tc>
        <w:tc>
          <w:tcPr>
            <w:tcW w:w="707" w:type="pct"/>
            <w:tcMar>
              <w:top w:w="0" w:type="dxa"/>
              <w:left w:w="108" w:type="dxa"/>
              <w:bottom w:w="0" w:type="dxa"/>
              <w:right w:w="108" w:type="dxa"/>
            </w:tcMar>
            <w:hideMark/>
          </w:tcPr>
          <w:p w14:paraId="5F29F906" w14:textId="77777777" w:rsidR="00CD60C2" w:rsidRPr="00F34274" w:rsidRDefault="00CD60C2" w:rsidP="00957DB2">
            <w:pPr>
              <w:rPr>
                <w:rFonts w:eastAsia="Arial" w:cs="Arial"/>
              </w:rPr>
            </w:pPr>
            <w:r w:rsidRPr="00F34274">
              <w:rPr>
                <w:rFonts w:eastAsia="Arial" w:cs="Arial"/>
              </w:rPr>
              <w:t>1</w:t>
            </w:r>
          </w:p>
        </w:tc>
      </w:tr>
      <w:tr w:rsidR="00CD60C2" w:rsidRPr="00F34274" w14:paraId="24FCE18D" w14:textId="77777777" w:rsidTr="00201E3C">
        <w:tc>
          <w:tcPr>
            <w:tcW w:w="4293" w:type="pct"/>
            <w:tcMar>
              <w:top w:w="0" w:type="dxa"/>
              <w:left w:w="108" w:type="dxa"/>
              <w:bottom w:w="0" w:type="dxa"/>
              <w:right w:w="108" w:type="dxa"/>
            </w:tcMar>
            <w:hideMark/>
          </w:tcPr>
          <w:p w14:paraId="775E1B14" w14:textId="77777777" w:rsidR="00CD60C2" w:rsidRPr="00F34274" w:rsidRDefault="00CD60C2" w:rsidP="00957DB2">
            <w:pPr>
              <w:rPr>
                <w:rFonts w:eastAsia="Arial" w:cs="Arial"/>
              </w:rPr>
            </w:pPr>
            <w:r w:rsidRPr="00F34274">
              <w:rPr>
                <w:rFonts w:eastAsia="Arial" w:cs="Arial"/>
              </w:rPr>
              <w:t>Very likely</w:t>
            </w:r>
          </w:p>
        </w:tc>
        <w:tc>
          <w:tcPr>
            <w:tcW w:w="707" w:type="pct"/>
            <w:tcMar>
              <w:top w:w="0" w:type="dxa"/>
              <w:left w:w="108" w:type="dxa"/>
              <w:bottom w:w="0" w:type="dxa"/>
              <w:right w:w="108" w:type="dxa"/>
            </w:tcMar>
            <w:hideMark/>
          </w:tcPr>
          <w:p w14:paraId="7041BD02" w14:textId="77777777" w:rsidR="00CD60C2" w:rsidRPr="00F34274" w:rsidRDefault="00CD60C2" w:rsidP="00957DB2">
            <w:pPr>
              <w:rPr>
                <w:rFonts w:eastAsia="Arial" w:cs="Arial"/>
              </w:rPr>
            </w:pPr>
            <w:r w:rsidRPr="00F34274">
              <w:rPr>
                <w:rFonts w:eastAsia="Arial" w:cs="Arial"/>
              </w:rPr>
              <w:t>2</w:t>
            </w:r>
          </w:p>
        </w:tc>
      </w:tr>
      <w:tr w:rsidR="00CD60C2" w:rsidRPr="00F34274" w14:paraId="779B2BFC" w14:textId="77777777" w:rsidTr="00201E3C">
        <w:tc>
          <w:tcPr>
            <w:tcW w:w="4293" w:type="pct"/>
            <w:tcMar>
              <w:top w:w="0" w:type="dxa"/>
              <w:left w:w="108" w:type="dxa"/>
              <w:bottom w:w="0" w:type="dxa"/>
              <w:right w:w="108" w:type="dxa"/>
            </w:tcMar>
            <w:hideMark/>
          </w:tcPr>
          <w:p w14:paraId="1465A063" w14:textId="77777777" w:rsidR="00CD60C2" w:rsidRPr="00F34274" w:rsidRDefault="00CD60C2" w:rsidP="00957DB2">
            <w:pPr>
              <w:rPr>
                <w:rFonts w:eastAsia="Arial" w:cs="Arial"/>
              </w:rPr>
            </w:pPr>
            <w:r w:rsidRPr="00F34274">
              <w:rPr>
                <w:rFonts w:eastAsia="Arial" w:cs="Arial"/>
              </w:rPr>
              <w:t>Fairly likely</w:t>
            </w:r>
          </w:p>
        </w:tc>
        <w:tc>
          <w:tcPr>
            <w:tcW w:w="707" w:type="pct"/>
            <w:tcMar>
              <w:top w:w="0" w:type="dxa"/>
              <w:left w:w="108" w:type="dxa"/>
              <w:bottom w:w="0" w:type="dxa"/>
              <w:right w:w="108" w:type="dxa"/>
            </w:tcMar>
            <w:hideMark/>
          </w:tcPr>
          <w:p w14:paraId="19C6B85B" w14:textId="77777777" w:rsidR="00CD60C2" w:rsidRPr="00F34274" w:rsidRDefault="00CD60C2" w:rsidP="00957DB2">
            <w:pPr>
              <w:rPr>
                <w:rFonts w:eastAsia="Arial" w:cs="Arial"/>
              </w:rPr>
            </w:pPr>
            <w:r w:rsidRPr="00F34274">
              <w:rPr>
                <w:rFonts w:eastAsia="Arial" w:cs="Arial"/>
              </w:rPr>
              <w:t>3</w:t>
            </w:r>
          </w:p>
        </w:tc>
      </w:tr>
      <w:tr w:rsidR="00CD60C2" w:rsidRPr="00F34274" w14:paraId="3F588562" w14:textId="77777777" w:rsidTr="00201E3C">
        <w:tc>
          <w:tcPr>
            <w:tcW w:w="4293" w:type="pct"/>
            <w:tcMar>
              <w:top w:w="0" w:type="dxa"/>
              <w:left w:w="108" w:type="dxa"/>
              <w:bottom w:w="0" w:type="dxa"/>
              <w:right w:w="108" w:type="dxa"/>
            </w:tcMar>
            <w:hideMark/>
          </w:tcPr>
          <w:p w14:paraId="16F353D7" w14:textId="77777777" w:rsidR="00CD60C2" w:rsidRPr="00F34274" w:rsidRDefault="00CD60C2" w:rsidP="00957DB2">
            <w:pPr>
              <w:rPr>
                <w:rFonts w:eastAsia="Arial" w:cs="Arial"/>
              </w:rPr>
            </w:pPr>
            <w:r w:rsidRPr="00F34274">
              <w:rPr>
                <w:rFonts w:eastAsia="Arial" w:cs="Arial"/>
              </w:rPr>
              <w:t>Fairly unlikely</w:t>
            </w:r>
          </w:p>
        </w:tc>
        <w:tc>
          <w:tcPr>
            <w:tcW w:w="707" w:type="pct"/>
            <w:tcMar>
              <w:top w:w="0" w:type="dxa"/>
              <w:left w:w="108" w:type="dxa"/>
              <w:bottom w:w="0" w:type="dxa"/>
              <w:right w:w="108" w:type="dxa"/>
            </w:tcMar>
            <w:hideMark/>
          </w:tcPr>
          <w:p w14:paraId="0FE42B29" w14:textId="77777777" w:rsidR="00CD60C2" w:rsidRPr="00F34274" w:rsidRDefault="00CD60C2" w:rsidP="00957DB2">
            <w:pPr>
              <w:rPr>
                <w:rFonts w:eastAsia="Arial" w:cs="Arial"/>
              </w:rPr>
            </w:pPr>
            <w:r w:rsidRPr="00F34274">
              <w:rPr>
                <w:rFonts w:eastAsia="Arial" w:cs="Arial"/>
              </w:rPr>
              <w:t>4</w:t>
            </w:r>
          </w:p>
        </w:tc>
      </w:tr>
      <w:tr w:rsidR="00CD60C2" w:rsidRPr="00F34274" w14:paraId="70355E5F" w14:textId="77777777" w:rsidTr="00201E3C">
        <w:tc>
          <w:tcPr>
            <w:tcW w:w="4293" w:type="pct"/>
            <w:tcMar>
              <w:top w:w="0" w:type="dxa"/>
              <w:left w:w="108" w:type="dxa"/>
              <w:bottom w:w="0" w:type="dxa"/>
              <w:right w:w="108" w:type="dxa"/>
            </w:tcMar>
            <w:hideMark/>
          </w:tcPr>
          <w:p w14:paraId="4201D100" w14:textId="77777777" w:rsidR="00CD60C2" w:rsidRPr="00F34274" w:rsidRDefault="00CD60C2" w:rsidP="00957DB2">
            <w:pPr>
              <w:rPr>
                <w:rFonts w:eastAsia="Arial" w:cs="Arial"/>
              </w:rPr>
            </w:pPr>
            <w:r w:rsidRPr="00F34274">
              <w:rPr>
                <w:rFonts w:eastAsia="Arial" w:cs="Arial"/>
              </w:rPr>
              <w:t>Very unlikely</w:t>
            </w:r>
          </w:p>
        </w:tc>
        <w:tc>
          <w:tcPr>
            <w:tcW w:w="707" w:type="pct"/>
            <w:tcMar>
              <w:top w:w="0" w:type="dxa"/>
              <w:left w:w="108" w:type="dxa"/>
              <w:bottom w:w="0" w:type="dxa"/>
              <w:right w:w="108" w:type="dxa"/>
            </w:tcMar>
            <w:hideMark/>
          </w:tcPr>
          <w:p w14:paraId="5ABBC304" w14:textId="77777777" w:rsidR="00CD60C2" w:rsidRPr="00F34274" w:rsidRDefault="00CD60C2" w:rsidP="00957DB2">
            <w:pPr>
              <w:rPr>
                <w:rFonts w:eastAsia="Arial" w:cs="Arial"/>
              </w:rPr>
            </w:pPr>
            <w:r w:rsidRPr="00F34274">
              <w:rPr>
                <w:rFonts w:eastAsia="Arial" w:cs="Arial"/>
              </w:rPr>
              <w:t>5</w:t>
            </w:r>
          </w:p>
        </w:tc>
      </w:tr>
      <w:tr w:rsidR="00CD60C2" w:rsidRPr="00F34274" w14:paraId="5CFCFD25" w14:textId="77777777" w:rsidTr="00201E3C">
        <w:tc>
          <w:tcPr>
            <w:tcW w:w="4293" w:type="pct"/>
            <w:tcMar>
              <w:top w:w="0" w:type="dxa"/>
              <w:left w:w="108" w:type="dxa"/>
              <w:bottom w:w="0" w:type="dxa"/>
              <w:right w:w="108" w:type="dxa"/>
            </w:tcMar>
            <w:hideMark/>
          </w:tcPr>
          <w:p w14:paraId="4A724E42"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not have been able to access alternative sources of finance</w:t>
            </w:r>
          </w:p>
        </w:tc>
        <w:tc>
          <w:tcPr>
            <w:tcW w:w="707" w:type="pct"/>
            <w:tcMar>
              <w:top w:w="0" w:type="dxa"/>
              <w:left w:w="108" w:type="dxa"/>
              <w:bottom w:w="0" w:type="dxa"/>
              <w:right w:w="108" w:type="dxa"/>
            </w:tcMar>
            <w:hideMark/>
          </w:tcPr>
          <w:p w14:paraId="1E311B9C" w14:textId="77777777" w:rsidR="00CD60C2" w:rsidRPr="00F34274" w:rsidRDefault="00CD60C2" w:rsidP="00957DB2">
            <w:pPr>
              <w:rPr>
                <w:rFonts w:eastAsia="Arial" w:cs="Arial"/>
              </w:rPr>
            </w:pPr>
            <w:r w:rsidRPr="00F34274">
              <w:rPr>
                <w:rFonts w:eastAsia="Arial" w:cs="Arial"/>
              </w:rPr>
              <w:t>6</w:t>
            </w:r>
          </w:p>
        </w:tc>
      </w:tr>
      <w:tr w:rsidR="00CD60C2" w:rsidRPr="00F34274" w14:paraId="315611B4" w14:textId="77777777" w:rsidTr="00201E3C">
        <w:tc>
          <w:tcPr>
            <w:tcW w:w="4293" w:type="pct"/>
            <w:tcMar>
              <w:top w:w="0" w:type="dxa"/>
              <w:left w:w="108" w:type="dxa"/>
              <w:bottom w:w="0" w:type="dxa"/>
              <w:right w:w="108" w:type="dxa"/>
            </w:tcMar>
            <w:hideMark/>
          </w:tcPr>
          <w:p w14:paraId="70886D99" w14:textId="77777777" w:rsidR="00CD60C2" w:rsidRPr="00F34274" w:rsidRDefault="00CD60C2" w:rsidP="00957DB2">
            <w:pPr>
              <w:rPr>
                <w:rFonts w:eastAsia="Arial" w:cs="Arial"/>
              </w:rPr>
            </w:pPr>
            <w:r w:rsidRPr="00F34274">
              <w:rPr>
                <w:rFonts w:eastAsia="Arial" w:cs="Arial"/>
              </w:rPr>
              <w:t>Don’t know</w:t>
            </w:r>
          </w:p>
        </w:tc>
        <w:tc>
          <w:tcPr>
            <w:tcW w:w="707" w:type="pct"/>
            <w:tcMar>
              <w:top w:w="0" w:type="dxa"/>
              <w:left w:w="108" w:type="dxa"/>
              <w:bottom w:w="0" w:type="dxa"/>
              <w:right w:w="108" w:type="dxa"/>
            </w:tcMar>
            <w:hideMark/>
          </w:tcPr>
          <w:p w14:paraId="3CE17BC5" w14:textId="77777777" w:rsidR="00CD60C2" w:rsidRPr="00F34274" w:rsidRDefault="00CD60C2" w:rsidP="00957DB2">
            <w:pPr>
              <w:rPr>
                <w:rFonts w:eastAsia="Arial" w:cs="Arial"/>
              </w:rPr>
            </w:pPr>
            <w:r w:rsidRPr="00F34274">
              <w:rPr>
                <w:rFonts w:eastAsia="Arial" w:cs="Arial"/>
              </w:rPr>
              <w:t>99</w:t>
            </w:r>
          </w:p>
        </w:tc>
      </w:tr>
    </w:tbl>
    <w:p w14:paraId="4DF1F7C3" w14:textId="77777777" w:rsidR="00CD60C2" w:rsidRPr="00F34274" w:rsidRDefault="00CD60C2" w:rsidP="00957DB2">
      <w:pPr>
        <w:rPr>
          <w:rFonts w:eastAsia="Arial" w:cs="Arial"/>
        </w:rPr>
      </w:pPr>
    </w:p>
    <w:p w14:paraId="56BAD7B8" w14:textId="77777777" w:rsidR="00CD60C2" w:rsidRPr="00F34274" w:rsidRDefault="00CD60C2" w:rsidP="00957DB2">
      <w:pPr>
        <w:rPr>
          <w:rFonts w:eastAsia="Arial" w:cs="Arial"/>
        </w:rPr>
      </w:pPr>
      <w:r w:rsidRPr="00F34274">
        <w:rPr>
          <w:rFonts w:eastAsia="Arial" w:cs="Arial"/>
        </w:rPr>
        <w:t>ALL</w:t>
      </w:r>
    </w:p>
    <w:p w14:paraId="58F28C8D" w14:textId="77777777" w:rsidR="00CD60C2" w:rsidRPr="00F34274" w:rsidRDefault="00CD60C2" w:rsidP="00957DB2">
      <w:pPr>
        <w:rPr>
          <w:rFonts w:eastAsia="Arial" w:cs="Arial"/>
          <w:bCs/>
        </w:rPr>
      </w:pPr>
      <w:r w:rsidRPr="00F34274">
        <w:rPr>
          <w:rFonts w:eastAsia="Arial" w:cs="Arial"/>
          <w:bCs/>
        </w:rPr>
        <w:t xml:space="preserve">20. If you had not been able to access funding from your Investor, how likely is it that your business would have permanently closed?  </w:t>
      </w:r>
    </w:p>
    <w:p w14:paraId="6C06EDD6" w14:textId="77777777" w:rsidR="00CD60C2" w:rsidRPr="00F34274" w:rsidRDefault="00CD60C2" w:rsidP="00957DB2">
      <w:pPr>
        <w:rPr>
          <w:rFonts w:eastAsia="Arial" w:cs="Arial"/>
        </w:rPr>
      </w:pPr>
      <w:r w:rsidRPr="00F34274">
        <w:rPr>
          <w:rFonts w:eastAsia="Arial" w:cs="Arial"/>
        </w:rPr>
        <w:t xml:space="preserve">PLEASE CHECK ONE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3"/>
        <w:gridCol w:w="1409"/>
      </w:tblGrid>
      <w:tr w:rsidR="00CD60C2" w:rsidRPr="00F34274" w14:paraId="3728EC4C" w14:textId="77777777" w:rsidTr="00201E3C">
        <w:trPr>
          <w:trHeight w:val="325"/>
        </w:trPr>
        <w:tc>
          <w:tcPr>
            <w:tcW w:w="4293" w:type="pct"/>
            <w:tcMar>
              <w:top w:w="0" w:type="dxa"/>
              <w:left w:w="108" w:type="dxa"/>
              <w:bottom w:w="0" w:type="dxa"/>
              <w:right w:w="108" w:type="dxa"/>
            </w:tcMar>
            <w:hideMark/>
          </w:tcPr>
          <w:p w14:paraId="60DF2B2B"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have closed</w:t>
            </w:r>
          </w:p>
        </w:tc>
        <w:tc>
          <w:tcPr>
            <w:tcW w:w="707" w:type="pct"/>
            <w:tcMar>
              <w:top w:w="0" w:type="dxa"/>
              <w:left w:w="108" w:type="dxa"/>
              <w:bottom w:w="0" w:type="dxa"/>
              <w:right w:w="108" w:type="dxa"/>
            </w:tcMar>
            <w:hideMark/>
          </w:tcPr>
          <w:p w14:paraId="6C87F758" w14:textId="77777777" w:rsidR="00CD60C2" w:rsidRPr="00F34274" w:rsidRDefault="00CD60C2" w:rsidP="00957DB2">
            <w:pPr>
              <w:rPr>
                <w:rFonts w:eastAsia="Arial" w:cs="Arial"/>
              </w:rPr>
            </w:pPr>
            <w:r w:rsidRPr="00F34274">
              <w:rPr>
                <w:rFonts w:eastAsia="Arial" w:cs="Arial"/>
              </w:rPr>
              <w:t>1</w:t>
            </w:r>
          </w:p>
        </w:tc>
      </w:tr>
      <w:tr w:rsidR="00CD60C2" w:rsidRPr="00F34274" w14:paraId="54FDBA48" w14:textId="77777777" w:rsidTr="00201E3C">
        <w:trPr>
          <w:trHeight w:val="334"/>
        </w:trPr>
        <w:tc>
          <w:tcPr>
            <w:tcW w:w="4293" w:type="pct"/>
            <w:tcMar>
              <w:top w:w="0" w:type="dxa"/>
              <w:left w:w="108" w:type="dxa"/>
              <w:bottom w:w="0" w:type="dxa"/>
              <w:right w:w="108" w:type="dxa"/>
            </w:tcMar>
            <w:hideMark/>
          </w:tcPr>
          <w:p w14:paraId="37FDE6DE" w14:textId="77777777" w:rsidR="00CD60C2" w:rsidRPr="00F34274" w:rsidRDefault="00CD60C2" w:rsidP="00957DB2">
            <w:pPr>
              <w:rPr>
                <w:rFonts w:eastAsia="Arial" w:cs="Arial"/>
              </w:rPr>
            </w:pPr>
            <w:r w:rsidRPr="00F34274">
              <w:rPr>
                <w:rFonts w:eastAsia="Arial" w:cs="Arial"/>
              </w:rPr>
              <w:lastRenderedPageBreak/>
              <w:t>Very likely</w:t>
            </w:r>
          </w:p>
        </w:tc>
        <w:tc>
          <w:tcPr>
            <w:tcW w:w="707" w:type="pct"/>
            <w:tcMar>
              <w:top w:w="0" w:type="dxa"/>
              <w:left w:w="108" w:type="dxa"/>
              <w:bottom w:w="0" w:type="dxa"/>
              <w:right w:w="108" w:type="dxa"/>
            </w:tcMar>
            <w:hideMark/>
          </w:tcPr>
          <w:p w14:paraId="228EA286" w14:textId="77777777" w:rsidR="00CD60C2" w:rsidRPr="00F34274" w:rsidRDefault="00CD60C2" w:rsidP="00957DB2">
            <w:pPr>
              <w:rPr>
                <w:rFonts w:eastAsia="Arial" w:cs="Arial"/>
              </w:rPr>
            </w:pPr>
            <w:r w:rsidRPr="00F34274">
              <w:rPr>
                <w:rFonts w:eastAsia="Arial" w:cs="Arial"/>
              </w:rPr>
              <w:t>2</w:t>
            </w:r>
          </w:p>
        </w:tc>
      </w:tr>
      <w:tr w:rsidR="00CD60C2" w:rsidRPr="00F34274" w14:paraId="52C587AC" w14:textId="77777777" w:rsidTr="00201E3C">
        <w:trPr>
          <w:trHeight w:val="325"/>
        </w:trPr>
        <w:tc>
          <w:tcPr>
            <w:tcW w:w="4293" w:type="pct"/>
            <w:tcMar>
              <w:top w:w="0" w:type="dxa"/>
              <w:left w:w="108" w:type="dxa"/>
              <w:bottom w:w="0" w:type="dxa"/>
              <w:right w:w="108" w:type="dxa"/>
            </w:tcMar>
            <w:hideMark/>
          </w:tcPr>
          <w:p w14:paraId="24E04090" w14:textId="77777777" w:rsidR="00CD60C2" w:rsidRPr="00F34274" w:rsidRDefault="00CD60C2" w:rsidP="00957DB2">
            <w:pPr>
              <w:rPr>
                <w:rFonts w:eastAsia="Arial" w:cs="Arial"/>
              </w:rPr>
            </w:pPr>
            <w:r w:rsidRPr="00F34274">
              <w:rPr>
                <w:rFonts w:eastAsia="Arial" w:cs="Arial"/>
              </w:rPr>
              <w:t>Fairly likely</w:t>
            </w:r>
          </w:p>
        </w:tc>
        <w:tc>
          <w:tcPr>
            <w:tcW w:w="707" w:type="pct"/>
            <w:tcMar>
              <w:top w:w="0" w:type="dxa"/>
              <w:left w:w="108" w:type="dxa"/>
              <w:bottom w:w="0" w:type="dxa"/>
              <w:right w:w="108" w:type="dxa"/>
            </w:tcMar>
            <w:hideMark/>
          </w:tcPr>
          <w:p w14:paraId="4A199713" w14:textId="77777777" w:rsidR="00CD60C2" w:rsidRPr="00F34274" w:rsidRDefault="00CD60C2" w:rsidP="00957DB2">
            <w:pPr>
              <w:rPr>
                <w:rFonts w:eastAsia="Arial" w:cs="Arial"/>
              </w:rPr>
            </w:pPr>
            <w:r w:rsidRPr="00F34274">
              <w:rPr>
                <w:rFonts w:eastAsia="Arial" w:cs="Arial"/>
              </w:rPr>
              <w:t>3</w:t>
            </w:r>
          </w:p>
        </w:tc>
      </w:tr>
      <w:tr w:rsidR="00CD60C2" w:rsidRPr="00F34274" w14:paraId="7B3A0FE2" w14:textId="77777777" w:rsidTr="00201E3C">
        <w:trPr>
          <w:trHeight w:val="325"/>
        </w:trPr>
        <w:tc>
          <w:tcPr>
            <w:tcW w:w="4293" w:type="pct"/>
            <w:tcMar>
              <w:top w:w="0" w:type="dxa"/>
              <w:left w:w="108" w:type="dxa"/>
              <w:bottom w:w="0" w:type="dxa"/>
              <w:right w:w="108" w:type="dxa"/>
            </w:tcMar>
            <w:hideMark/>
          </w:tcPr>
          <w:p w14:paraId="7EF2AE2B" w14:textId="77777777" w:rsidR="00CD60C2" w:rsidRPr="00F34274" w:rsidRDefault="00CD60C2" w:rsidP="00957DB2">
            <w:pPr>
              <w:rPr>
                <w:rFonts w:eastAsia="Arial" w:cs="Arial"/>
              </w:rPr>
            </w:pPr>
            <w:r w:rsidRPr="00F34274">
              <w:rPr>
                <w:rFonts w:eastAsia="Arial" w:cs="Arial"/>
              </w:rPr>
              <w:t>Fairly unlikely</w:t>
            </w:r>
          </w:p>
        </w:tc>
        <w:tc>
          <w:tcPr>
            <w:tcW w:w="707" w:type="pct"/>
            <w:tcMar>
              <w:top w:w="0" w:type="dxa"/>
              <w:left w:w="108" w:type="dxa"/>
              <w:bottom w:w="0" w:type="dxa"/>
              <w:right w:w="108" w:type="dxa"/>
            </w:tcMar>
            <w:hideMark/>
          </w:tcPr>
          <w:p w14:paraId="3F109BE9" w14:textId="77777777" w:rsidR="00CD60C2" w:rsidRPr="00F34274" w:rsidRDefault="00CD60C2" w:rsidP="00957DB2">
            <w:pPr>
              <w:rPr>
                <w:rFonts w:eastAsia="Arial" w:cs="Arial"/>
              </w:rPr>
            </w:pPr>
            <w:r w:rsidRPr="00F34274">
              <w:rPr>
                <w:rFonts w:eastAsia="Arial" w:cs="Arial"/>
              </w:rPr>
              <w:t>4</w:t>
            </w:r>
          </w:p>
        </w:tc>
      </w:tr>
      <w:tr w:rsidR="00CD60C2" w:rsidRPr="00F34274" w14:paraId="5E73331B" w14:textId="77777777" w:rsidTr="00201E3C">
        <w:trPr>
          <w:trHeight w:val="325"/>
        </w:trPr>
        <w:tc>
          <w:tcPr>
            <w:tcW w:w="4293" w:type="pct"/>
            <w:tcMar>
              <w:top w:w="0" w:type="dxa"/>
              <w:left w:w="108" w:type="dxa"/>
              <w:bottom w:w="0" w:type="dxa"/>
              <w:right w:w="108" w:type="dxa"/>
            </w:tcMar>
            <w:hideMark/>
          </w:tcPr>
          <w:p w14:paraId="7D8053EC" w14:textId="77777777" w:rsidR="00CD60C2" w:rsidRPr="00F34274" w:rsidRDefault="00CD60C2" w:rsidP="00957DB2">
            <w:pPr>
              <w:rPr>
                <w:rFonts w:eastAsia="Arial" w:cs="Arial"/>
              </w:rPr>
            </w:pPr>
            <w:r w:rsidRPr="00F34274">
              <w:rPr>
                <w:rFonts w:eastAsia="Arial" w:cs="Arial"/>
              </w:rPr>
              <w:t>Very unlikely</w:t>
            </w:r>
          </w:p>
        </w:tc>
        <w:tc>
          <w:tcPr>
            <w:tcW w:w="707" w:type="pct"/>
            <w:tcMar>
              <w:top w:w="0" w:type="dxa"/>
              <w:left w:w="108" w:type="dxa"/>
              <w:bottom w:w="0" w:type="dxa"/>
              <w:right w:w="108" w:type="dxa"/>
            </w:tcMar>
            <w:hideMark/>
          </w:tcPr>
          <w:p w14:paraId="3F208AA2" w14:textId="77777777" w:rsidR="00CD60C2" w:rsidRPr="00F34274" w:rsidRDefault="00CD60C2" w:rsidP="00957DB2">
            <w:pPr>
              <w:rPr>
                <w:rFonts w:eastAsia="Arial" w:cs="Arial"/>
              </w:rPr>
            </w:pPr>
            <w:r w:rsidRPr="00F34274">
              <w:rPr>
                <w:rFonts w:eastAsia="Arial" w:cs="Arial"/>
              </w:rPr>
              <w:t>5</w:t>
            </w:r>
          </w:p>
        </w:tc>
      </w:tr>
      <w:tr w:rsidR="00CD60C2" w:rsidRPr="00F34274" w14:paraId="5069A6E2" w14:textId="77777777" w:rsidTr="00201E3C">
        <w:trPr>
          <w:trHeight w:val="334"/>
        </w:trPr>
        <w:tc>
          <w:tcPr>
            <w:tcW w:w="4293" w:type="pct"/>
            <w:tcMar>
              <w:top w:w="0" w:type="dxa"/>
              <w:left w:w="108" w:type="dxa"/>
              <w:bottom w:w="0" w:type="dxa"/>
              <w:right w:w="108" w:type="dxa"/>
            </w:tcMar>
            <w:hideMark/>
          </w:tcPr>
          <w:p w14:paraId="047C6CE0"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not have closed</w:t>
            </w:r>
          </w:p>
        </w:tc>
        <w:tc>
          <w:tcPr>
            <w:tcW w:w="707" w:type="pct"/>
            <w:tcMar>
              <w:top w:w="0" w:type="dxa"/>
              <w:left w:w="108" w:type="dxa"/>
              <w:bottom w:w="0" w:type="dxa"/>
              <w:right w:w="108" w:type="dxa"/>
            </w:tcMar>
            <w:hideMark/>
          </w:tcPr>
          <w:p w14:paraId="34698D97" w14:textId="77777777" w:rsidR="00CD60C2" w:rsidRPr="00F34274" w:rsidRDefault="00CD60C2" w:rsidP="00957DB2">
            <w:pPr>
              <w:rPr>
                <w:rFonts w:eastAsia="Arial" w:cs="Arial"/>
              </w:rPr>
            </w:pPr>
            <w:r w:rsidRPr="00F34274">
              <w:rPr>
                <w:rFonts w:eastAsia="Arial" w:cs="Arial"/>
              </w:rPr>
              <w:t>6</w:t>
            </w:r>
          </w:p>
        </w:tc>
      </w:tr>
      <w:tr w:rsidR="00CD60C2" w:rsidRPr="00F34274" w14:paraId="3C5D3B68" w14:textId="77777777" w:rsidTr="00201E3C">
        <w:trPr>
          <w:trHeight w:val="325"/>
        </w:trPr>
        <w:tc>
          <w:tcPr>
            <w:tcW w:w="4293" w:type="pct"/>
            <w:tcMar>
              <w:top w:w="0" w:type="dxa"/>
              <w:left w:w="108" w:type="dxa"/>
              <w:bottom w:w="0" w:type="dxa"/>
              <w:right w:w="108" w:type="dxa"/>
            </w:tcMar>
            <w:hideMark/>
          </w:tcPr>
          <w:p w14:paraId="0033FB74" w14:textId="77777777" w:rsidR="00CD60C2" w:rsidRPr="00F34274" w:rsidRDefault="00CD60C2" w:rsidP="00957DB2">
            <w:pPr>
              <w:rPr>
                <w:rFonts w:eastAsia="Arial" w:cs="Arial"/>
              </w:rPr>
            </w:pPr>
            <w:r w:rsidRPr="00F34274">
              <w:rPr>
                <w:rFonts w:eastAsia="Arial" w:cs="Arial"/>
              </w:rPr>
              <w:t>Don’t know</w:t>
            </w:r>
          </w:p>
        </w:tc>
        <w:tc>
          <w:tcPr>
            <w:tcW w:w="707" w:type="pct"/>
            <w:tcMar>
              <w:top w:w="0" w:type="dxa"/>
              <w:left w:w="108" w:type="dxa"/>
              <w:bottom w:w="0" w:type="dxa"/>
              <w:right w:w="108" w:type="dxa"/>
            </w:tcMar>
            <w:hideMark/>
          </w:tcPr>
          <w:p w14:paraId="65425254" w14:textId="77777777" w:rsidR="00CD60C2" w:rsidRPr="00F34274" w:rsidRDefault="00CD60C2" w:rsidP="00957DB2">
            <w:pPr>
              <w:rPr>
                <w:rFonts w:eastAsia="Arial" w:cs="Arial"/>
              </w:rPr>
            </w:pPr>
            <w:r w:rsidRPr="00F34274">
              <w:rPr>
                <w:rFonts w:eastAsia="Arial" w:cs="Arial"/>
              </w:rPr>
              <w:t>99</w:t>
            </w:r>
          </w:p>
        </w:tc>
      </w:tr>
    </w:tbl>
    <w:p w14:paraId="5FBCD34E" w14:textId="77777777" w:rsidR="00CD60C2" w:rsidRPr="00F34274" w:rsidRDefault="00CD60C2" w:rsidP="00957DB2">
      <w:pPr>
        <w:rPr>
          <w:rFonts w:eastAsia="Arial" w:cs="Arial"/>
        </w:rPr>
      </w:pPr>
    </w:p>
    <w:p w14:paraId="6A033EF6" w14:textId="77777777" w:rsidR="00CD60C2" w:rsidRPr="00F34274" w:rsidRDefault="00CD60C2" w:rsidP="00957DB2">
      <w:pPr>
        <w:rPr>
          <w:rFonts w:eastAsia="Arial" w:cs="Arial"/>
        </w:rPr>
      </w:pPr>
      <w:r w:rsidRPr="00F34274">
        <w:rPr>
          <w:rFonts w:eastAsia="Arial" w:cs="Arial"/>
        </w:rPr>
        <w:t>ALL</w:t>
      </w:r>
    </w:p>
    <w:p w14:paraId="1993453A" w14:textId="77777777" w:rsidR="00CD60C2" w:rsidRPr="00F34274" w:rsidRDefault="00CD60C2" w:rsidP="00957DB2">
      <w:pPr>
        <w:rPr>
          <w:rFonts w:eastAsia="Arial" w:cs="Arial"/>
          <w:bCs/>
        </w:rPr>
      </w:pPr>
      <w:r w:rsidRPr="00F34274">
        <w:rPr>
          <w:rFonts w:eastAsia="Arial" w:cs="Arial"/>
          <w:bCs/>
        </w:rPr>
        <w:t xml:space="preserve">21. Do you think your business would have achieved the same level of short to medium term growth without the funding received from your Investor? </w:t>
      </w:r>
    </w:p>
    <w:p w14:paraId="41D37E17" w14:textId="77777777" w:rsidR="00CD60C2" w:rsidRPr="00F34274" w:rsidRDefault="00CD60C2" w:rsidP="00957DB2">
      <w:pPr>
        <w:rPr>
          <w:rFonts w:eastAsia="Arial" w:cs="Arial"/>
        </w:rPr>
      </w:pPr>
      <w:r w:rsidRPr="00F34274">
        <w:rPr>
          <w:rFonts w:eastAsia="Arial" w:cs="Arial"/>
        </w:rPr>
        <w:t xml:space="preserve">PLEASE CHECK ONE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3"/>
        <w:gridCol w:w="1409"/>
      </w:tblGrid>
      <w:tr w:rsidR="00CD60C2" w:rsidRPr="00F34274" w14:paraId="3D839E73" w14:textId="77777777" w:rsidTr="00201E3C">
        <w:tc>
          <w:tcPr>
            <w:tcW w:w="4293" w:type="pct"/>
            <w:tcMar>
              <w:top w:w="0" w:type="dxa"/>
              <w:left w:w="108" w:type="dxa"/>
              <w:bottom w:w="0" w:type="dxa"/>
              <w:right w:w="108" w:type="dxa"/>
            </w:tcMar>
            <w:hideMark/>
          </w:tcPr>
          <w:p w14:paraId="6998FEC9"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have achieved the same level of growth</w:t>
            </w:r>
          </w:p>
        </w:tc>
        <w:tc>
          <w:tcPr>
            <w:tcW w:w="707" w:type="pct"/>
            <w:tcMar>
              <w:top w:w="0" w:type="dxa"/>
              <w:left w:w="108" w:type="dxa"/>
              <w:bottom w:w="0" w:type="dxa"/>
              <w:right w:w="108" w:type="dxa"/>
            </w:tcMar>
            <w:hideMark/>
          </w:tcPr>
          <w:p w14:paraId="2D735B55" w14:textId="77777777" w:rsidR="00CD60C2" w:rsidRPr="00F34274" w:rsidRDefault="00CD60C2" w:rsidP="00957DB2">
            <w:pPr>
              <w:rPr>
                <w:rFonts w:eastAsia="Arial" w:cs="Arial"/>
              </w:rPr>
            </w:pPr>
            <w:r w:rsidRPr="00F34274">
              <w:rPr>
                <w:rFonts w:eastAsia="Arial" w:cs="Arial"/>
              </w:rPr>
              <w:t>1</w:t>
            </w:r>
          </w:p>
        </w:tc>
      </w:tr>
      <w:tr w:rsidR="00CD60C2" w:rsidRPr="00F34274" w14:paraId="59F4D486" w14:textId="77777777" w:rsidTr="00201E3C">
        <w:tc>
          <w:tcPr>
            <w:tcW w:w="4293" w:type="pct"/>
            <w:tcMar>
              <w:top w:w="0" w:type="dxa"/>
              <w:left w:w="108" w:type="dxa"/>
              <w:bottom w:w="0" w:type="dxa"/>
              <w:right w:w="108" w:type="dxa"/>
            </w:tcMar>
            <w:hideMark/>
          </w:tcPr>
          <w:p w14:paraId="7D62820F" w14:textId="77777777" w:rsidR="00CD60C2" w:rsidRPr="00F34274" w:rsidRDefault="00CD60C2" w:rsidP="00957DB2">
            <w:pPr>
              <w:rPr>
                <w:rFonts w:eastAsia="Arial" w:cs="Arial"/>
              </w:rPr>
            </w:pPr>
            <w:r w:rsidRPr="00F34274">
              <w:rPr>
                <w:rFonts w:eastAsia="Arial" w:cs="Arial"/>
              </w:rPr>
              <w:t>Very likely</w:t>
            </w:r>
          </w:p>
        </w:tc>
        <w:tc>
          <w:tcPr>
            <w:tcW w:w="707" w:type="pct"/>
            <w:tcMar>
              <w:top w:w="0" w:type="dxa"/>
              <w:left w:w="108" w:type="dxa"/>
              <w:bottom w:w="0" w:type="dxa"/>
              <w:right w:w="108" w:type="dxa"/>
            </w:tcMar>
            <w:hideMark/>
          </w:tcPr>
          <w:p w14:paraId="472462F3" w14:textId="77777777" w:rsidR="00CD60C2" w:rsidRPr="00F34274" w:rsidRDefault="00CD60C2" w:rsidP="00957DB2">
            <w:pPr>
              <w:rPr>
                <w:rFonts w:eastAsia="Arial" w:cs="Arial"/>
              </w:rPr>
            </w:pPr>
            <w:r w:rsidRPr="00F34274">
              <w:rPr>
                <w:rFonts w:eastAsia="Arial" w:cs="Arial"/>
              </w:rPr>
              <w:t>2</w:t>
            </w:r>
          </w:p>
        </w:tc>
      </w:tr>
      <w:tr w:rsidR="00CD60C2" w:rsidRPr="00F34274" w14:paraId="3A0EE83C" w14:textId="77777777" w:rsidTr="00201E3C">
        <w:tc>
          <w:tcPr>
            <w:tcW w:w="4293" w:type="pct"/>
            <w:tcMar>
              <w:top w:w="0" w:type="dxa"/>
              <w:left w:w="108" w:type="dxa"/>
              <w:bottom w:w="0" w:type="dxa"/>
              <w:right w:w="108" w:type="dxa"/>
            </w:tcMar>
            <w:hideMark/>
          </w:tcPr>
          <w:p w14:paraId="208A0720" w14:textId="77777777" w:rsidR="00CD60C2" w:rsidRPr="00F34274" w:rsidRDefault="00CD60C2" w:rsidP="00957DB2">
            <w:pPr>
              <w:rPr>
                <w:rFonts w:eastAsia="Arial" w:cs="Arial"/>
              </w:rPr>
            </w:pPr>
            <w:r w:rsidRPr="00F34274">
              <w:rPr>
                <w:rFonts w:eastAsia="Arial" w:cs="Arial"/>
              </w:rPr>
              <w:t>Fairly likely</w:t>
            </w:r>
          </w:p>
        </w:tc>
        <w:tc>
          <w:tcPr>
            <w:tcW w:w="707" w:type="pct"/>
            <w:tcMar>
              <w:top w:w="0" w:type="dxa"/>
              <w:left w:w="108" w:type="dxa"/>
              <w:bottom w:w="0" w:type="dxa"/>
              <w:right w:w="108" w:type="dxa"/>
            </w:tcMar>
            <w:hideMark/>
          </w:tcPr>
          <w:p w14:paraId="6A40266C" w14:textId="77777777" w:rsidR="00CD60C2" w:rsidRPr="00F34274" w:rsidRDefault="00CD60C2" w:rsidP="00957DB2">
            <w:pPr>
              <w:rPr>
                <w:rFonts w:eastAsia="Arial" w:cs="Arial"/>
              </w:rPr>
            </w:pPr>
            <w:r w:rsidRPr="00F34274">
              <w:rPr>
                <w:rFonts w:eastAsia="Arial" w:cs="Arial"/>
              </w:rPr>
              <w:t>3</w:t>
            </w:r>
          </w:p>
        </w:tc>
      </w:tr>
      <w:tr w:rsidR="00CD60C2" w:rsidRPr="00F34274" w14:paraId="2C6B0568" w14:textId="77777777" w:rsidTr="00201E3C">
        <w:tc>
          <w:tcPr>
            <w:tcW w:w="4293" w:type="pct"/>
            <w:tcMar>
              <w:top w:w="0" w:type="dxa"/>
              <w:left w:w="108" w:type="dxa"/>
              <w:bottom w:w="0" w:type="dxa"/>
              <w:right w:w="108" w:type="dxa"/>
            </w:tcMar>
            <w:hideMark/>
          </w:tcPr>
          <w:p w14:paraId="68F007F5" w14:textId="77777777" w:rsidR="00CD60C2" w:rsidRPr="00F34274" w:rsidRDefault="00CD60C2" w:rsidP="00957DB2">
            <w:pPr>
              <w:rPr>
                <w:rFonts w:eastAsia="Arial" w:cs="Arial"/>
              </w:rPr>
            </w:pPr>
            <w:r w:rsidRPr="00F34274">
              <w:rPr>
                <w:rFonts w:eastAsia="Arial" w:cs="Arial"/>
              </w:rPr>
              <w:t>Fairly unlikely</w:t>
            </w:r>
          </w:p>
        </w:tc>
        <w:tc>
          <w:tcPr>
            <w:tcW w:w="707" w:type="pct"/>
            <w:tcMar>
              <w:top w:w="0" w:type="dxa"/>
              <w:left w:w="108" w:type="dxa"/>
              <w:bottom w:w="0" w:type="dxa"/>
              <w:right w:w="108" w:type="dxa"/>
            </w:tcMar>
            <w:hideMark/>
          </w:tcPr>
          <w:p w14:paraId="5B6E2AC1" w14:textId="77777777" w:rsidR="00CD60C2" w:rsidRPr="00F34274" w:rsidRDefault="00CD60C2" w:rsidP="00957DB2">
            <w:pPr>
              <w:rPr>
                <w:rFonts w:eastAsia="Arial" w:cs="Arial"/>
              </w:rPr>
            </w:pPr>
            <w:r w:rsidRPr="00F34274">
              <w:rPr>
                <w:rFonts w:eastAsia="Arial" w:cs="Arial"/>
              </w:rPr>
              <w:t>4</w:t>
            </w:r>
          </w:p>
        </w:tc>
      </w:tr>
      <w:tr w:rsidR="00CD60C2" w:rsidRPr="00F34274" w14:paraId="60745C78" w14:textId="77777777" w:rsidTr="00201E3C">
        <w:tc>
          <w:tcPr>
            <w:tcW w:w="4293" w:type="pct"/>
            <w:tcMar>
              <w:top w:w="0" w:type="dxa"/>
              <w:left w:w="108" w:type="dxa"/>
              <w:bottom w:w="0" w:type="dxa"/>
              <w:right w:w="108" w:type="dxa"/>
            </w:tcMar>
            <w:hideMark/>
          </w:tcPr>
          <w:p w14:paraId="20BB31B6" w14:textId="77777777" w:rsidR="00CD60C2" w:rsidRPr="00F34274" w:rsidRDefault="00CD60C2" w:rsidP="00957DB2">
            <w:pPr>
              <w:rPr>
                <w:rFonts w:eastAsia="Arial" w:cs="Arial"/>
              </w:rPr>
            </w:pPr>
            <w:r w:rsidRPr="00F34274">
              <w:rPr>
                <w:rFonts w:eastAsia="Arial" w:cs="Arial"/>
              </w:rPr>
              <w:t>Very unlikely</w:t>
            </w:r>
          </w:p>
        </w:tc>
        <w:tc>
          <w:tcPr>
            <w:tcW w:w="707" w:type="pct"/>
            <w:tcMar>
              <w:top w:w="0" w:type="dxa"/>
              <w:left w:w="108" w:type="dxa"/>
              <w:bottom w:w="0" w:type="dxa"/>
              <w:right w:w="108" w:type="dxa"/>
            </w:tcMar>
            <w:hideMark/>
          </w:tcPr>
          <w:p w14:paraId="486EDF2B" w14:textId="77777777" w:rsidR="00CD60C2" w:rsidRPr="00F34274" w:rsidRDefault="00CD60C2" w:rsidP="00957DB2">
            <w:pPr>
              <w:rPr>
                <w:rFonts w:eastAsia="Arial" w:cs="Arial"/>
              </w:rPr>
            </w:pPr>
            <w:r w:rsidRPr="00F34274">
              <w:rPr>
                <w:rFonts w:eastAsia="Arial" w:cs="Arial"/>
              </w:rPr>
              <w:t>5</w:t>
            </w:r>
          </w:p>
        </w:tc>
      </w:tr>
      <w:tr w:rsidR="00CD60C2" w:rsidRPr="00F34274" w14:paraId="31BF89D3" w14:textId="77777777" w:rsidTr="00201E3C">
        <w:tc>
          <w:tcPr>
            <w:tcW w:w="4293" w:type="pct"/>
            <w:tcMar>
              <w:top w:w="0" w:type="dxa"/>
              <w:left w:w="108" w:type="dxa"/>
              <w:bottom w:w="0" w:type="dxa"/>
              <w:right w:w="108" w:type="dxa"/>
            </w:tcMar>
            <w:hideMark/>
          </w:tcPr>
          <w:p w14:paraId="6B0C5E5A"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not have achieved the same level of growth</w:t>
            </w:r>
          </w:p>
        </w:tc>
        <w:tc>
          <w:tcPr>
            <w:tcW w:w="707" w:type="pct"/>
            <w:tcMar>
              <w:top w:w="0" w:type="dxa"/>
              <w:left w:w="108" w:type="dxa"/>
              <w:bottom w:w="0" w:type="dxa"/>
              <w:right w:w="108" w:type="dxa"/>
            </w:tcMar>
            <w:hideMark/>
          </w:tcPr>
          <w:p w14:paraId="548C9F13" w14:textId="77777777" w:rsidR="00CD60C2" w:rsidRPr="00F34274" w:rsidRDefault="00CD60C2" w:rsidP="00957DB2">
            <w:pPr>
              <w:rPr>
                <w:rFonts w:eastAsia="Arial" w:cs="Arial"/>
              </w:rPr>
            </w:pPr>
            <w:r w:rsidRPr="00F34274">
              <w:rPr>
                <w:rFonts w:eastAsia="Arial" w:cs="Arial"/>
              </w:rPr>
              <w:t>6</w:t>
            </w:r>
          </w:p>
        </w:tc>
      </w:tr>
      <w:tr w:rsidR="00CD60C2" w:rsidRPr="00F34274" w14:paraId="4A64EEA7" w14:textId="77777777" w:rsidTr="00201E3C">
        <w:tc>
          <w:tcPr>
            <w:tcW w:w="4293" w:type="pct"/>
            <w:tcMar>
              <w:top w:w="0" w:type="dxa"/>
              <w:left w:w="108" w:type="dxa"/>
              <w:bottom w:w="0" w:type="dxa"/>
              <w:right w:w="108" w:type="dxa"/>
            </w:tcMar>
            <w:hideMark/>
          </w:tcPr>
          <w:p w14:paraId="1C17290A" w14:textId="77777777" w:rsidR="00CD60C2" w:rsidRPr="00F34274" w:rsidRDefault="00CD60C2" w:rsidP="00957DB2">
            <w:pPr>
              <w:rPr>
                <w:rFonts w:eastAsia="Arial" w:cs="Arial"/>
              </w:rPr>
            </w:pPr>
            <w:r w:rsidRPr="00F34274">
              <w:rPr>
                <w:rFonts w:eastAsia="Arial" w:cs="Arial"/>
              </w:rPr>
              <w:t>Don’t know</w:t>
            </w:r>
          </w:p>
        </w:tc>
        <w:tc>
          <w:tcPr>
            <w:tcW w:w="707" w:type="pct"/>
            <w:tcMar>
              <w:top w:w="0" w:type="dxa"/>
              <w:left w:w="108" w:type="dxa"/>
              <w:bottom w:w="0" w:type="dxa"/>
              <w:right w:w="108" w:type="dxa"/>
            </w:tcMar>
            <w:hideMark/>
          </w:tcPr>
          <w:p w14:paraId="3F8E1FC0" w14:textId="77777777" w:rsidR="00CD60C2" w:rsidRPr="00F34274" w:rsidRDefault="00CD60C2" w:rsidP="00957DB2">
            <w:pPr>
              <w:rPr>
                <w:rFonts w:eastAsia="Arial" w:cs="Arial"/>
              </w:rPr>
            </w:pPr>
            <w:r w:rsidRPr="00F34274">
              <w:rPr>
                <w:rFonts w:eastAsia="Arial" w:cs="Arial"/>
              </w:rPr>
              <w:t>99</w:t>
            </w:r>
          </w:p>
        </w:tc>
      </w:tr>
    </w:tbl>
    <w:p w14:paraId="1D2457B5" w14:textId="77777777" w:rsidR="00CD60C2" w:rsidRPr="00F34274" w:rsidRDefault="00CD60C2" w:rsidP="00957DB2">
      <w:pPr>
        <w:rPr>
          <w:rFonts w:eastAsia="Arial" w:cs="Arial"/>
        </w:rPr>
      </w:pPr>
      <w:r w:rsidRPr="00F34274">
        <w:rPr>
          <w:rFonts w:eastAsia="Arial" w:cs="Arial"/>
        </w:rPr>
        <w:t>ALL</w:t>
      </w:r>
    </w:p>
    <w:p w14:paraId="164588D5" w14:textId="77777777" w:rsidR="00CD60C2" w:rsidRPr="00F34274" w:rsidRDefault="00CD60C2" w:rsidP="00957DB2">
      <w:pPr>
        <w:rPr>
          <w:rFonts w:eastAsia="Arial" w:cs="Arial"/>
          <w:bCs/>
        </w:rPr>
      </w:pPr>
      <w:r w:rsidRPr="00F34274">
        <w:rPr>
          <w:rFonts w:eastAsia="Arial" w:cs="Arial"/>
          <w:bCs/>
        </w:rPr>
        <w:t xml:space="preserve">22. Do you think your business would have achieved / will achieve the same level of longer-term growth without the funding received from your Investor? </w:t>
      </w:r>
    </w:p>
    <w:p w14:paraId="049F1133" w14:textId="77777777" w:rsidR="00CD60C2" w:rsidRPr="00F34274" w:rsidRDefault="00CD60C2" w:rsidP="00957DB2">
      <w:pPr>
        <w:rPr>
          <w:rFonts w:eastAsia="Arial" w:cs="Arial"/>
        </w:rPr>
      </w:pPr>
      <w:r w:rsidRPr="00F34274">
        <w:rPr>
          <w:rFonts w:eastAsia="Arial" w:cs="Arial"/>
        </w:rPr>
        <w:t xml:space="preserve">PLEASE CHECK ONE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3"/>
        <w:gridCol w:w="1409"/>
      </w:tblGrid>
      <w:tr w:rsidR="00CD60C2" w:rsidRPr="00F34274" w14:paraId="5C47B1DC" w14:textId="77777777" w:rsidTr="00201E3C">
        <w:tc>
          <w:tcPr>
            <w:tcW w:w="4293" w:type="pct"/>
            <w:tcMar>
              <w:top w:w="0" w:type="dxa"/>
              <w:left w:w="108" w:type="dxa"/>
              <w:bottom w:w="0" w:type="dxa"/>
              <w:right w:w="108" w:type="dxa"/>
            </w:tcMar>
            <w:hideMark/>
          </w:tcPr>
          <w:p w14:paraId="65637F62"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have achieved / will achieve the same level of growth</w:t>
            </w:r>
          </w:p>
        </w:tc>
        <w:tc>
          <w:tcPr>
            <w:tcW w:w="707" w:type="pct"/>
            <w:tcMar>
              <w:top w:w="0" w:type="dxa"/>
              <w:left w:w="108" w:type="dxa"/>
              <w:bottom w:w="0" w:type="dxa"/>
              <w:right w:w="108" w:type="dxa"/>
            </w:tcMar>
            <w:hideMark/>
          </w:tcPr>
          <w:p w14:paraId="351AB2BC" w14:textId="77777777" w:rsidR="00CD60C2" w:rsidRPr="00F34274" w:rsidRDefault="00CD60C2" w:rsidP="00957DB2">
            <w:pPr>
              <w:rPr>
                <w:rFonts w:eastAsia="Arial" w:cs="Arial"/>
              </w:rPr>
            </w:pPr>
            <w:r w:rsidRPr="00F34274">
              <w:rPr>
                <w:rFonts w:eastAsia="Arial" w:cs="Arial"/>
              </w:rPr>
              <w:t>1</w:t>
            </w:r>
          </w:p>
        </w:tc>
      </w:tr>
      <w:tr w:rsidR="00CD60C2" w:rsidRPr="00F34274" w14:paraId="41E338F3" w14:textId="77777777" w:rsidTr="00201E3C">
        <w:tc>
          <w:tcPr>
            <w:tcW w:w="4293" w:type="pct"/>
            <w:tcMar>
              <w:top w:w="0" w:type="dxa"/>
              <w:left w:w="108" w:type="dxa"/>
              <w:bottom w:w="0" w:type="dxa"/>
              <w:right w:w="108" w:type="dxa"/>
            </w:tcMar>
            <w:hideMark/>
          </w:tcPr>
          <w:p w14:paraId="457F1D6A" w14:textId="77777777" w:rsidR="00CD60C2" w:rsidRPr="00F34274" w:rsidRDefault="00CD60C2" w:rsidP="00957DB2">
            <w:pPr>
              <w:rPr>
                <w:rFonts w:eastAsia="Arial" w:cs="Arial"/>
              </w:rPr>
            </w:pPr>
            <w:r w:rsidRPr="00F34274">
              <w:rPr>
                <w:rFonts w:eastAsia="Arial" w:cs="Arial"/>
              </w:rPr>
              <w:lastRenderedPageBreak/>
              <w:t>Very likely</w:t>
            </w:r>
          </w:p>
        </w:tc>
        <w:tc>
          <w:tcPr>
            <w:tcW w:w="707" w:type="pct"/>
            <w:tcMar>
              <w:top w:w="0" w:type="dxa"/>
              <w:left w:w="108" w:type="dxa"/>
              <w:bottom w:w="0" w:type="dxa"/>
              <w:right w:w="108" w:type="dxa"/>
            </w:tcMar>
            <w:hideMark/>
          </w:tcPr>
          <w:p w14:paraId="389832D7" w14:textId="77777777" w:rsidR="00CD60C2" w:rsidRPr="00F34274" w:rsidRDefault="00CD60C2" w:rsidP="00957DB2">
            <w:pPr>
              <w:rPr>
                <w:rFonts w:eastAsia="Arial" w:cs="Arial"/>
              </w:rPr>
            </w:pPr>
            <w:r w:rsidRPr="00F34274">
              <w:rPr>
                <w:rFonts w:eastAsia="Arial" w:cs="Arial"/>
              </w:rPr>
              <w:t>2</w:t>
            </w:r>
          </w:p>
        </w:tc>
      </w:tr>
      <w:tr w:rsidR="00CD60C2" w:rsidRPr="00F34274" w14:paraId="62FBEF37" w14:textId="77777777" w:rsidTr="00201E3C">
        <w:tc>
          <w:tcPr>
            <w:tcW w:w="4293" w:type="pct"/>
            <w:tcMar>
              <w:top w:w="0" w:type="dxa"/>
              <w:left w:w="108" w:type="dxa"/>
              <w:bottom w:w="0" w:type="dxa"/>
              <w:right w:w="108" w:type="dxa"/>
            </w:tcMar>
            <w:hideMark/>
          </w:tcPr>
          <w:p w14:paraId="450C89C2" w14:textId="77777777" w:rsidR="00CD60C2" w:rsidRPr="00F34274" w:rsidRDefault="00CD60C2" w:rsidP="00957DB2">
            <w:pPr>
              <w:rPr>
                <w:rFonts w:eastAsia="Arial" w:cs="Arial"/>
              </w:rPr>
            </w:pPr>
            <w:r w:rsidRPr="00F34274">
              <w:rPr>
                <w:rFonts w:eastAsia="Arial" w:cs="Arial"/>
              </w:rPr>
              <w:t>Fairly likely</w:t>
            </w:r>
          </w:p>
        </w:tc>
        <w:tc>
          <w:tcPr>
            <w:tcW w:w="707" w:type="pct"/>
            <w:tcMar>
              <w:top w:w="0" w:type="dxa"/>
              <w:left w:w="108" w:type="dxa"/>
              <w:bottom w:w="0" w:type="dxa"/>
              <w:right w:w="108" w:type="dxa"/>
            </w:tcMar>
            <w:hideMark/>
          </w:tcPr>
          <w:p w14:paraId="0D0DBC42" w14:textId="77777777" w:rsidR="00CD60C2" w:rsidRPr="00F34274" w:rsidRDefault="00CD60C2" w:rsidP="00957DB2">
            <w:pPr>
              <w:rPr>
                <w:rFonts w:eastAsia="Arial" w:cs="Arial"/>
              </w:rPr>
            </w:pPr>
            <w:r w:rsidRPr="00F34274">
              <w:rPr>
                <w:rFonts w:eastAsia="Arial" w:cs="Arial"/>
              </w:rPr>
              <w:t>3</w:t>
            </w:r>
          </w:p>
        </w:tc>
      </w:tr>
      <w:tr w:rsidR="00CD60C2" w:rsidRPr="00F34274" w14:paraId="7D347CD9" w14:textId="77777777" w:rsidTr="00201E3C">
        <w:tc>
          <w:tcPr>
            <w:tcW w:w="4293" w:type="pct"/>
            <w:tcMar>
              <w:top w:w="0" w:type="dxa"/>
              <w:left w:w="108" w:type="dxa"/>
              <w:bottom w:w="0" w:type="dxa"/>
              <w:right w:w="108" w:type="dxa"/>
            </w:tcMar>
            <w:hideMark/>
          </w:tcPr>
          <w:p w14:paraId="7614F681" w14:textId="77777777" w:rsidR="00CD60C2" w:rsidRPr="00F34274" w:rsidRDefault="00CD60C2" w:rsidP="00957DB2">
            <w:pPr>
              <w:rPr>
                <w:rFonts w:eastAsia="Arial" w:cs="Arial"/>
              </w:rPr>
            </w:pPr>
            <w:r w:rsidRPr="00F34274">
              <w:rPr>
                <w:rFonts w:eastAsia="Arial" w:cs="Arial"/>
              </w:rPr>
              <w:t>Fairly unlikely</w:t>
            </w:r>
          </w:p>
        </w:tc>
        <w:tc>
          <w:tcPr>
            <w:tcW w:w="707" w:type="pct"/>
            <w:tcMar>
              <w:top w:w="0" w:type="dxa"/>
              <w:left w:w="108" w:type="dxa"/>
              <w:bottom w:w="0" w:type="dxa"/>
              <w:right w:w="108" w:type="dxa"/>
            </w:tcMar>
            <w:hideMark/>
          </w:tcPr>
          <w:p w14:paraId="1D41B7CA" w14:textId="77777777" w:rsidR="00CD60C2" w:rsidRPr="00F34274" w:rsidRDefault="00CD60C2" w:rsidP="00957DB2">
            <w:pPr>
              <w:rPr>
                <w:rFonts w:eastAsia="Arial" w:cs="Arial"/>
              </w:rPr>
            </w:pPr>
            <w:r w:rsidRPr="00F34274">
              <w:rPr>
                <w:rFonts w:eastAsia="Arial" w:cs="Arial"/>
              </w:rPr>
              <w:t>4</w:t>
            </w:r>
          </w:p>
        </w:tc>
      </w:tr>
      <w:tr w:rsidR="00CD60C2" w:rsidRPr="00F34274" w14:paraId="1CD6B6F9" w14:textId="77777777" w:rsidTr="00201E3C">
        <w:tc>
          <w:tcPr>
            <w:tcW w:w="4293" w:type="pct"/>
            <w:tcMar>
              <w:top w:w="0" w:type="dxa"/>
              <w:left w:w="108" w:type="dxa"/>
              <w:bottom w:w="0" w:type="dxa"/>
              <w:right w:w="108" w:type="dxa"/>
            </w:tcMar>
            <w:hideMark/>
          </w:tcPr>
          <w:p w14:paraId="61A68113" w14:textId="77777777" w:rsidR="00CD60C2" w:rsidRPr="00F34274" w:rsidRDefault="00CD60C2" w:rsidP="00957DB2">
            <w:pPr>
              <w:rPr>
                <w:rFonts w:eastAsia="Arial" w:cs="Arial"/>
              </w:rPr>
            </w:pPr>
            <w:r w:rsidRPr="00F34274">
              <w:rPr>
                <w:rFonts w:eastAsia="Arial" w:cs="Arial"/>
              </w:rPr>
              <w:t>Very unlikely</w:t>
            </w:r>
          </w:p>
        </w:tc>
        <w:tc>
          <w:tcPr>
            <w:tcW w:w="707" w:type="pct"/>
            <w:tcMar>
              <w:top w:w="0" w:type="dxa"/>
              <w:left w:w="108" w:type="dxa"/>
              <w:bottom w:w="0" w:type="dxa"/>
              <w:right w:w="108" w:type="dxa"/>
            </w:tcMar>
            <w:hideMark/>
          </w:tcPr>
          <w:p w14:paraId="4BB293A3" w14:textId="77777777" w:rsidR="00CD60C2" w:rsidRPr="00F34274" w:rsidRDefault="00CD60C2" w:rsidP="00957DB2">
            <w:pPr>
              <w:rPr>
                <w:rFonts w:eastAsia="Arial" w:cs="Arial"/>
              </w:rPr>
            </w:pPr>
            <w:r w:rsidRPr="00F34274">
              <w:rPr>
                <w:rFonts w:eastAsia="Arial" w:cs="Arial"/>
              </w:rPr>
              <w:t>5</w:t>
            </w:r>
          </w:p>
        </w:tc>
      </w:tr>
      <w:tr w:rsidR="00CD60C2" w:rsidRPr="00F34274" w14:paraId="445CDA01" w14:textId="77777777" w:rsidTr="00201E3C">
        <w:tc>
          <w:tcPr>
            <w:tcW w:w="4293" w:type="pct"/>
            <w:tcMar>
              <w:top w:w="0" w:type="dxa"/>
              <w:left w:w="108" w:type="dxa"/>
              <w:bottom w:w="0" w:type="dxa"/>
              <w:right w:w="108" w:type="dxa"/>
            </w:tcMar>
            <w:hideMark/>
          </w:tcPr>
          <w:p w14:paraId="7436315D" w14:textId="77777777" w:rsidR="00CD60C2" w:rsidRPr="00F34274" w:rsidRDefault="00CD60C2" w:rsidP="00957DB2">
            <w:pPr>
              <w:rPr>
                <w:rFonts w:eastAsia="Arial" w:cs="Arial"/>
              </w:rPr>
            </w:pPr>
            <w:proofErr w:type="gramStart"/>
            <w:r w:rsidRPr="00F34274">
              <w:rPr>
                <w:rFonts w:eastAsia="Arial" w:cs="Arial"/>
              </w:rPr>
              <w:t>Definitely would</w:t>
            </w:r>
            <w:proofErr w:type="gramEnd"/>
            <w:r w:rsidRPr="00F34274">
              <w:rPr>
                <w:rFonts w:eastAsia="Arial" w:cs="Arial"/>
              </w:rPr>
              <w:t xml:space="preserve"> not have achieved / will achieve the same level of growth</w:t>
            </w:r>
          </w:p>
        </w:tc>
        <w:tc>
          <w:tcPr>
            <w:tcW w:w="707" w:type="pct"/>
            <w:tcMar>
              <w:top w:w="0" w:type="dxa"/>
              <w:left w:w="108" w:type="dxa"/>
              <w:bottom w:w="0" w:type="dxa"/>
              <w:right w:w="108" w:type="dxa"/>
            </w:tcMar>
            <w:hideMark/>
          </w:tcPr>
          <w:p w14:paraId="5E10C4DA" w14:textId="77777777" w:rsidR="00CD60C2" w:rsidRPr="00F34274" w:rsidRDefault="00CD60C2" w:rsidP="00957DB2">
            <w:pPr>
              <w:rPr>
                <w:rFonts w:eastAsia="Arial" w:cs="Arial"/>
              </w:rPr>
            </w:pPr>
            <w:r w:rsidRPr="00F34274">
              <w:rPr>
                <w:rFonts w:eastAsia="Arial" w:cs="Arial"/>
              </w:rPr>
              <w:t>6</w:t>
            </w:r>
          </w:p>
        </w:tc>
      </w:tr>
      <w:tr w:rsidR="00CD60C2" w:rsidRPr="00F34274" w14:paraId="3620B9FE" w14:textId="77777777" w:rsidTr="00201E3C">
        <w:tc>
          <w:tcPr>
            <w:tcW w:w="4293" w:type="pct"/>
            <w:tcMar>
              <w:top w:w="0" w:type="dxa"/>
              <w:left w:w="108" w:type="dxa"/>
              <w:bottom w:w="0" w:type="dxa"/>
              <w:right w:w="108" w:type="dxa"/>
            </w:tcMar>
            <w:hideMark/>
          </w:tcPr>
          <w:p w14:paraId="3924270A" w14:textId="77777777" w:rsidR="00CD60C2" w:rsidRPr="00F34274" w:rsidRDefault="00CD60C2" w:rsidP="00957DB2">
            <w:pPr>
              <w:rPr>
                <w:rFonts w:eastAsia="Arial" w:cs="Arial"/>
              </w:rPr>
            </w:pPr>
            <w:r w:rsidRPr="00F34274">
              <w:rPr>
                <w:rFonts w:eastAsia="Arial" w:cs="Arial"/>
              </w:rPr>
              <w:t>Don’t know</w:t>
            </w:r>
          </w:p>
        </w:tc>
        <w:tc>
          <w:tcPr>
            <w:tcW w:w="707" w:type="pct"/>
            <w:tcMar>
              <w:top w:w="0" w:type="dxa"/>
              <w:left w:w="108" w:type="dxa"/>
              <w:bottom w:w="0" w:type="dxa"/>
              <w:right w:w="108" w:type="dxa"/>
            </w:tcMar>
            <w:hideMark/>
          </w:tcPr>
          <w:p w14:paraId="3AFA79D5" w14:textId="77777777" w:rsidR="00CD60C2" w:rsidRPr="00F34274" w:rsidRDefault="00CD60C2" w:rsidP="00957DB2">
            <w:pPr>
              <w:rPr>
                <w:rFonts w:eastAsia="Arial" w:cs="Arial"/>
              </w:rPr>
            </w:pPr>
            <w:r w:rsidRPr="00F34274">
              <w:rPr>
                <w:rFonts w:eastAsia="Arial" w:cs="Arial"/>
              </w:rPr>
              <w:t>99</w:t>
            </w:r>
          </w:p>
        </w:tc>
      </w:tr>
    </w:tbl>
    <w:p w14:paraId="208C2868" w14:textId="77777777" w:rsidR="00CD60C2" w:rsidRPr="00F34274" w:rsidRDefault="00CD60C2" w:rsidP="00957DB2">
      <w:pPr>
        <w:rPr>
          <w:rFonts w:eastAsia="Arial" w:cs="Arial"/>
        </w:rPr>
      </w:pPr>
    </w:p>
    <w:p w14:paraId="3BF6DD2C" w14:textId="77777777" w:rsidR="00CD60C2" w:rsidRPr="00F34274" w:rsidRDefault="00CD60C2" w:rsidP="00957DB2">
      <w:pPr>
        <w:rPr>
          <w:rFonts w:eastAsia="Arial" w:cs="Arial"/>
        </w:rPr>
      </w:pPr>
      <w:r w:rsidRPr="00F34274">
        <w:rPr>
          <w:rFonts w:eastAsia="Arial" w:cs="Arial"/>
        </w:rPr>
        <w:t>ALL</w:t>
      </w:r>
    </w:p>
    <w:p w14:paraId="088FAE17" w14:textId="77777777" w:rsidR="00CD60C2" w:rsidRPr="00F34274" w:rsidRDefault="00CD60C2" w:rsidP="00957DB2">
      <w:pPr>
        <w:rPr>
          <w:rFonts w:eastAsia="Arial" w:cs="Arial"/>
          <w:bCs/>
        </w:rPr>
      </w:pPr>
      <w:r w:rsidRPr="00F34274">
        <w:rPr>
          <w:rFonts w:eastAsia="Arial" w:cs="Arial"/>
          <w:bCs/>
        </w:rPr>
        <w:t>23. Which of the following factors has the investment received from your Investor contributed to the most?</w:t>
      </w:r>
    </w:p>
    <w:p w14:paraId="0B165850" w14:textId="77777777" w:rsidR="00CD60C2" w:rsidRPr="00F34274" w:rsidRDefault="00CD60C2" w:rsidP="00957DB2">
      <w:pPr>
        <w:rPr>
          <w:rFonts w:eastAsia="Arial" w:cs="Arial"/>
        </w:rPr>
      </w:pPr>
      <w:r w:rsidRPr="00F34274">
        <w:rPr>
          <w:rFonts w:eastAsia="Arial" w:cs="Arial"/>
        </w:rPr>
        <w:t>PLEASE CHECK ALL THAT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3"/>
        <w:gridCol w:w="1409"/>
      </w:tblGrid>
      <w:tr w:rsidR="00CD60C2" w:rsidRPr="00F34274" w14:paraId="16E7B562" w14:textId="77777777" w:rsidTr="00201E3C">
        <w:trPr>
          <w:trHeight w:val="325"/>
        </w:trPr>
        <w:tc>
          <w:tcPr>
            <w:tcW w:w="4293" w:type="pct"/>
            <w:tcMar>
              <w:top w:w="0" w:type="dxa"/>
              <w:left w:w="108" w:type="dxa"/>
              <w:bottom w:w="0" w:type="dxa"/>
              <w:right w:w="108" w:type="dxa"/>
            </w:tcMar>
          </w:tcPr>
          <w:p w14:paraId="7346B220" w14:textId="77777777" w:rsidR="00CD60C2" w:rsidRPr="00F34274" w:rsidRDefault="00CD60C2" w:rsidP="00957DB2">
            <w:pPr>
              <w:rPr>
                <w:rFonts w:eastAsia="Arial" w:cs="Arial"/>
              </w:rPr>
            </w:pPr>
            <w:r w:rsidRPr="00F34274">
              <w:rPr>
                <w:rFonts w:eastAsia="Arial" w:cs="Arial"/>
              </w:rPr>
              <w:t>Reducing costs</w:t>
            </w:r>
          </w:p>
        </w:tc>
        <w:tc>
          <w:tcPr>
            <w:tcW w:w="707" w:type="pct"/>
            <w:tcMar>
              <w:top w:w="0" w:type="dxa"/>
              <w:left w:w="108" w:type="dxa"/>
              <w:bottom w:w="0" w:type="dxa"/>
              <w:right w:w="108" w:type="dxa"/>
            </w:tcMar>
            <w:hideMark/>
          </w:tcPr>
          <w:p w14:paraId="7A2C773F" w14:textId="77777777" w:rsidR="00CD60C2" w:rsidRPr="00F34274" w:rsidRDefault="00CD60C2" w:rsidP="00957DB2">
            <w:pPr>
              <w:rPr>
                <w:rFonts w:eastAsia="Arial" w:cs="Arial"/>
              </w:rPr>
            </w:pPr>
            <w:r w:rsidRPr="00F34274">
              <w:rPr>
                <w:rFonts w:eastAsia="Arial" w:cs="Arial"/>
              </w:rPr>
              <w:t>1</w:t>
            </w:r>
          </w:p>
        </w:tc>
      </w:tr>
      <w:tr w:rsidR="00CD60C2" w:rsidRPr="00F34274" w14:paraId="3957D315" w14:textId="77777777" w:rsidTr="00201E3C">
        <w:trPr>
          <w:trHeight w:val="334"/>
        </w:trPr>
        <w:tc>
          <w:tcPr>
            <w:tcW w:w="4293" w:type="pct"/>
            <w:tcMar>
              <w:top w:w="0" w:type="dxa"/>
              <w:left w:w="108" w:type="dxa"/>
              <w:bottom w:w="0" w:type="dxa"/>
              <w:right w:w="108" w:type="dxa"/>
            </w:tcMar>
            <w:hideMark/>
          </w:tcPr>
          <w:p w14:paraId="52263011" w14:textId="77777777" w:rsidR="00CD60C2" w:rsidRPr="00F34274" w:rsidRDefault="00CD60C2" w:rsidP="00957DB2">
            <w:pPr>
              <w:rPr>
                <w:rFonts w:eastAsia="Arial" w:cs="Arial"/>
              </w:rPr>
            </w:pPr>
            <w:r w:rsidRPr="00F34274">
              <w:rPr>
                <w:rFonts w:eastAsia="Arial" w:cs="Arial"/>
              </w:rPr>
              <w:t xml:space="preserve">Similar speed of business growth past the early stages </w:t>
            </w:r>
          </w:p>
        </w:tc>
        <w:tc>
          <w:tcPr>
            <w:tcW w:w="707" w:type="pct"/>
            <w:tcMar>
              <w:top w:w="0" w:type="dxa"/>
              <w:left w:w="108" w:type="dxa"/>
              <w:bottom w:w="0" w:type="dxa"/>
              <w:right w:w="108" w:type="dxa"/>
            </w:tcMar>
            <w:hideMark/>
          </w:tcPr>
          <w:p w14:paraId="1E0ED03F" w14:textId="77777777" w:rsidR="00CD60C2" w:rsidRPr="00F34274" w:rsidRDefault="00CD60C2" w:rsidP="00957DB2">
            <w:pPr>
              <w:rPr>
                <w:rFonts w:eastAsia="Arial" w:cs="Arial"/>
              </w:rPr>
            </w:pPr>
            <w:r w:rsidRPr="00F34274">
              <w:rPr>
                <w:rFonts w:eastAsia="Arial" w:cs="Arial"/>
              </w:rPr>
              <w:t>2</w:t>
            </w:r>
          </w:p>
        </w:tc>
      </w:tr>
      <w:tr w:rsidR="00CD60C2" w:rsidRPr="00F34274" w14:paraId="46ABDCA0" w14:textId="77777777" w:rsidTr="00201E3C">
        <w:trPr>
          <w:trHeight w:val="325"/>
        </w:trPr>
        <w:tc>
          <w:tcPr>
            <w:tcW w:w="4293" w:type="pct"/>
            <w:tcMar>
              <w:top w:w="0" w:type="dxa"/>
              <w:left w:w="108" w:type="dxa"/>
              <w:bottom w:w="0" w:type="dxa"/>
              <w:right w:w="108" w:type="dxa"/>
            </w:tcMar>
            <w:hideMark/>
          </w:tcPr>
          <w:p w14:paraId="7949B06E" w14:textId="77777777" w:rsidR="00CD60C2" w:rsidRPr="00F34274" w:rsidRDefault="00CD60C2" w:rsidP="00957DB2">
            <w:pPr>
              <w:rPr>
                <w:rFonts w:eastAsia="Arial" w:cs="Arial"/>
              </w:rPr>
            </w:pPr>
            <w:r w:rsidRPr="00F34274">
              <w:rPr>
                <w:rFonts w:eastAsia="Arial" w:cs="Arial"/>
              </w:rPr>
              <w:t>Reaching a level of profitability</w:t>
            </w:r>
          </w:p>
        </w:tc>
        <w:tc>
          <w:tcPr>
            <w:tcW w:w="707" w:type="pct"/>
            <w:tcMar>
              <w:top w:w="0" w:type="dxa"/>
              <w:left w:w="108" w:type="dxa"/>
              <w:bottom w:w="0" w:type="dxa"/>
              <w:right w:w="108" w:type="dxa"/>
            </w:tcMar>
            <w:hideMark/>
          </w:tcPr>
          <w:p w14:paraId="1B026A11" w14:textId="77777777" w:rsidR="00CD60C2" w:rsidRPr="00F34274" w:rsidRDefault="00CD60C2" w:rsidP="00957DB2">
            <w:pPr>
              <w:rPr>
                <w:rFonts w:eastAsia="Arial" w:cs="Arial"/>
              </w:rPr>
            </w:pPr>
            <w:r w:rsidRPr="00F34274">
              <w:rPr>
                <w:rFonts w:eastAsia="Arial" w:cs="Arial"/>
              </w:rPr>
              <w:t>3</w:t>
            </w:r>
          </w:p>
        </w:tc>
      </w:tr>
      <w:tr w:rsidR="00CD60C2" w:rsidRPr="00F34274" w14:paraId="7AC844DB" w14:textId="77777777" w:rsidTr="00201E3C">
        <w:trPr>
          <w:trHeight w:val="325"/>
        </w:trPr>
        <w:tc>
          <w:tcPr>
            <w:tcW w:w="4293" w:type="pct"/>
            <w:tcMar>
              <w:top w:w="0" w:type="dxa"/>
              <w:left w:w="108" w:type="dxa"/>
              <w:bottom w:w="0" w:type="dxa"/>
              <w:right w:w="108" w:type="dxa"/>
            </w:tcMar>
            <w:hideMark/>
          </w:tcPr>
          <w:p w14:paraId="4A3BC6C8" w14:textId="77777777" w:rsidR="00CD60C2" w:rsidRPr="00F34274" w:rsidRDefault="00CD60C2" w:rsidP="00957DB2">
            <w:pPr>
              <w:rPr>
                <w:rFonts w:eastAsia="Arial" w:cs="Arial"/>
                <w:bCs/>
              </w:rPr>
            </w:pPr>
            <w:r w:rsidRPr="00F34274">
              <w:rPr>
                <w:rFonts w:eastAsia="Arial" w:cs="Arial"/>
              </w:rPr>
              <w:t>Going to market with products / services</w:t>
            </w:r>
          </w:p>
        </w:tc>
        <w:tc>
          <w:tcPr>
            <w:tcW w:w="707" w:type="pct"/>
            <w:tcMar>
              <w:top w:w="0" w:type="dxa"/>
              <w:left w:w="108" w:type="dxa"/>
              <w:bottom w:w="0" w:type="dxa"/>
              <w:right w:w="108" w:type="dxa"/>
            </w:tcMar>
            <w:hideMark/>
          </w:tcPr>
          <w:p w14:paraId="7245CCA2" w14:textId="77777777" w:rsidR="00CD60C2" w:rsidRPr="00F34274" w:rsidRDefault="00CD60C2" w:rsidP="00957DB2">
            <w:pPr>
              <w:rPr>
                <w:rFonts w:eastAsia="Arial" w:cs="Arial"/>
              </w:rPr>
            </w:pPr>
            <w:r w:rsidRPr="00F34274">
              <w:rPr>
                <w:rFonts w:eastAsia="Arial" w:cs="Arial"/>
              </w:rPr>
              <w:t>4</w:t>
            </w:r>
          </w:p>
        </w:tc>
      </w:tr>
      <w:tr w:rsidR="00CD60C2" w:rsidRPr="00F34274" w14:paraId="64E4B91A" w14:textId="77777777" w:rsidTr="00201E3C">
        <w:trPr>
          <w:trHeight w:val="257"/>
        </w:trPr>
        <w:tc>
          <w:tcPr>
            <w:tcW w:w="4293" w:type="pct"/>
            <w:tcMar>
              <w:top w:w="0" w:type="dxa"/>
              <w:left w:w="108" w:type="dxa"/>
              <w:bottom w:w="0" w:type="dxa"/>
              <w:right w:w="108" w:type="dxa"/>
            </w:tcMar>
            <w:hideMark/>
          </w:tcPr>
          <w:p w14:paraId="700675E0" w14:textId="77777777" w:rsidR="00CD60C2" w:rsidRPr="00F34274" w:rsidRDefault="00CD60C2" w:rsidP="00957DB2">
            <w:pPr>
              <w:rPr>
                <w:rFonts w:eastAsia="Arial" w:cs="Arial"/>
                <w:bCs/>
              </w:rPr>
            </w:pPr>
            <w:r w:rsidRPr="00F34274">
              <w:rPr>
                <w:rFonts w:eastAsia="Arial" w:cs="Arial"/>
              </w:rPr>
              <w:t xml:space="preserve">Moving from R&amp;D to commercialisation </w:t>
            </w:r>
          </w:p>
        </w:tc>
        <w:tc>
          <w:tcPr>
            <w:tcW w:w="707" w:type="pct"/>
            <w:tcMar>
              <w:top w:w="0" w:type="dxa"/>
              <w:left w:w="108" w:type="dxa"/>
              <w:bottom w:w="0" w:type="dxa"/>
              <w:right w:w="108" w:type="dxa"/>
            </w:tcMar>
            <w:hideMark/>
          </w:tcPr>
          <w:p w14:paraId="42E4F701" w14:textId="77777777" w:rsidR="00CD60C2" w:rsidRPr="00F34274" w:rsidRDefault="00CD60C2" w:rsidP="00957DB2">
            <w:pPr>
              <w:rPr>
                <w:rFonts w:eastAsia="Arial" w:cs="Arial"/>
              </w:rPr>
            </w:pPr>
            <w:r w:rsidRPr="00F34274">
              <w:rPr>
                <w:rFonts w:eastAsia="Arial" w:cs="Arial"/>
              </w:rPr>
              <w:t>5</w:t>
            </w:r>
          </w:p>
        </w:tc>
      </w:tr>
      <w:tr w:rsidR="00CD60C2" w:rsidRPr="00F34274" w14:paraId="6068BDF0" w14:textId="77777777" w:rsidTr="00201E3C">
        <w:trPr>
          <w:trHeight w:val="257"/>
        </w:trPr>
        <w:tc>
          <w:tcPr>
            <w:tcW w:w="4293" w:type="pct"/>
            <w:tcMar>
              <w:top w:w="0" w:type="dxa"/>
              <w:left w:w="108" w:type="dxa"/>
              <w:bottom w:w="0" w:type="dxa"/>
              <w:right w:w="108" w:type="dxa"/>
            </w:tcMar>
          </w:tcPr>
          <w:p w14:paraId="359E0F2F" w14:textId="77777777" w:rsidR="00CD60C2" w:rsidRPr="00F34274" w:rsidRDefault="00CD60C2" w:rsidP="00957DB2">
            <w:pPr>
              <w:rPr>
                <w:rFonts w:eastAsia="Arial" w:cs="Arial"/>
              </w:rPr>
            </w:pPr>
            <w:r w:rsidRPr="00F34274">
              <w:rPr>
                <w:rFonts w:eastAsia="Arial" w:cs="Arial"/>
              </w:rPr>
              <w:t>Improving operational efficiencies</w:t>
            </w:r>
          </w:p>
        </w:tc>
        <w:tc>
          <w:tcPr>
            <w:tcW w:w="707" w:type="pct"/>
            <w:tcMar>
              <w:top w:w="0" w:type="dxa"/>
              <w:left w:w="108" w:type="dxa"/>
              <w:bottom w:w="0" w:type="dxa"/>
              <w:right w:w="108" w:type="dxa"/>
            </w:tcMar>
          </w:tcPr>
          <w:p w14:paraId="0BB957C4" w14:textId="77777777" w:rsidR="00CD60C2" w:rsidRPr="00F34274" w:rsidRDefault="00CD60C2" w:rsidP="00957DB2">
            <w:pPr>
              <w:rPr>
                <w:rFonts w:eastAsia="Arial" w:cs="Arial"/>
              </w:rPr>
            </w:pPr>
            <w:r w:rsidRPr="00F34274">
              <w:rPr>
                <w:rFonts w:eastAsia="Arial" w:cs="Arial"/>
              </w:rPr>
              <w:t>6</w:t>
            </w:r>
          </w:p>
        </w:tc>
      </w:tr>
      <w:tr w:rsidR="00CD60C2" w:rsidRPr="00F34274" w14:paraId="1A028C00" w14:textId="77777777" w:rsidTr="00201E3C">
        <w:trPr>
          <w:trHeight w:val="257"/>
        </w:trPr>
        <w:tc>
          <w:tcPr>
            <w:tcW w:w="4293" w:type="pct"/>
            <w:tcMar>
              <w:top w:w="0" w:type="dxa"/>
              <w:left w:w="108" w:type="dxa"/>
              <w:bottom w:w="0" w:type="dxa"/>
              <w:right w:w="108" w:type="dxa"/>
            </w:tcMar>
          </w:tcPr>
          <w:p w14:paraId="2D4B81D2" w14:textId="77777777" w:rsidR="00CD60C2" w:rsidRPr="00F34274" w:rsidRDefault="00CD60C2" w:rsidP="00957DB2">
            <w:pPr>
              <w:rPr>
                <w:rFonts w:eastAsia="Arial" w:cs="Arial"/>
              </w:rPr>
            </w:pPr>
            <w:r w:rsidRPr="00F34274">
              <w:rPr>
                <w:rFonts w:eastAsia="Arial" w:cs="Arial"/>
              </w:rPr>
              <w:t xml:space="preserve">Starting to build brand recognition </w:t>
            </w:r>
          </w:p>
        </w:tc>
        <w:tc>
          <w:tcPr>
            <w:tcW w:w="707" w:type="pct"/>
            <w:tcMar>
              <w:top w:w="0" w:type="dxa"/>
              <w:left w:w="108" w:type="dxa"/>
              <w:bottom w:w="0" w:type="dxa"/>
              <w:right w:w="108" w:type="dxa"/>
            </w:tcMar>
          </w:tcPr>
          <w:p w14:paraId="44C022C4" w14:textId="77777777" w:rsidR="00CD60C2" w:rsidRPr="00F34274" w:rsidRDefault="00CD60C2" w:rsidP="00957DB2">
            <w:pPr>
              <w:rPr>
                <w:rFonts w:eastAsia="Arial" w:cs="Arial"/>
              </w:rPr>
            </w:pPr>
            <w:r w:rsidRPr="00F34274">
              <w:rPr>
                <w:rFonts w:eastAsia="Arial" w:cs="Arial"/>
              </w:rPr>
              <w:t>7</w:t>
            </w:r>
          </w:p>
        </w:tc>
      </w:tr>
      <w:tr w:rsidR="00CD60C2" w:rsidRPr="00F34274" w14:paraId="5B263FD4" w14:textId="77777777" w:rsidTr="00201E3C">
        <w:trPr>
          <w:trHeight w:val="257"/>
        </w:trPr>
        <w:tc>
          <w:tcPr>
            <w:tcW w:w="4293" w:type="pct"/>
            <w:tcMar>
              <w:top w:w="0" w:type="dxa"/>
              <w:left w:w="108" w:type="dxa"/>
              <w:bottom w:w="0" w:type="dxa"/>
              <w:right w:w="108" w:type="dxa"/>
            </w:tcMar>
          </w:tcPr>
          <w:p w14:paraId="6EC1AAD2" w14:textId="77777777" w:rsidR="00CD60C2" w:rsidRPr="00F34274" w:rsidRDefault="00CD60C2" w:rsidP="00957DB2">
            <w:pPr>
              <w:rPr>
                <w:rFonts w:eastAsia="Arial" w:cs="Arial"/>
              </w:rPr>
            </w:pPr>
            <w:r w:rsidRPr="00F34274">
              <w:rPr>
                <w:rFonts w:eastAsia="Arial" w:cs="Arial"/>
              </w:rPr>
              <w:t>Gaining market share</w:t>
            </w:r>
          </w:p>
        </w:tc>
        <w:tc>
          <w:tcPr>
            <w:tcW w:w="707" w:type="pct"/>
            <w:tcMar>
              <w:top w:w="0" w:type="dxa"/>
              <w:left w:w="108" w:type="dxa"/>
              <w:bottom w:w="0" w:type="dxa"/>
              <w:right w:w="108" w:type="dxa"/>
            </w:tcMar>
          </w:tcPr>
          <w:p w14:paraId="16C33DCB" w14:textId="77777777" w:rsidR="00CD60C2" w:rsidRPr="00F34274" w:rsidRDefault="00CD60C2" w:rsidP="00957DB2">
            <w:pPr>
              <w:rPr>
                <w:rFonts w:eastAsia="Arial" w:cs="Arial"/>
              </w:rPr>
            </w:pPr>
            <w:r w:rsidRPr="00F34274">
              <w:rPr>
                <w:rFonts w:eastAsia="Arial" w:cs="Arial"/>
              </w:rPr>
              <w:t>8</w:t>
            </w:r>
          </w:p>
        </w:tc>
      </w:tr>
      <w:tr w:rsidR="00CD60C2" w:rsidRPr="00F34274" w14:paraId="47F11601" w14:textId="77777777" w:rsidTr="00201E3C">
        <w:trPr>
          <w:trHeight w:val="257"/>
        </w:trPr>
        <w:tc>
          <w:tcPr>
            <w:tcW w:w="4293" w:type="pct"/>
            <w:tcMar>
              <w:top w:w="0" w:type="dxa"/>
              <w:left w:w="108" w:type="dxa"/>
              <w:bottom w:w="0" w:type="dxa"/>
              <w:right w:w="108" w:type="dxa"/>
            </w:tcMar>
          </w:tcPr>
          <w:p w14:paraId="656B92DD" w14:textId="77777777" w:rsidR="00CD60C2" w:rsidRPr="00F34274" w:rsidRDefault="00CD60C2" w:rsidP="00957DB2">
            <w:pPr>
              <w:rPr>
                <w:rFonts w:eastAsia="Arial" w:cs="Arial"/>
              </w:rPr>
            </w:pPr>
            <w:r w:rsidRPr="00F34274">
              <w:rPr>
                <w:rFonts w:eastAsia="Arial" w:cs="Arial"/>
              </w:rPr>
              <w:t>Expanding offices/ areas of business production</w:t>
            </w:r>
          </w:p>
        </w:tc>
        <w:tc>
          <w:tcPr>
            <w:tcW w:w="707" w:type="pct"/>
            <w:tcMar>
              <w:top w:w="0" w:type="dxa"/>
              <w:left w:w="108" w:type="dxa"/>
              <w:bottom w:w="0" w:type="dxa"/>
              <w:right w:w="108" w:type="dxa"/>
            </w:tcMar>
          </w:tcPr>
          <w:p w14:paraId="6AEE02DF" w14:textId="77777777" w:rsidR="00CD60C2" w:rsidRPr="00F34274" w:rsidRDefault="00CD60C2" w:rsidP="00957DB2">
            <w:pPr>
              <w:rPr>
                <w:rFonts w:eastAsia="Arial" w:cs="Arial"/>
              </w:rPr>
            </w:pPr>
            <w:r w:rsidRPr="00F34274">
              <w:rPr>
                <w:rFonts w:eastAsia="Arial" w:cs="Arial"/>
              </w:rPr>
              <w:t>9</w:t>
            </w:r>
          </w:p>
        </w:tc>
      </w:tr>
      <w:tr w:rsidR="00CD60C2" w:rsidRPr="00F34274" w14:paraId="45C75483" w14:textId="77777777" w:rsidTr="00201E3C">
        <w:trPr>
          <w:trHeight w:val="257"/>
        </w:trPr>
        <w:tc>
          <w:tcPr>
            <w:tcW w:w="4293" w:type="pct"/>
            <w:tcMar>
              <w:top w:w="0" w:type="dxa"/>
              <w:left w:w="108" w:type="dxa"/>
              <w:bottom w:w="0" w:type="dxa"/>
              <w:right w:w="108" w:type="dxa"/>
            </w:tcMar>
          </w:tcPr>
          <w:p w14:paraId="06E5FAE9" w14:textId="77777777" w:rsidR="00CD60C2" w:rsidRPr="00F34274" w:rsidRDefault="00CD60C2" w:rsidP="00957DB2">
            <w:pPr>
              <w:rPr>
                <w:rFonts w:eastAsia="Arial" w:cs="Arial"/>
              </w:rPr>
            </w:pPr>
            <w:r w:rsidRPr="00F34274">
              <w:rPr>
                <w:rFonts w:eastAsia="Arial" w:cs="Arial"/>
              </w:rPr>
              <w:t>Attracting higher quality talent</w:t>
            </w:r>
          </w:p>
        </w:tc>
        <w:tc>
          <w:tcPr>
            <w:tcW w:w="707" w:type="pct"/>
            <w:tcMar>
              <w:top w:w="0" w:type="dxa"/>
              <w:left w:w="108" w:type="dxa"/>
              <w:bottom w:w="0" w:type="dxa"/>
              <w:right w:w="108" w:type="dxa"/>
            </w:tcMar>
          </w:tcPr>
          <w:p w14:paraId="3FD76841" w14:textId="77777777" w:rsidR="00CD60C2" w:rsidRPr="00F34274" w:rsidRDefault="00CD60C2" w:rsidP="00957DB2">
            <w:pPr>
              <w:rPr>
                <w:rFonts w:eastAsia="Arial" w:cs="Arial"/>
              </w:rPr>
            </w:pPr>
            <w:r w:rsidRPr="00F34274">
              <w:rPr>
                <w:rFonts w:eastAsia="Arial" w:cs="Arial"/>
              </w:rPr>
              <w:t>10</w:t>
            </w:r>
          </w:p>
        </w:tc>
      </w:tr>
      <w:tr w:rsidR="00CD60C2" w:rsidRPr="00F34274" w14:paraId="30BAFB43" w14:textId="77777777" w:rsidTr="00201E3C">
        <w:trPr>
          <w:trHeight w:val="325"/>
        </w:trPr>
        <w:tc>
          <w:tcPr>
            <w:tcW w:w="4293" w:type="pct"/>
            <w:tcMar>
              <w:top w:w="0" w:type="dxa"/>
              <w:left w:w="108" w:type="dxa"/>
              <w:bottom w:w="0" w:type="dxa"/>
              <w:right w:w="108" w:type="dxa"/>
            </w:tcMar>
          </w:tcPr>
          <w:p w14:paraId="0B0209B3" w14:textId="77777777" w:rsidR="00CD60C2" w:rsidRPr="00F34274" w:rsidRDefault="00CD60C2" w:rsidP="00957DB2">
            <w:pPr>
              <w:rPr>
                <w:rFonts w:eastAsia="Arial" w:cs="Arial"/>
              </w:rPr>
            </w:pPr>
            <w:r w:rsidRPr="00F34274">
              <w:rPr>
                <w:rFonts w:eastAsia="Arial" w:cs="Arial"/>
              </w:rPr>
              <w:t>Other [Please write in]</w:t>
            </w:r>
          </w:p>
        </w:tc>
        <w:tc>
          <w:tcPr>
            <w:tcW w:w="707" w:type="pct"/>
            <w:tcMar>
              <w:top w:w="0" w:type="dxa"/>
              <w:left w:w="108" w:type="dxa"/>
              <w:bottom w:w="0" w:type="dxa"/>
              <w:right w:w="108" w:type="dxa"/>
            </w:tcMar>
          </w:tcPr>
          <w:p w14:paraId="683ABEEA" w14:textId="77777777" w:rsidR="00CD60C2" w:rsidRPr="00F34274" w:rsidRDefault="00CD60C2" w:rsidP="00957DB2">
            <w:pPr>
              <w:rPr>
                <w:rFonts w:eastAsia="Arial" w:cs="Arial"/>
              </w:rPr>
            </w:pPr>
            <w:r w:rsidRPr="00F34274">
              <w:rPr>
                <w:rFonts w:eastAsia="Arial" w:cs="Arial"/>
              </w:rPr>
              <w:t>98</w:t>
            </w:r>
          </w:p>
        </w:tc>
      </w:tr>
      <w:tr w:rsidR="00CD60C2" w:rsidRPr="00F34274" w14:paraId="4F480406" w14:textId="77777777" w:rsidTr="00201E3C">
        <w:trPr>
          <w:trHeight w:val="325"/>
        </w:trPr>
        <w:tc>
          <w:tcPr>
            <w:tcW w:w="4293" w:type="pct"/>
            <w:tcMar>
              <w:top w:w="0" w:type="dxa"/>
              <w:left w:w="108" w:type="dxa"/>
              <w:bottom w:w="0" w:type="dxa"/>
              <w:right w:w="108" w:type="dxa"/>
            </w:tcMar>
            <w:hideMark/>
          </w:tcPr>
          <w:p w14:paraId="10461488" w14:textId="77777777" w:rsidR="00CD60C2" w:rsidRPr="00F34274" w:rsidRDefault="00CD60C2" w:rsidP="00957DB2">
            <w:pPr>
              <w:rPr>
                <w:rFonts w:eastAsia="Arial" w:cs="Arial"/>
              </w:rPr>
            </w:pPr>
            <w:r w:rsidRPr="00F34274">
              <w:rPr>
                <w:rFonts w:eastAsia="Arial" w:cs="Arial"/>
              </w:rPr>
              <w:lastRenderedPageBreak/>
              <w:t>Don’t know</w:t>
            </w:r>
          </w:p>
        </w:tc>
        <w:tc>
          <w:tcPr>
            <w:tcW w:w="707" w:type="pct"/>
            <w:tcMar>
              <w:top w:w="0" w:type="dxa"/>
              <w:left w:w="108" w:type="dxa"/>
              <w:bottom w:w="0" w:type="dxa"/>
              <w:right w:w="108" w:type="dxa"/>
            </w:tcMar>
            <w:hideMark/>
          </w:tcPr>
          <w:p w14:paraId="6B8E5B0D" w14:textId="77777777" w:rsidR="00CD60C2" w:rsidRPr="00F34274" w:rsidRDefault="00CD60C2" w:rsidP="00957DB2">
            <w:pPr>
              <w:rPr>
                <w:rFonts w:eastAsia="Arial" w:cs="Arial"/>
              </w:rPr>
            </w:pPr>
            <w:r w:rsidRPr="00F34274">
              <w:rPr>
                <w:rFonts w:eastAsia="Arial" w:cs="Arial"/>
              </w:rPr>
              <w:t>99</w:t>
            </w:r>
          </w:p>
        </w:tc>
      </w:tr>
    </w:tbl>
    <w:p w14:paraId="18CF2F3A" w14:textId="77777777" w:rsidR="00CD60C2" w:rsidRPr="00F34274" w:rsidRDefault="00CD60C2" w:rsidP="00957DB2">
      <w:pPr>
        <w:rPr>
          <w:rFonts w:eastAsia="Arial" w:cs="Arial"/>
        </w:rPr>
      </w:pPr>
    </w:p>
    <w:p w14:paraId="5F537DC3" w14:textId="77777777" w:rsidR="00CD60C2" w:rsidRPr="00F34274" w:rsidRDefault="00CD60C2" w:rsidP="00957DB2">
      <w:pPr>
        <w:rPr>
          <w:rFonts w:eastAsia="Arial" w:cs="Arial"/>
        </w:rPr>
      </w:pPr>
      <w:r w:rsidRPr="00F34274">
        <w:rPr>
          <w:rFonts w:eastAsia="Arial" w:cs="Arial"/>
        </w:rPr>
        <w:t xml:space="preserve"> ALL</w:t>
      </w:r>
    </w:p>
    <w:p w14:paraId="210C9CCD" w14:textId="77777777" w:rsidR="00CD60C2" w:rsidRPr="00F34274" w:rsidRDefault="00CD60C2" w:rsidP="00957DB2">
      <w:pPr>
        <w:rPr>
          <w:rFonts w:eastAsia="Arial" w:cs="Arial"/>
          <w:bCs/>
        </w:rPr>
      </w:pPr>
      <w:r w:rsidRPr="00F34274">
        <w:rPr>
          <w:rFonts w:eastAsia="Arial" w:cs="Arial"/>
          <w:bCs/>
        </w:rPr>
        <w:t xml:space="preserve">24. How did you </w:t>
      </w:r>
      <w:r w:rsidRPr="00F34274">
        <w:rPr>
          <w:rFonts w:eastAsia="Arial" w:cs="Arial"/>
          <w:bCs/>
          <w:u w:val="single"/>
        </w:rPr>
        <w:t>use and how did you intend to use</w:t>
      </w:r>
      <w:r w:rsidRPr="00F34274">
        <w:rPr>
          <w:rFonts w:eastAsia="Arial" w:cs="Arial"/>
          <w:bCs/>
        </w:rPr>
        <w:t xml:space="preserve"> the funding provided by your Investor?</w:t>
      </w:r>
    </w:p>
    <w:p w14:paraId="7BE81AB8" w14:textId="77777777" w:rsidR="00CD60C2" w:rsidRPr="00F34274" w:rsidRDefault="00CD60C2" w:rsidP="00957DB2">
      <w:pPr>
        <w:rPr>
          <w:rFonts w:eastAsia="Arial" w:cs="Arial"/>
        </w:rPr>
      </w:pPr>
      <w:bookmarkStart w:id="232" w:name="_Hlk122338547"/>
      <w:r w:rsidRPr="00F34274">
        <w:rPr>
          <w:rFonts w:eastAsia="Arial" w:cs="Arial"/>
        </w:rPr>
        <w:t>PLEASE CHECK ALL THAT APPLY</w:t>
      </w:r>
      <w:bookmarkEnd w:id="232"/>
    </w:p>
    <w:tbl>
      <w:tblPr>
        <w:tblStyle w:val="withborders2"/>
        <w:tblW w:w="5000" w:type="pct"/>
        <w:tblLook w:val="04A0" w:firstRow="1" w:lastRow="0" w:firstColumn="1" w:lastColumn="0" w:noHBand="0" w:noVBand="1"/>
      </w:tblPr>
      <w:tblGrid>
        <w:gridCol w:w="5942"/>
        <w:gridCol w:w="1450"/>
        <w:gridCol w:w="1450"/>
        <w:gridCol w:w="1120"/>
      </w:tblGrid>
      <w:tr w:rsidR="00CD60C2" w:rsidRPr="00F34274" w14:paraId="3ED26C0F" w14:textId="77777777" w:rsidTr="00201E3C">
        <w:trPr>
          <w:tblHeader/>
        </w:trPr>
        <w:tc>
          <w:tcPr>
            <w:tcW w:w="2982" w:type="pct"/>
          </w:tcPr>
          <w:p w14:paraId="1255F22B" w14:textId="77777777" w:rsidR="00CD60C2" w:rsidRPr="00F34274" w:rsidRDefault="00CD60C2" w:rsidP="00957DB2">
            <w:pPr>
              <w:rPr>
                <w:rFonts w:eastAsia="Arial" w:cs="Arial"/>
                <w:bCs/>
              </w:rPr>
            </w:pPr>
            <w:r w:rsidRPr="00F34274">
              <w:rPr>
                <w:rFonts w:eastAsia="Arial" w:cs="Arial"/>
                <w:bCs/>
              </w:rPr>
              <w:t>Options</w:t>
            </w:r>
          </w:p>
        </w:tc>
        <w:tc>
          <w:tcPr>
            <w:tcW w:w="728" w:type="pct"/>
          </w:tcPr>
          <w:p w14:paraId="06380FB3" w14:textId="77777777" w:rsidR="00CD60C2" w:rsidRPr="00F34274" w:rsidRDefault="00CD60C2" w:rsidP="00957DB2">
            <w:pPr>
              <w:rPr>
                <w:rFonts w:eastAsia="Arial" w:cs="Arial"/>
                <w:bCs/>
              </w:rPr>
            </w:pPr>
            <w:r w:rsidRPr="00F34274">
              <w:rPr>
                <w:rFonts w:eastAsia="Arial" w:cs="Arial"/>
                <w:bCs/>
              </w:rPr>
              <w:t>a) Actual use of funds</w:t>
            </w:r>
          </w:p>
        </w:tc>
        <w:tc>
          <w:tcPr>
            <w:tcW w:w="728" w:type="pct"/>
          </w:tcPr>
          <w:p w14:paraId="2FBF02B8" w14:textId="77777777" w:rsidR="00CD60C2" w:rsidRPr="00F34274" w:rsidRDefault="00CD60C2" w:rsidP="00957DB2">
            <w:pPr>
              <w:rPr>
                <w:rFonts w:eastAsia="Arial" w:cs="Arial"/>
                <w:bCs/>
              </w:rPr>
            </w:pPr>
            <w:r w:rsidRPr="00F34274">
              <w:rPr>
                <w:rFonts w:eastAsia="Arial" w:cs="Arial"/>
                <w:bCs/>
              </w:rPr>
              <w:t>b)</w:t>
            </w:r>
          </w:p>
          <w:p w14:paraId="4DD82BA1" w14:textId="77777777" w:rsidR="00CD60C2" w:rsidRPr="00F34274" w:rsidRDefault="00CD60C2" w:rsidP="00957DB2">
            <w:pPr>
              <w:rPr>
                <w:rFonts w:eastAsia="Arial" w:cs="Arial"/>
                <w:bCs/>
              </w:rPr>
            </w:pPr>
            <w:r w:rsidRPr="00F34274">
              <w:rPr>
                <w:rFonts w:eastAsia="Arial" w:cs="Arial"/>
                <w:bCs/>
              </w:rPr>
              <w:t>Intended use of funds</w:t>
            </w:r>
          </w:p>
        </w:tc>
        <w:tc>
          <w:tcPr>
            <w:tcW w:w="562" w:type="pct"/>
          </w:tcPr>
          <w:p w14:paraId="790E90B5" w14:textId="77777777" w:rsidR="00CD60C2" w:rsidRPr="00F34274" w:rsidRDefault="00CD60C2" w:rsidP="00957DB2">
            <w:pPr>
              <w:rPr>
                <w:rFonts w:eastAsia="Arial" w:cs="Arial"/>
                <w:bCs/>
              </w:rPr>
            </w:pPr>
          </w:p>
        </w:tc>
      </w:tr>
      <w:tr w:rsidR="00CD60C2" w:rsidRPr="00F34274" w14:paraId="2FC9A701" w14:textId="77777777" w:rsidTr="00201E3C">
        <w:tc>
          <w:tcPr>
            <w:tcW w:w="2982" w:type="pct"/>
          </w:tcPr>
          <w:p w14:paraId="2988627A" w14:textId="77777777" w:rsidR="00CD60C2" w:rsidRPr="00F34274" w:rsidRDefault="00CD60C2" w:rsidP="00957DB2">
            <w:pPr>
              <w:rPr>
                <w:rFonts w:eastAsia="Arial" w:cs="Arial"/>
                <w:bCs/>
              </w:rPr>
            </w:pPr>
            <w:r w:rsidRPr="00F34274">
              <w:rPr>
                <w:rFonts w:eastAsia="Arial" w:cs="Arial"/>
                <w:bCs/>
              </w:rPr>
              <w:t>Maintaining fixed assets</w:t>
            </w:r>
          </w:p>
        </w:tc>
        <w:tc>
          <w:tcPr>
            <w:tcW w:w="728" w:type="pct"/>
          </w:tcPr>
          <w:p w14:paraId="7036B2CA" w14:textId="77777777" w:rsidR="00CD60C2" w:rsidRPr="00F34274" w:rsidRDefault="00CD60C2" w:rsidP="00957DB2">
            <w:pPr>
              <w:rPr>
                <w:rFonts w:eastAsia="Arial" w:cs="Arial"/>
                <w:bCs/>
              </w:rPr>
            </w:pPr>
          </w:p>
        </w:tc>
        <w:tc>
          <w:tcPr>
            <w:tcW w:w="728" w:type="pct"/>
          </w:tcPr>
          <w:p w14:paraId="7D75F2BB" w14:textId="77777777" w:rsidR="00CD60C2" w:rsidRPr="00F34274" w:rsidRDefault="00CD60C2" w:rsidP="00957DB2">
            <w:pPr>
              <w:rPr>
                <w:rFonts w:eastAsia="Arial" w:cs="Arial"/>
                <w:bCs/>
              </w:rPr>
            </w:pPr>
          </w:p>
        </w:tc>
        <w:tc>
          <w:tcPr>
            <w:tcW w:w="562" w:type="pct"/>
          </w:tcPr>
          <w:p w14:paraId="30EDD9CF" w14:textId="77777777" w:rsidR="00CD60C2" w:rsidRPr="00F34274" w:rsidRDefault="00CD60C2" w:rsidP="00957DB2">
            <w:pPr>
              <w:rPr>
                <w:rFonts w:eastAsia="Arial" w:cs="Arial"/>
                <w:bCs/>
              </w:rPr>
            </w:pPr>
            <w:r w:rsidRPr="00F34274">
              <w:rPr>
                <w:rFonts w:eastAsia="Arial" w:cs="Arial"/>
                <w:bCs/>
              </w:rPr>
              <w:t>1</w:t>
            </w:r>
          </w:p>
        </w:tc>
      </w:tr>
      <w:tr w:rsidR="00CD60C2" w:rsidRPr="00F34274" w14:paraId="6E99809D" w14:textId="77777777" w:rsidTr="00201E3C">
        <w:tc>
          <w:tcPr>
            <w:tcW w:w="2982" w:type="pct"/>
          </w:tcPr>
          <w:p w14:paraId="66188BCE" w14:textId="77777777" w:rsidR="00CD60C2" w:rsidRPr="00F34274" w:rsidRDefault="00CD60C2" w:rsidP="00957DB2">
            <w:pPr>
              <w:rPr>
                <w:rFonts w:eastAsia="Arial" w:cs="Arial"/>
                <w:bCs/>
              </w:rPr>
            </w:pPr>
            <w:r w:rsidRPr="00F34274">
              <w:rPr>
                <w:rFonts w:eastAsia="Arial" w:cs="Arial"/>
                <w:bCs/>
              </w:rPr>
              <w:t>Paying existing staff</w:t>
            </w:r>
          </w:p>
        </w:tc>
        <w:tc>
          <w:tcPr>
            <w:tcW w:w="728" w:type="pct"/>
          </w:tcPr>
          <w:p w14:paraId="56B851C0" w14:textId="77777777" w:rsidR="00CD60C2" w:rsidRPr="00F34274" w:rsidRDefault="00CD60C2" w:rsidP="00957DB2">
            <w:pPr>
              <w:rPr>
                <w:rFonts w:eastAsia="Arial" w:cs="Arial"/>
                <w:bCs/>
              </w:rPr>
            </w:pPr>
          </w:p>
        </w:tc>
        <w:tc>
          <w:tcPr>
            <w:tcW w:w="728" w:type="pct"/>
          </w:tcPr>
          <w:p w14:paraId="78250C83" w14:textId="77777777" w:rsidR="00CD60C2" w:rsidRPr="00F34274" w:rsidRDefault="00CD60C2" w:rsidP="00957DB2">
            <w:pPr>
              <w:rPr>
                <w:rFonts w:eastAsia="Arial" w:cs="Arial"/>
                <w:bCs/>
              </w:rPr>
            </w:pPr>
          </w:p>
        </w:tc>
        <w:tc>
          <w:tcPr>
            <w:tcW w:w="562" w:type="pct"/>
          </w:tcPr>
          <w:p w14:paraId="405DEEA8" w14:textId="77777777" w:rsidR="00CD60C2" w:rsidRPr="00F34274" w:rsidRDefault="00CD60C2" w:rsidP="00957DB2">
            <w:pPr>
              <w:rPr>
                <w:rFonts w:eastAsia="Arial" w:cs="Arial"/>
                <w:bCs/>
              </w:rPr>
            </w:pPr>
            <w:r w:rsidRPr="00F34274">
              <w:rPr>
                <w:rFonts w:eastAsia="Arial" w:cs="Arial"/>
                <w:bCs/>
              </w:rPr>
              <w:t>2</w:t>
            </w:r>
          </w:p>
        </w:tc>
      </w:tr>
      <w:tr w:rsidR="00CD60C2" w:rsidRPr="00F34274" w14:paraId="1BB364DA" w14:textId="77777777" w:rsidTr="00201E3C">
        <w:tc>
          <w:tcPr>
            <w:tcW w:w="2982" w:type="pct"/>
          </w:tcPr>
          <w:p w14:paraId="11E80238" w14:textId="77777777" w:rsidR="00CD60C2" w:rsidRPr="00F34274" w:rsidRDefault="00CD60C2" w:rsidP="00957DB2">
            <w:pPr>
              <w:rPr>
                <w:rFonts w:eastAsia="Arial" w:cs="Arial"/>
                <w:bCs/>
              </w:rPr>
            </w:pPr>
            <w:r w:rsidRPr="00F34274">
              <w:rPr>
                <w:rFonts w:eastAsia="Arial" w:cs="Arial"/>
                <w:bCs/>
              </w:rPr>
              <w:t>Capital used in day-to-day trading operations (other than paying staff or maintaining fixed assets)</w:t>
            </w:r>
          </w:p>
        </w:tc>
        <w:tc>
          <w:tcPr>
            <w:tcW w:w="728" w:type="pct"/>
          </w:tcPr>
          <w:p w14:paraId="0CA9E980" w14:textId="77777777" w:rsidR="00CD60C2" w:rsidRPr="00F34274" w:rsidRDefault="00CD60C2" w:rsidP="00957DB2">
            <w:pPr>
              <w:rPr>
                <w:rFonts w:eastAsia="Arial" w:cs="Arial"/>
                <w:bCs/>
              </w:rPr>
            </w:pPr>
          </w:p>
        </w:tc>
        <w:tc>
          <w:tcPr>
            <w:tcW w:w="728" w:type="pct"/>
          </w:tcPr>
          <w:p w14:paraId="6D6F8E17" w14:textId="77777777" w:rsidR="00CD60C2" w:rsidRPr="00F34274" w:rsidRDefault="00CD60C2" w:rsidP="00957DB2">
            <w:pPr>
              <w:rPr>
                <w:rFonts w:eastAsia="Arial" w:cs="Arial"/>
                <w:bCs/>
              </w:rPr>
            </w:pPr>
          </w:p>
        </w:tc>
        <w:tc>
          <w:tcPr>
            <w:tcW w:w="562" w:type="pct"/>
          </w:tcPr>
          <w:p w14:paraId="6BAB0A34" w14:textId="77777777" w:rsidR="00CD60C2" w:rsidRPr="00F34274" w:rsidRDefault="00CD60C2" w:rsidP="00957DB2">
            <w:pPr>
              <w:rPr>
                <w:rFonts w:eastAsia="Arial" w:cs="Arial"/>
                <w:bCs/>
              </w:rPr>
            </w:pPr>
            <w:r w:rsidRPr="00F34274">
              <w:rPr>
                <w:rFonts w:eastAsia="Arial" w:cs="Arial"/>
                <w:bCs/>
              </w:rPr>
              <w:t>3</w:t>
            </w:r>
          </w:p>
        </w:tc>
      </w:tr>
      <w:tr w:rsidR="00CD60C2" w:rsidRPr="00F34274" w14:paraId="6F95ABE2" w14:textId="77777777" w:rsidTr="00201E3C">
        <w:tc>
          <w:tcPr>
            <w:tcW w:w="2982" w:type="pct"/>
          </w:tcPr>
          <w:p w14:paraId="4C30D1B1" w14:textId="77777777" w:rsidR="00CD60C2" w:rsidRPr="00F34274" w:rsidRDefault="00CD60C2" w:rsidP="00957DB2">
            <w:pPr>
              <w:rPr>
                <w:rFonts w:eastAsia="Arial" w:cs="Arial"/>
                <w:bCs/>
              </w:rPr>
            </w:pPr>
            <w:r w:rsidRPr="00F34274">
              <w:rPr>
                <w:rFonts w:eastAsia="Arial" w:cs="Arial"/>
                <w:bCs/>
              </w:rPr>
              <w:t xml:space="preserve">Recruiting new employees </w:t>
            </w:r>
          </w:p>
        </w:tc>
        <w:tc>
          <w:tcPr>
            <w:tcW w:w="728" w:type="pct"/>
          </w:tcPr>
          <w:p w14:paraId="07E94C9E" w14:textId="77777777" w:rsidR="00CD60C2" w:rsidRPr="00F34274" w:rsidRDefault="00CD60C2" w:rsidP="00957DB2">
            <w:pPr>
              <w:rPr>
                <w:rFonts w:eastAsia="Arial" w:cs="Arial"/>
                <w:bCs/>
              </w:rPr>
            </w:pPr>
          </w:p>
        </w:tc>
        <w:tc>
          <w:tcPr>
            <w:tcW w:w="728" w:type="pct"/>
          </w:tcPr>
          <w:p w14:paraId="1C2D10A8" w14:textId="77777777" w:rsidR="00CD60C2" w:rsidRPr="00F34274" w:rsidRDefault="00CD60C2" w:rsidP="00957DB2">
            <w:pPr>
              <w:rPr>
                <w:rFonts w:eastAsia="Arial" w:cs="Arial"/>
                <w:bCs/>
              </w:rPr>
            </w:pPr>
          </w:p>
        </w:tc>
        <w:tc>
          <w:tcPr>
            <w:tcW w:w="562" w:type="pct"/>
          </w:tcPr>
          <w:p w14:paraId="07E4CCE9" w14:textId="77777777" w:rsidR="00CD60C2" w:rsidRPr="00F34274" w:rsidRDefault="00CD60C2" w:rsidP="00957DB2">
            <w:pPr>
              <w:rPr>
                <w:rFonts w:eastAsia="Arial" w:cs="Arial"/>
                <w:bCs/>
              </w:rPr>
            </w:pPr>
            <w:r w:rsidRPr="00F34274">
              <w:rPr>
                <w:rFonts w:eastAsia="Arial" w:cs="Arial"/>
                <w:bCs/>
              </w:rPr>
              <w:t>4</w:t>
            </w:r>
          </w:p>
        </w:tc>
      </w:tr>
      <w:tr w:rsidR="00CD60C2" w:rsidRPr="00F34274" w14:paraId="43D45F7B" w14:textId="77777777" w:rsidTr="00201E3C">
        <w:tc>
          <w:tcPr>
            <w:tcW w:w="2982" w:type="pct"/>
          </w:tcPr>
          <w:p w14:paraId="5BEFE181" w14:textId="77777777" w:rsidR="00CD60C2" w:rsidRPr="00F34274" w:rsidRDefault="00CD60C2" w:rsidP="00957DB2">
            <w:pPr>
              <w:rPr>
                <w:rFonts w:eastAsia="Arial" w:cs="Arial"/>
                <w:bCs/>
              </w:rPr>
            </w:pPr>
            <w:r w:rsidRPr="00F34274">
              <w:rPr>
                <w:rFonts w:eastAsia="Arial" w:cs="Arial"/>
                <w:bCs/>
              </w:rPr>
              <w:t xml:space="preserve">Maintaining research and development projects </w:t>
            </w:r>
          </w:p>
        </w:tc>
        <w:tc>
          <w:tcPr>
            <w:tcW w:w="728" w:type="pct"/>
          </w:tcPr>
          <w:p w14:paraId="1CAAFAFD" w14:textId="77777777" w:rsidR="00CD60C2" w:rsidRPr="00F34274" w:rsidRDefault="00CD60C2" w:rsidP="00957DB2">
            <w:pPr>
              <w:rPr>
                <w:rFonts w:eastAsia="Arial" w:cs="Arial"/>
                <w:bCs/>
              </w:rPr>
            </w:pPr>
          </w:p>
        </w:tc>
        <w:tc>
          <w:tcPr>
            <w:tcW w:w="728" w:type="pct"/>
          </w:tcPr>
          <w:p w14:paraId="666B8FAE" w14:textId="77777777" w:rsidR="00CD60C2" w:rsidRPr="00F34274" w:rsidRDefault="00CD60C2" w:rsidP="00957DB2">
            <w:pPr>
              <w:rPr>
                <w:rFonts w:eastAsia="Arial" w:cs="Arial"/>
                <w:bCs/>
              </w:rPr>
            </w:pPr>
          </w:p>
        </w:tc>
        <w:tc>
          <w:tcPr>
            <w:tcW w:w="562" w:type="pct"/>
          </w:tcPr>
          <w:p w14:paraId="4773E2E6" w14:textId="77777777" w:rsidR="00CD60C2" w:rsidRPr="00F34274" w:rsidRDefault="00CD60C2" w:rsidP="00957DB2">
            <w:pPr>
              <w:rPr>
                <w:rFonts w:eastAsia="Arial" w:cs="Arial"/>
                <w:bCs/>
              </w:rPr>
            </w:pPr>
            <w:r w:rsidRPr="00F34274">
              <w:rPr>
                <w:rFonts w:eastAsia="Arial" w:cs="Arial"/>
                <w:bCs/>
              </w:rPr>
              <w:t>5</w:t>
            </w:r>
          </w:p>
        </w:tc>
      </w:tr>
      <w:tr w:rsidR="00CD60C2" w:rsidRPr="00F34274" w14:paraId="5403FF62" w14:textId="77777777" w:rsidTr="00201E3C">
        <w:tc>
          <w:tcPr>
            <w:tcW w:w="2982" w:type="pct"/>
          </w:tcPr>
          <w:p w14:paraId="455FC7ED" w14:textId="77777777" w:rsidR="00CD60C2" w:rsidRPr="00F34274" w:rsidRDefault="00CD60C2" w:rsidP="00957DB2">
            <w:pPr>
              <w:rPr>
                <w:rFonts w:eastAsia="Arial" w:cs="Arial"/>
                <w:bCs/>
              </w:rPr>
            </w:pPr>
            <w:r w:rsidRPr="00F34274">
              <w:rPr>
                <w:rFonts w:eastAsia="Arial" w:cs="Arial"/>
                <w:bCs/>
              </w:rPr>
              <w:t xml:space="preserve">Starting new research and development or innovation projects </w:t>
            </w:r>
          </w:p>
        </w:tc>
        <w:tc>
          <w:tcPr>
            <w:tcW w:w="728" w:type="pct"/>
          </w:tcPr>
          <w:p w14:paraId="0685AB90" w14:textId="77777777" w:rsidR="00CD60C2" w:rsidRPr="00F34274" w:rsidRDefault="00CD60C2" w:rsidP="00957DB2">
            <w:pPr>
              <w:rPr>
                <w:rFonts w:eastAsia="Arial" w:cs="Arial"/>
                <w:bCs/>
              </w:rPr>
            </w:pPr>
          </w:p>
        </w:tc>
        <w:tc>
          <w:tcPr>
            <w:tcW w:w="728" w:type="pct"/>
          </w:tcPr>
          <w:p w14:paraId="51136C55" w14:textId="77777777" w:rsidR="00CD60C2" w:rsidRPr="00F34274" w:rsidRDefault="00CD60C2" w:rsidP="00957DB2">
            <w:pPr>
              <w:rPr>
                <w:rFonts w:eastAsia="Arial" w:cs="Arial"/>
                <w:bCs/>
              </w:rPr>
            </w:pPr>
          </w:p>
        </w:tc>
        <w:tc>
          <w:tcPr>
            <w:tcW w:w="562" w:type="pct"/>
          </w:tcPr>
          <w:p w14:paraId="712FDB7B" w14:textId="77777777" w:rsidR="00CD60C2" w:rsidRPr="00F34274" w:rsidRDefault="00CD60C2" w:rsidP="00957DB2">
            <w:pPr>
              <w:rPr>
                <w:rFonts w:eastAsia="Arial" w:cs="Arial"/>
                <w:bCs/>
              </w:rPr>
            </w:pPr>
            <w:r w:rsidRPr="00F34274">
              <w:rPr>
                <w:rFonts w:eastAsia="Arial" w:cs="Arial"/>
                <w:bCs/>
              </w:rPr>
              <w:t>6</w:t>
            </w:r>
          </w:p>
        </w:tc>
      </w:tr>
      <w:tr w:rsidR="00CD60C2" w:rsidRPr="00F34274" w14:paraId="7568C5A7" w14:textId="77777777" w:rsidTr="00201E3C">
        <w:tc>
          <w:tcPr>
            <w:tcW w:w="2982" w:type="pct"/>
          </w:tcPr>
          <w:p w14:paraId="38693CA0" w14:textId="77777777" w:rsidR="00CD60C2" w:rsidRPr="00F34274" w:rsidRDefault="00CD60C2" w:rsidP="00957DB2">
            <w:pPr>
              <w:rPr>
                <w:rFonts w:eastAsia="Arial" w:cs="Arial"/>
                <w:bCs/>
              </w:rPr>
            </w:pPr>
            <w:r w:rsidRPr="00F34274">
              <w:rPr>
                <w:rFonts w:eastAsia="Arial" w:cs="Arial"/>
                <w:bCs/>
              </w:rPr>
              <w:t>Creating intellectual property</w:t>
            </w:r>
          </w:p>
        </w:tc>
        <w:tc>
          <w:tcPr>
            <w:tcW w:w="728" w:type="pct"/>
          </w:tcPr>
          <w:p w14:paraId="3847A0CA" w14:textId="77777777" w:rsidR="00CD60C2" w:rsidRPr="00F34274" w:rsidRDefault="00CD60C2" w:rsidP="00957DB2">
            <w:pPr>
              <w:rPr>
                <w:rFonts w:eastAsia="Arial" w:cs="Arial"/>
                <w:bCs/>
              </w:rPr>
            </w:pPr>
          </w:p>
        </w:tc>
        <w:tc>
          <w:tcPr>
            <w:tcW w:w="728" w:type="pct"/>
          </w:tcPr>
          <w:p w14:paraId="2EF036FB" w14:textId="77777777" w:rsidR="00CD60C2" w:rsidRPr="00F34274" w:rsidRDefault="00CD60C2" w:rsidP="00957DB2">
            <w:pPr>
              <w:rPr>
                <w:rFonts w:eastAsia="Arial" w:cs="Arial"/>
                <w:bCs/>
              </w:rPr>
            </w:pPr>
          </w:p>
        </w:tc>
        <w:tc>
          <w:tcPr>
            <w:tcW w:w="562" w:type="pct"/>
          </w:tcPr>
          <w:p w14:paraId="507A0D9B" w14:textId="77777777" w:rsidR="00CD60C2" w:rsidRPr="00F34274" w:rsidRDefault="00CD60C2" w:rsidP="00957DB2">
            <w:pPr>
              <w:rPr>
                <w:rFonts w:eastAsia="Arial" w:cs="Arial"/>
                <w:bCs/>
              </w:rPr>
            </w:pPr>
            <w:r w:rsidRPr="00F34274">
              <w:rPr>
                <w:rFonts w:eastAsia="Arial" w:cs="Arial"/>
                <w:bCs/>
              </w:rPr>
              <w:t>7</w:t>
            </w:r>
          </w:p>
        </w:tc>
      </w:tr>
      <w:tr w:rsidR="00CD60C2" w:rsidRPr="00F34274" w14:paraId="5A8446F2" w14:textId="77777777" w:rsidTr="00201E3C">
        <w:tc>
          <w:tcPr>
            <w:tcW w:w="2982" w:type="pct"/>
          </w:tcPr>
          <w:p w14:paraId="4F738969" w14:textId="77777777" w:rsidR="00CD60C2" w:rsidRPr="00F34274" w:rsidRDefault="00CD60C2" w:rsidP="00957DB2">
            <w:pPr>
              <w:rPr>
                <w:rFonts w:eastAsia="Arial" w:cs="Arial"/>
                <w:bCs/>
              </w:rPr>
            </w:pPr>
            <w:r w:rsidRPr="00F34274">
              <w:rPr>
                <w:rFonts w:eastAsia="Arial" w:cs="Arial"/>
                <w:bCs/>
              </w:rPr>
              <w:t>Purchasing new fixed assets</w:t>
            </w:r>
          </w:p>
        </w:tc>
        <w:tc>
          <w:tcPr>
            <w:tcW w:w="728" w:type="pct"/>
          </w:tcPr>
          <w:p w14:paraId="1E6B50CC" w14:textId="77777777" w:rsidR="00CD60C2" w:rsidRPr="00F34274" w:rsidRDefault="00CD60C2" w:rsidP="00957DB2">
            <w:pPr>
              <w:rPr>
                <w:rFonts w:eastAsia="Arial" w:cs="Arial"/>
                <w:bCs/>
              </w:rPr>
            </w:pPr>
          </w:p>
        </w:tc>
        <w:tc>
          <w:tcPr>
            <w:tcW w:w="728" w:type="pct"/>
          </w:tcPr>
          <w:p w14:paraId="160758CF" w14:textId="77777777" w:rsidR="00CD60C2" w:rsidRPr="00F34274" w:rsidRDefault="00CD60C2" w:rsidP="00957DB2">
            <w:pPr>
              <w:rPr>
                <w:rFonts w:eastAsia="Arial" w:cs="Arial"/>
                <w:bCs/>
              </w:rPr>
            </w:pPr>
          </w:p>
        </w:tc>
        <w:tc>
          <w:tcPr>
            <w:tcW w:w="562" w:type="pct"/>
          </w:tcPr>
          <w:p w14:paraId="32E6C79B" w14:textId="77777777" w:rsidR="00CD60C2" w:rsidRPr="00F34274" w:rsidRDefault="00CD60C2" w:rsidP="00957DB2">
            <w:pPr>
              <w:rPr>
                <w:rFonts w:eastAsia="Arial" w:cs="Arial"/>
                <w:bCs/>
              </w:rPr>
            </w:pPr>
            <w:r w:rsidRPr="00F34274">
              <w:rPr>
                <w:rFonts w:eastAsia="Arial" w:cs="Arial"/>
                <w:bCs/>
              </w:rPr>
              <w:t>8</w:t>
            </w:r>
          </w:p>
        </w:tc>
      </w:tr>
      <w:tr w:rsidR="00CD60C2" w:rsidRPr="00F34274" w14:paraId="58958867" w14:textId="77777777" w:rsidTr="00201E3C">
        <w:tc>
          <w:tcPr>
            <w:tcW w:w="2982" w:type="pct"/>
          </w:tcPr>
          <w:p w14:paraId="1FA29040" w14:textId="77777777" w:rsidR="00CD60C2" w:rsidRPr="00F34274" w:rsidRDefault="00CD60C2" w:rsidP="00957DB2">
            <w:pPr>
              <w:rPr>
                <w:rFonts w:eastAsia="Arial" w:cs="Arial"/>
                <w:bCs/>
              </w:rPr>
            </w:pPr>
            <w:r w:rsidRPr="00F34274">
              <w:rPr>
                <w:rFonts w:eastAsia="Arial" w:cs="Arial"/>
                <w:bCs/>
              </w:rPr>
              <w:t>To fill cash flow gap from declining revenue</w:t>
            </w:r>
          </w:p>
        </w:tc>
        <w:tc>
          <w:tcPr>
            <w:tcW w:w="728" w:type="pct"/>
          </w:tcPr>
          <w:p w14:paraId="3A84B507" w14:textId="77777777" w:rsidR="00CD60C2" w:rsidRPr="00F34274" w:rsidRDefault="00CD60C2" w:rsidP="00957DB2">
            <w:pPr>
              <w:rPr>
                <w:rFonts w:eastAsia="Arial" w:cs="Arial"/>
                <w:bCs/>
              </w:rPr>
            </w:pPr>
          </w:p>
        </w:tc>
        <w:tc>
          <w:tcPr>
            <w:tcW w:w="728" w:type="pct"/>
          </w:tcPr>
          <w:p w14:paraId="102195DA" w14:textId="77777777" w:rsidR="00CD60C2" w:rsidRPr="00F34274" w:rsidRDefault="00CD60C2" w:rsidP="00957DB2">
            <w:pPr>
              <w:rPr>
                <w:rFonts w:eastAsia="Arial" w:cs="Arial"/>
                <w:bCs/>
              </w:rPr>
            </w:pPr>
          </w:p>
        </w:tc>
        <w:tc>
          <w:tcPr>
            <w:tcW w:w="562" w:type="pct"/>
          </w:tcPr>
          <w:p w14:paraId="737E8A88" w14:textId="77777777" w:rsidR="00CD60C2" w:rsidRPr="00F34274" w:rsidRDefault="00CD60C2" w:rsidP="00957DB2">
            <w:pPr>
              <w:rPr>
                <w:rFonts w:eastAsia="Arial" w:cs="Arial"/>
                <w:bCs/>
              </w:rPr>
            </w:pPr>
            <w:r w:rsidRPr="00F34274">
              <w:rPr>
                <w:rFonts w:eastAsia="Arial" w:cs="Arial"/>
                <w:bCs/>
              </w:rPr>
              <w:t>9</w:t>
            </w:r>
          </w:p>
        </w:tc>
      </w:tr>
      <w:tr w:rsidR="00CD60C2" w:rsidRPr="00F34274" w14:paraId="3933C1BD" w14:textId="77777777" w:rsidTr="00201E3C">
        <w:tc>
          <w:tcPr>
            <w:tcW w:w="2982" w:type="pct"/>
          </w:tcPr>
          <w:p w14:paraId="7B9EC123" w14:textId="77777777" w:rsidR="00CD60C2" w:rsidRPr="00F34274" w:rsidRDefault="00CD60C2" w:rsidP="00957DB2">
            <w:pPr>
              <w:rPr>
                <w:rFonts w:eastAsia="Arial" w:cs="Arial"/>
                <w:bCs/>
              </w:rPr>
            </w:pPr>
            <w:r w:rsidRPr="00F34274">
              <w:rPr>
                <w:rFonts w:eastAsia="Arial" w:cs="Arial"/>
                <w:bCs/>
              </w:rPr>
              <w:t>Expanding your business</w:t>
            </w:r>
          </w:p>
        </w:tc>
        <w:tc>
          <w:tcPr>
            <w:tcW w:w="728" w:type="pct"/>
          </w:tcPr>
          <w:p w14:paraId="1464673C" w14:textId="77777777" w:rsidR="00CD60C2" w:rsidRPr="00F34274" w:rsidRDefault="00CD60C2" w:rsidP="00957DB2">
            <w:pPr>
              <w:rPr>
                <w:rFonts w:eastAsia="Arial" w:cs="Arial"/>
                <w:bCs/>
              </w:rPr>
            </w:pPr>
          </w:p>
        </w:tc>
        <w:tc>
          <w:tcPr>
            <w:tcW w:w="728" w:type="pct"/>
          </w:tcPr>
          <w:p w14:paraId="6AD924AA" w14:textId="77777777" w:rsidR="00CD60C2" w:rsidRPr="00F34274" w:rsidRDefault="00CD60C2" w:rsidP="00957DB2">
            <w:pPr>
              <w:rPr>
                <w:rFonts w:eastAsia="Arial" w:cs="Arial"/>
                <w:bCs/>
              </w:rPr>
            </w:pPr>
          </w:p>
        </w:tc>
        <w:tc>
          <w:tcPr>
            <w:tcW w:w="562" w:type="pct"/>
          </w:tcPr>
          <w:p w14:paraId="27606C9E" w14:textId="77777777" w:rsidR="00CD60C2" w:rsidRPr="00F34274" w:rsidRDefault="00CD60C2" w:rsidP="00957DB2">
            <w:pPr>
              <w:rPr>
                <w:rFonts w:eastAsia="Arial" w:cs="Arial"/>
                <w:bCs/>
              </w:rPr>
            </w:pPr>
            <w:r w:rsidRPr="00F34274">
              <w:rPr>
                <w:rFonts w:eastAsia="Arial" w:cs="Arial"/>
                <w:bCs/>
              </w:rPr>
              <w:t>10</w:t>
            </w:r>
          </w:p>
        </w:tc>
      </w:tr>
      <w:tr w:rsidR="00CD60C2" w:rsidRPr="00F34274" w14:paraId="5E214659" w14:textId="77777777" w:rsidTr="00201E3C">
        <w:tc>
          <w:tcPr>
            <w:tcW w:w="2982" w:type="pct"/>
          </w:tcPr>
          <w:p w14:paraId="119C4F6C" w14:textId="77777777" w:rsidR="00CD60C2" w:rsidRPr="00F34274" w:rsidRDefault="00CD60C2" w:rsidP="00957DB2">
            <w:pPr>
              <w:rPr>
                <w:rFonts w:eastAsia="Arial" w:cs="Arial"/>
                <w:bCs/>
              </w:rPr>
            </w:pPr>
            <w:r w:rsidRPr="00F34274">
              <w:rPr>
                <w:rFonts w:eastAsia="Arial" w:cs="Arial"/>
                <w:bCs/>
              </w:rPr>
              <w:t>Taking on new clients</w:t>
            </w:r>
          </w:p>
        </w:tc>
        <w:tc>
          <w:tcPr>
            <w:tcW w:w="728" w:type="pct"/>
          </w:tcPr>
          <w:p w14:paraId="349F9AF5" w14:textId="77777777" w:rsidR="00CD60C2" w:rsidRPr="00F34274" w:rsidRDefault="00CD60C2" w:rsidP="00957DB2">
            <w:pPr>
              <w:rPr>
                <w:rFonts w:eastAsia="Arial" w:cs="Arial"/>
                <w:bCs/>
              </w:rPr>
            </w:pPr>
          </w:p>
        </w:tc>
        <w:tc>
          <w:tcPr>
            <w:tcW w:w="728" w:type="pct"/>
          </w:tcPr>
          <w:p w14:paraId="6A086FBC" w14:textId="77777777" w:rsidR="00CD60C2" w:rsidRPr="00F34274" w:rsidRDefault="00CD60C2" w:rsidP="00957DB2">
            <w:pPr>
              <w:rPr>
                <w:rFonts w:eastAsia="Arial" w:cs="Arial"/>
                <w:bCs/>
              </w:rPr>
            </w:pPr>
          </w:p>
        </w:tc>
        <w:tc>
          <w:tcPr>
            <w:tcW w:w="562" w:type="pct"/>
          </w:tcPr>
          <w:p w14:paraId="60B36B1E" w14:textId="77777777" w:rsidR="00CD60C2" w:rsidRPr="00F34274" w:rsidRDefault="00CD60C2" w:rsidP="00957DB2">
            <w:pPr>
              <w:rPr>
                <w:rFonts w:eastAsia="Arial" w:cs="Arial"/>
                <w:bCs/>
              </w:rPr>
            </w:pPr>
            <w:r w:rsidRPr="00F34274">
              <w:rPr>
                <w:rFonts w:eastAsia="Arial" w:cs="Arial"/>
                <w:bCs/>
              </w:rPr>
              <w:t>11</w:t>
            </w:r>
          </w:p>
        </w:tc>
      </w:tr>
      <w:tr w:rsidR="00CD60C2" w:rsidRPr="00F34274" w14:paraId="6C6651E1" w14:textId="77777777" w:rsidTr="00201E3C">
        <w:trPr>
          <w:trHeight w:val="393"/>
        </w:trPr>
        <w:tc>
          <w:tcPr>
            <w:tcW w:w="2982" w:type="pct"/>
          </w:tcPr>
          <w:p w14:paraId="3D94A61D" w14:textId="77777777" w:rsidR="00CD60C2" w:rsidRPr="00F34274" w:rsidRDefault="00CD60C2" w:rsidP="00957DB2">
            <w:pPr>
              <w:rPr>
                <w:rFonts w:eastAsia="Arial" w:cs="Arial"/>
                <w:bCs/>
              </w:rPr>
            </w:pPr>
            <w:r w:rsidRPr="00F34274">
              <w:rPr>
                <w:rFonts w:eastAsia="Arial" w:cs="Arial"/>
                <w:bCs/>
              </w:rPr>
              <w:t>Expanding abroad</w:t>
            </w:r>
          </w:p>
        </w:tc>
        <w:tc>
          <w:tcPr>
            <w:tcW w:w="728" w:type="pct"/>
          </w:tcPr>
          <w:p w14:paraId="0AB581F4" w14:textId="77777777" w:rsidR="00CD60C2" w:rsidRPr="00F34274" w:rsidRDefault="00CD60C2" w:rsidP="00957DB2">
            <w:pPr>
              <w:rPr>
                <w:rFonts w:eastAsia="Arial" w:cs="Arial"/>
                <w:bCs/>
              </w:rPr>
            </w:pPr>
          </w:p>
        </w:tc>
        <w:tc>
          <w:tcPr>
            <w:tcW w:w="728" w:type="pct"/>
          </w:tcPr>
          <w:p w14:paraId="704711D4" w14:textId="77777777" w:rsidR="00CD60C2" w:rsidRPr="00F34274" w:rsidRDefault="00CD60C2" w:rsidP="00957DB2">
            <w:pPr>
              <w:rPr>
                <w:rFonts w:eastAsia="Arial" w:cs="Arial"/>
                <w:bCs/>
              </w:rPr>
            </w:pPr>
          </w:p>
        </w:tc>
        <w:tc>
          <w:tcPr>
            <w:tcW w:w="562" w:type="pct"/>
          </w:tcPr>
          <w:p w14:paraId="7183E7F3" w14:textId="77777777" w:rsidR="00CD60C2" w:rsidRPr="00F34274" w:rsidRDefault="00CD60C2" w:rsidP="00957DB2">
            <w:pPr>
              <w:rPr>
                <w:rFonts w:eastAsia="Arial" w:cs="Arial"/>
                <w:bCs/>
              </w:rPr>
            </w:pPr>
            <w:r w:rsidRPr="00F34274">
              <w:rPr>
                <w:rFonts w:eastAsia="Arial" w:cs="Arial"/>
                <w:bCs/>
              </w:rPr>
              <w:t>12</w:t>
            </w:r>
          </w:p>
        </w:tc>
      </w:tr>
      <w:tr w:rsidR="00CD60C2" w:rsidRPr="00F34274" w14:paraId="2A3FC7C2" w14:textId="77777777" w:rsidTr="00201E3C">
        <w:tc>
          <w:tcPr>
            <w:tcW w:w="2982" w:type="pct"/>
          </w:tcPr>
          <w:p w14:paraId="2C6027A4" w14:textId="77777777" w:rsidR="00CD60C2" w:rsidRPr="00F34274" w:rsidRDefault="00CD60C2" w:rsidP="00957DB2">
            <w:pPr>
              <w:rPr>
                <w:rFonts w:eastAsia="Arial" w:cs="Arial"/>
                <w:bCs/>
              </w:rPr>
            </w:pPr>
            <w:r w:rsidRPr="00F34274">
              <w:rPr>
                <w:rFonts w:eastAsia="Arial" w:cs="Arial"/>
                <w:bCs/>
              </w:rPr>
              <w:t xml:space="preserve">Other [Please write in] </w:t>
            </w:r>
          </w:p>
        </w:tc>
        <w:tc>
          <w:tcPr>
            <w:tcW w:w="728" w:type="pct"/>
          </w:tcPr>
          <w:p w14:paraId="7FDD7EA3" w14:textId="77777777" w:rsidR="00CD60C2" w:rsidRPr="00F34274" w:rsidRDefault="00CD60C2" w:rsidP="00957DB2">
            <w:pPr>
              <w:rPr>
                <w:rFonts w:eastAsia="Arial" w:cs="Arial"/>
                <w:bCs/>
              </w:rPr>
            </w:pPr>
          </w:p>
        </w:tc>
        <w:tc>
          <w:tcPr>
            <w:tcW w:w="728" w:type="pct"/>
          </w:tcPr>
          <w:p w14:paraId="6F503F07" w14:textId="77777777" w:rsidR="00CD60C2" w:rsidRPr="00F34274" w:rsidRDefault="00CD60C2" w:rsidP="00957DB2">
            <w:pPr>
              <w:rPr>
                <w:rFonts w:eastAsia="Arial" w:cs="Arial"/>
                <w:bCs/>
              </w:rPr>
            </w:pPr>
          </w:p>
        </w:tc>
        <w:tc>
          <w:tcPr>
            <w:tcW w:w="562" w:type="pct"/>
          </w:tcPr>
          <w:p w14:paraId="748EEDA5" w14:textId="77777777" w:rsidR="00CD60C2" w:rsidRPr="00F34274" w:rsidRDefault="00CD60C2" w:rsidP="00957DB2">
            <w:pPr>
              <w:rPr>
                <w:rFonts w:eastAsia="Arial" w:cs="Arial"/>
                <w:bCs/>
              </w:rPr>
            </w:pPr>
            <w:r w:rsidRPr="00F34274">
              <w:rPr>
                <w:rFonts w:eastAsia="Arial" w:cs="Arial"/>
                <w:bCs/>
              </w:rPr>
              <w:t>98</w:t>
            </w:r>
          </w:p>
        </w:tc>
      </w:tr>
      <w:tr w:rsidR="00CD60C2" w:rsidRPr="00F34274" w14:paraId="281D8BA2" w14:textId="77777777" w:rsidTr="00201E3C">
        <w:tc>
          <w:tcPr>
            <w:tcW w:w="2982" w:type="pct"/>
          </w:tcPr>
          <w:p w14:paraId="6BDF17D8" w14:textId="77777777" w:rsidR="00CD60C2" w:rsidRPr="00F34274" w:rsidRDefault="00CD60C2" w:rsidP="00957DB2">
            <w:pPr>
              <w:rPr>
                <w:rFonts w:eastAsia="Arial" w:cs="Arial"/>
                <w:bCs/>
              </w:rPr>
            </w:pPr>
            <w:r w:rsidRPr="00F34274">
              <w:rPr>
                <w:rFonts w:eastAsia="Arial" w:cs="Arial"/>
                <w:bCs/>
              </w:rPr>
              <w:t>Don’t know</w:t>
            </w:r>
          </w:p>
        </w:tc>
        <w:tc>
          <w:tcPr>
            <w:tcW w:w="728" w:type="pct"/>
          </w:tcPr>
          <w:p w14:paraId="68A2A66A" w14:textId="77777777" w:rsidR="00CD60C2" w:rsidRPr="00F34274" w:rsidRDefault="00CD60C2" w:rsidP="00957DB2">
            <w:pPr>
              <w:rPr>
                <w:rFonts w:eastAsia="Arial" w:cs="Arial"/>
                <w:bCs/>
              </w:rPr>
            </w:pPr>
          </w:p>
        </w:tc>
        <w:tc>
          <w:tcPr>
            <w:tcW w:w="728" w:type="pct"/>
          </w:tcPr>
          <w:p w14:paraId="42D70E8B" w14:textId="77777777" w:rsidR="00CD60C2" w:rsidRPr="00F34274" w:rsidRDefault="00CD60C2" w:rsidP="00957DB2">
            <w:pPr>
              <w:rPr>
                <w:rFonts w:eastAsia="Arial" w:cs="Arial"/>
                <w:bCs/>
              </w:rPr>
            </w:pPr>
          </w:p>
        </w:tc>
        <w:tc>
          <w:tcPr>
            <w:tcW w:w="562" w:type="pct"/>
          </w:tcPr>
          <w:p w14:paraId="4F55C2C3" w14:textId="77777777" w:rsidR="00CD60C2" w:rsidRPr="00F34274" w:rsidRDefault="00CD60C2" w:rsidP="00957DB2">
            <w:pPr>
              <w:rPr>
                <w:rFonts w:eastAsia="Arial" w:cs="Arial"/>
                <w:bCs/>
              </w:rPr>
            </w:pPr>
            <w:r w:rsidRPr="00F34274">
              <w:rPr>
                <w:rFonts w:eastAsia="Arial" w:cs="Arial"/>
                <w:bCs/>
              </w:rPr>
              <w:t>99</w:t>
            </w:r>
          </w:p>
        </w:tc>
      </w:tr>
    </w:tbl>
    <w:p w14:paraId="108282B2" w14:textId="77777777" w:rsidR="00CD60C2" w:rsidRPr="00F34274" w:rsidRDefault="00CD60C2" w:rsidP="00957DB2">
      <w:pPr>
        <w:rPr>
          <w:rFonts w:eastAsia="Arial" w:cs="Arial"/>
        </w:rPr>
      </w:pPr>
    </w:p>
    <w:p w14:paraId="79DCAD05" w14:textId="77777777" w:rsidR="00CD60C2" w:rsidRPr="00F34274" w:rsidRDefault="00CD60C2" w:rsidP="00957DB2">
      <w:pPr>
        <w:rPr>
          <w:rFonts w:eastAsia="Arial" w:cs="Arial"/>
        </w:rPr>
      </w:pPr>
      <w:r w:rsidRPr="00F34274">
        <w:rPr>
          <w:rFonts w:eastAsia="Arial" w:cs="Arial"/>
        </w:rPr>
        <w:lastRenderedPageBreak/>
        <w:t>ALL</w:t>
      </w:r>
    </w:p>
    <w:p w14:paraId="21E68829" w14:textId="77777777" w:rsidR="00CD60C2" w:rsidRPr="00F34274" w:rsidRDefault="00CD60C2" w:rsidP="00957DB2">
      <w:pPr>
        <w:rPr>
          <w:rFonts w:eastAsia="Arial" w:cs="Arial"/>
          <w:bCs/>
        </w:rPr>
      </w:pPr>
      <w:r w:rsidRPr="00F34274">
        <w:rPr>
          <w:rFonts w:eastAsia="Arial" w:cs="Arial"/>
          <w:bCs/>
        </w:rPr>
        <w:t xml:space="preserve">25. Since obtaining the funding from your Investor, has your business </w:t>
      </w:r>
      <w:r w:rsidRPr="00F34274">
        <w:rPr>
          <w:rFonts w:eastAsia="Arial" w:cs="Arial"/>
          <w:bCs/>
          <w:u w:val="single"/>
        </w:rPr>
        <w:t>undertaken or planned to undertake</w:t>
      </w:r>
      <w:r w:rsidRPr="00F34274">
        <w:rPr>
          <w:rFonts w:eastAsia="Arial" w:cs="Arial"/>
          <w:bCs/>
        </w:rPr>
        <w:t xml:space="preserve"> any of the following activities?</w:t>
      </w:r>
    </w:p>
    <w:p w14:paraId="240263BD" w14:textId="77777777" w:rsidR="00CD60C2" w:rsidRPr="00F34274" w:rsidRDefault="00CD60C2" w:rsidP="00957DB2">
      <w:pPr>
        <w:rPr>
          <w:rFonts w:eastAsia="Arial" w:cs="Arial"/>
          <w:i/>
          <w:iCs/>
        </w:rPr>
      </w:pPr>
      <w:r w:rsidRPr="00F34274">
        <w:rPr>
          <w:rFonts w:eastAsia="Arial" w:cs="Arial"/>
        </w:rPr>
        <w:t xml:space="preserve">PLEASE CHECK ALL THAT APPLY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2"/>
        <w:gridCol w:w="1450"/>
        <w:gridCol w:w="1452"/>
        <w:gridCol w:w="1118"/>
      </w:tblGrid>
      <w:tr w:rsidR="00CD60C2" w:rsidRPr="00F34274" w14:paraId="17F5CA6E" w14:textId="77777777" w:rsidTr="00201E3C">
        <w:tc>
          <w:tcPr>
            <w:tcW w:w="2982" w:type="pct"/>
          </w:tcPr>
          <w:p w14:paraId="0AB91125" w14:textId="77777777" w:rsidR="00CD60C2" w:rsidRPr="00F34274" w:rsidRDefault="00CD60C2" w:rsidP="00957DB2">
            <w:pPr>
              <w:rPr>
                <w:rFonts w:eastAsia="Arial" w:cs="Arial"/>
              </w:rPr>
            </w:pPr>
            <w:r w:rsidRPr="00F34274">
              <w:rPr>
                <w:rFonts w:eastAsia="Arial" w:cs="Arial"/>
              </w:rPr>
              <w:t>Options</w:t>
            </w:r>
          </w:p>
        </w:tc>
        <w:tc>
          <w:tcPr>
            <w:tcW w:w="728" w:type="pct"/>
          </w:tcPr>
          <w:p w14:paraId="78D376DB" w14:textId="77777777" w:rsidR="00CD60C2" w:rsidRPr="00F34274" w:rsidRDefault="00CD60C2" w:rsidP="00957DB2">
            <w:pPr>
              <w:rPr>
                <w:rFonts w:eastAsia="Arial" w:cs="Arial"/>
              </w:rPr>
            </w:pPr>
            <w:r w:rsidRPr="00F34274">
              <w:rPr>
                <w:rFonts w:eastAsia="Arial" w:cs="Arial"/>
              </w:rPr>
              <w:t xml:space="preserve">a) </w:t>
            </w:r>
          </w:p>
          <w:p w14:paraId="63839529" w14:textId="77777777" w:rsidR="00CD60C2" w:rsidRPr="00F34274" w:rsidRDefault="00CD60C2" w:rsidP="00957DB2">
            <w:pPr>
              <w:rPr>
                <w:rFonts w:eastAsia="Arial" w:cs="Arial"/>
              </w:rPr>
            </w:pPr>
            <w:r w:rsidRPr="00F34274">
              <w:rPr>
                <w:rFonts w:eastAsia="Arial" w:cs="Arial"/>
              </w:rPr>
              <w:t>Have undertaken</w:t>
            </w:r>
          </w:p>
        </w:tc>
        <w:tc>
          <w:tcPr>
            <w:tcW w:w="729" w:type="pct"/>
          </w:tcPr>
          <w:p w14:paraId="49FE2B6C" w14:textId="77777777" w:rsidR="00CD60C2" w:rsidRPr="00F34274" w:rsidRDefault="00CD60C2" w:rsidP="00957DB2">
            <w:pPr>
              <w:rPr>
                <w:rFonts w:eastAsia="Arial" w:cs="Arial"/>
              </w:rPr>
            </w:pPr>
            <w:r w:rsidRPr="00F34274">
              <w:rPr>
                <w:rFonts w:eastAsia="Arial" w:cs="Arial"/>
              </w:rPr>
              <w:t>b) Planned to undertake</w:t>
            </w:r>
          </w:p>
        </w:tc>
        <w:tc>
          <w:tcPr>
            <w:tcW w:w="561" w:type="pct"/>
            <w:vAlign w:val="center"/>
          </w:tcPr>
          <w:p w14:paraId="36D4ACCB" w14:textId="77777777" w:rsidR="00CD60C2" w:rsidRPr="00F34274" w:rsidRDefault="00CD60C2" w:rsidP="00957DB2">
            <w:pPr>
              <w:rPr>
                <w:rFonts w:eastAsia="Arial" w:cs="Arial"/>
              </w:rPr>
            </w:pPr>
          </w:p>
        </w:tc>
      </w:tr>
      <w:tr w:rsidR="00CD60C2" w:rsidRPr="00F34274" w14:paraId="069B6220" w14:textId="77777777" w:rsidTr="00201E3C">
        <w:tc>
          <w:tcPr>
            <w:tcW w:w="2982" w:type="pct"/>
          </w:tcPr>
          <w:p w14:paraId="4B6399E7" w14:textId="77777777" w:rsidR="00CD60C2" w:rsidRPr="00F34274" w:rsidRDefault="00CD60C2" w:rsidP="00957DB2">
            <w:pPr>
              <w:rPr>
                <w:rFonts w:eastAsia="Arial" w:cs="Arial"/>
              </w:rPr>
            </w:pPr>
            <w:r w:rsidRPr="00F34274">
              <w:rPr>
                <w:rFonts w:eastAsia="Arial" w:cs="Arial"/>
              </w:rPr>
              <w:t xml:space="preserve">Adoption/expansion of digital technologies </w:t>
            </w:r>
          </w:p>
          <w:p w14:paraId="471418BF" w14:textId="77777777" w:rsidR="00CD60C2" w:rsidRPr="00F34274" w:rsidRDefault="00CD60C2" w:rsidP="00957DB2">
            <w:pPr>
              <w:rPr>
                <w:rFonts w:eastAsia="Arial" w:cs="Arial"/>
              </w:rPr>
            </w:pPr>
            <w:r w:rsidRPr="00F34274">
              <w:rPr>
                <w:rFonts w:eastAsia="Arial" w:cs="Arial"/>
              </w:rPr>
              <w:t xml:space="preserve">Examples </w:t>
            </w:r>
            <w:proofErr w:type="gramStart"/>
            <w:r w:rsidRPr="00F34274">
              <w:rPr>
                <w:rFonts w:eastAsia="Arial" w:cs="Arial"/>
              </w:rPr>
              <w:t>include:</w:t>
            </w:r>
            <w:proofErr w:type="gramEnd"/>
            <w:r w:rsidRPr="00F34274">
              <w:rPr>
                <w:rFonts w:eastAsia="Arial" w:cs="Arial"/>
              </w:rPr>
              <w:t xml:space="preserve"> video conferencing, online marketing, social media, website for selling products or services, artificial intelligence, machine learning etc</w:t>
            </w:r>
          </w:p>
        </w:tc>
        <w:tc>
          <w:tcPr>
            <w:tcW w:w="728" w:type="pct"/>
          </w:tcPr>
          <w:p w14:paraId="69062B74" w14:textId="77777777" w:rsidR="00CD60C2" w:rsidRPr="00F34274" w:rsidRDefault="00CD60C2" w:rsidP="00957DB2">
            <w:pPr>
              <w:rPr>
                <w:rFonts w:eastAsia="Arial" w:cs="Arial"/>
              </w:rPr>
            </w:pPr>
          </w:p>
        </w:tc>
        <w:tc>
          <w:tcPr>
            <w:tcW w:w="729" w:type="pct"/>
          </w:tcPr>
          <w:p w14:paraId="2CBDF9B4" w14:textId="77777777" w:rsidR="00CD60C2" w:rsidRPr="00F34274" w:rsidRDefault="00CD60C2" w:rsidP="00957DB2">
            <w:pPr>
              <w:rPr>
                <w:rFonts w:eastAsia="Arial" w:cs="Arial"/>
              </w:rPr>
            </w:pPr>
          </w:p>
        </w:tc>
        <w:tc>
          <w:tcPr>
            <w:tcW w:w="561" w:type="pct"/>
            <w:vAlign w:val="center"/>
          </w:tcPr>
          <w:p w14:paraId="0F212BD6" w14:textId="77777777" w:rsidR="00CD60C2" w:rsidRPr="00F34274" w:rsidRDefault="00CD60C2" w:rsidP="00957DB2">
            <w:pPr>
              <w:rPr>
                <w:rFonts w:eastAsia="Arial" w:cs="Arial"/>
              </w:rPr>
            </w:pPr>
            <w:r w:rsidRPr="00F34274">
              <w:rPr>
                <w:rFonts w:eastAsia="Arial" w:cs="Arial"/>
              </w:rPr>
              <w:t>1</w:t>
            </w:r>
          </w:p>
        </w:tc>
      </w:tr>
      <w:tr w:rsidR="00CD60C2" w:rsidRPr="00F34274" w14:paraId="03B18B79" w14:textId="77777777" w:rsidTr="00201E3C">
        <w:tc>
          <w:tcPr>
            <w:tcW w:w="2982" w:type="pct"/>
          </w:tcPr>
          <w:p w14:paraId="12100DA4" w14:textId="77777777" w:rsidR="00CD60C2" w:rsidRPr="00F34274" w:rsidRDefault="00CD60C2" w:rsidP="00957DB2">
            <w:pPr>
              <w:rPr>
                <w:rFonts w:eastAsia="Arial" w:cs="Arial"/>
              </w:rPr>
            </w:pPr>
            <w:r w:rsidRPr="00F34274">
              <w:rPr>
                <w:rFonts w:eastAsia="Arial" w:cs="Arial"/>
              </w:rPr>
              <w:t>Research and development (R&amp;D) activities (excluding R&amp;D related to the environment)</w:t>
            </w:r>
          </w:p>
        </w:tc>
        <w:tc>
          <w:tcPr>
            <w:tcW w:w="728" w:type="pct"/>
          </w:tcPr>
          <w:p w14:paraId="0CE7FFE8" w14:textId="77777777" w:rsidR="00CD60C2" w:rsidRPr="00F34274" w:rsidRDefault="00CD60C2" w:rsidP="00957DB2">
            <w:pPr>
              <w:rPr>
                <w:rFonts w:eastAsia="Arial" w:cs="Arial"/>
              </w:rPr>
            </w:pPr>
          </w:p>
        </w:tc>
        <w:tc>
          <w:tcPr>
            <w:tcW w:w="729" w:type="pct"/>
          </w:tcPr>
          <w:p w14:paraId="3B512B04" w14:textId="77777777" w:rsidR="00CD60C2" w:rsidRPr="00F34274" w:rsidRDefault="00CD60C2" w:rsidP="00957DB2">
            <w:pPr>
              <w:rPr>
                <w:rFonts w:eastAsia="Arial" w:cs="Arial"/>
              </w:rPr>
            </w:pPr>
          </w:p>
        </w:tc>
        <w:tc>
          <w:tcPr>
            <w:tcW w:w="561" w:type="pct"/>
            <w:vAlign w:val="center"/>
          </w:tcPr>
          <w:p w14:paraId="33EC1A16" w14:textId="77777777" w:rsidR="00CD60C2" w:rsidRPr="00F34274" w:rsidRDefault="00CD60C2" w:rsidP="00957DB2">
            <w:pPr>
              <w:rPr>
                <w:rFonts w:eastAsia="Arial" w:cs="Arial"/>
              </w:rPr>
            </w:pPr>
            <w:r w:rsidRPr="00F34274">
              <w:rPr>
                <w:rFonts w:eastAsia="Arial" w:cs="Arial"/>
              </w:rPr>
              <w:t>2</w:t>
            </w:r>
          </w:p>
        </w:tc>
      </w:tr>
      <w:tr w:rsidR="00CD60C2" w:rsidRPr="00F34274" w14:paraId="1CD11290" w14:textId="77777777" w:rsidTr="00201E3C">
        <w:tc>
          <w:tcPr>
            <w:tcW w:w="2982" w:type="pct"/>
          </w:tcPr>
          <w:p w14:paraId="4D404D64" w14:textId="77777777" w:rsidR="00CD60C2" w:rsidRPr="00F34274" w:rsidRDefault="00CD60C2" w:rsidP="00957DB2">
            <w:pPr>
              <w:rPr>
                <w:rFonts w:eastAsia="Arial" w:cs="Arial"/>
              </w:rPr>
            </w:pPr>
            <w:r w:rsidRPr="00F34274">
              <w:rPr>
                <w:rFonts w:eastAsia="Arial" w:cs="Arial"/>
              </w:rPr>
              <w:t xml:space="preserve">Actions to reduce your business’s carbon emissions (including R&amp;D related to the environment) </w:t>
            </w:r>
          </w:p>
          <w:p w14:paraId="36E5C427" w14:textId="77777777" w:rsidR="00CD60C2" w:rsidRPr="00F34274" w:rsidRDefault="00CD60C2" w:rsidP="00957DB2">
            <w:pPr>
              <w:rPr>
                <w:rFonts w:eastAsia="Arial" w:cs="Arial"/>
              </w:rPr>
            </w:pPr>
            <w:r w:rsidRPr="00F34274">
              <w:rPr>
                <w:rFonts w:eastAsia="Arial" w:cs="Arial"/>
              </w:rPr>
              <w:t xml:space="preserve">Examples </w:t>
            </w:r>
            <w:proofErr w:type="gramStart"/>
            <w:r w:rsidRPr="00F34274">
              <w:rPr>
                <w:rFonts w:eastAsia="Arial" w:cs="Arial"/>
              </w:rPr>
              <w:t>include:</w:t>
            </w:r>
            <w:proofErr w:type="gramEnd"/>
            <w:r w:rsidRPr="00F34274">
              <w:rPr>
                <w:rFonts w:eastAsia="Arial" w:cs="Arial"/>
              </w:rPr>
              <w:t xml:space="preserve"> increased reliance on renewable energy, training staff on environmental matters, conducting R&amp;D relating to the environment </w:t>
            </w:r>
          </w:p>
        </w:tc>
        <w:tc>
          <w:tcPr>
            <w:tcW w:w="728" w:type="pct"/>
          </w:tcPr>
          <w:p w14:paraId="27A2E94E" w14:textId="77777777" w:rsidR="00CD60C2" w:rsidRPr="00F34274" w:rsidRDefault="00CD60C2" w:rsidP="00957DB2">
            <w:pPr>
              <w:rPr>
                <w:rFonts w:eastAsia="Arial" w:cs="Arial"/>
              </w:rPr>
            </w:pPr>
          </w:p>
        </w:tc>
        <w:tc>
          <w:tcPr>
            <w:tcW w:w="729" w:type="pct"/>
          </w:tcPr>
          <w:p w14:paraId="2FDD26B6" w14:textId="77777777" w:rsidR="00CD60C2" w:rsidRPr="00F34274" w:rsidRDefault="00CD60C2" w:rsidP="00957DB2">
            <w:pPr>
              <w:rPr>
                <w:rFonts w:eastAsia="Arial" w:cs="Arial"/>
              </w:rPr>
            </w:pPr>
          </w:p>
        </w:tc>
        <w:tc>
          <w:tcPr>
            <w:tcW w:w="561" w:type="pct"/>
            <w:vAlign w:val="center"/>
          </w:tcPr>
          <w:p w14:paraId="5222D1A2" w14:textId="77777777" w:rsidR="00CD60C2" w:rsidRPr="00F34274" w:rsidRDefault="00CD60C2" w:rsidP="00957DB2">
            <w:pPr>
              <w:rPr>
                <w:rFonts w:eastAsia="Arial" w:cs="Arial"/>
              </w:rPr>
            </w:pPr>
            <w:r w:rsidRPr="00F34274">
              <w:rPr>
                <w:rFonts w:eastAsia="Arial" w:cs="Arial"/>
              </w:rPr>
              <w:t>3</w:t>
            </w:r>
          </w:p>
        </w:tc>
      </w:tr>
      <w:tr w:rsidR="00CD60C2" w:rsidRPr="00F34274" w14:paraId="323B7AA9" w14:textId="77777777" w:rsidTr="00201E3C">
        <w:tc>
          <w:tcPr>
            <w:tcW w:w="2982" w:type="pct"/>
          </w:tcPr>
          <w:p w14:paraId="1BC1E892" w14:textId="77777777" w:rsidR="00CD60C2" w:rsidRPr="00F34274" w:rsidRDefault="00CD60C2" w:rsidP="00957DB2">
            <w:pPr>
              <w:rPr>
                <w:rFonts w:eastAsia="Arial" w:cs="Arial"/>
              </w:rPr>
            </w:pPr>
            <w:r w:rsidRPr="00F34274">
              <w:rPr>
                <w:rFonts w:eastAsia="Arial" w:cs="Arial"/>
              </w:rPr>
              <w:t xml:space="preserve">The development of new or modified processes or business models </w:t>
            </w:r>
          </w:p>
        </w:tc>
        <w:tc>
          <w:tcPr>
            <w:tcW w:w="728" w:type="pct"/>
          </w:tcPr>
          <w:p w14:paraId="7903DCBD" w14:textId="77777777" w:rsidR="00CD60C2" w:rsidRPr="00F34274" w:rsidRDefault="00CD60C2" w:rsidP="00957DB2">
            <w:pPr>
              <w:rPr>
                <w:rFonts w:eastAsia="Arial" w:cs="Arial"/>
              </w:rPr>
            </w:pPr>
          </w:p>
        </w:tc>
        <w:tc>
          <w:tcPr>
            <w:tcW w:w="729" w:type="pct"/>
          </w:tcPr>
          <w:p w14:paraId="2438253D" w14:textId="77777777" w:rsidR="00CD60C2" w:rsidRPr="00F34274" w:rsidRDefault="00CD60C2" w:rsidP="00957DB2">
            <w:pPr>
              <w:rPr>
                <w:rFonts w:eastAsia="Arial" w:cs="Arial"/>
              </w:rPr>
            </w:pPr>
          </w:p>
        </w:tc>
        <w:tc>
          <w:tcPr>
            <w:tcW w:w="561" w:type="pct"/>
            <w:vAlign w:val="center"/>
          </w:tcPr>
          <w:p w14:paraId="18F96244" w14:textId="77777777" w:rsidR="00CD60C2" w:rsidRPr="00F34274" w:rsidRDefault="00CD60C2" w:rsidP="00957DB2">
            <w:pPr>
              <w:rPr>
                <w:rFonts w:eastAsia="Arial" w:cs="Arial"/>
              </w:rPr>
            </w:pPr>
            <w:r w:rsidRPr="00F34274">
              <w:rPr>
                <w:rFonts w:eastAsia="Arial" w:cs="Arial"/>
              </w:rPr>
              <w:t>4</w:t>
            </w:r>
          </w:p>
        </w:tc>
      </w:tr>
      <w:tr w:rsidR="00CD60C2" w:rsidRPr="00F34274" w14:paraId="359A24DC" w14:textId="77777777" w:rsidTr="00201E3C">
        <w:tc>
          <w:tcPr>
            <w:tcW w:w="2982" w:type="pct"/>
          </w:tcPr>
          <w:p w14:paraId="2EDD6276" w14:textId="77777777" w:rsidR="00CD60C2" w:rsidRPr="00F34274" w:rsidRDefault="00CD60C2" w:rsidP="00957DB2">
            <w:pPr>
              <w:rPr>
                <w:rFonts w:eastAsia="Arial" w:cs="Arial"/>
              </w:rPr>
            </w:pPr>
            <w:r w:rsidRPr="00F34274">
              <w:rPr>
                <w:rFonts w:eastAsia="Arial" w:cs="Arial"/>
              </w:rPr>
              <w:t xml:space="preserve">The development of new or modified goods or services </w:t>
            </w:r>
          </w:p>
        </w:tc>
        <w:tc>
          <w:tcPr>
            <w:tcW w:w="728" w:type="pct"/>
          </w:tcPr>
          <w:p w14:paraId="7E172420" w14:textId="77777777" w:rsidR="00CD60C2" w:rsidRPr="00F34274" w:rsidRDefault="00CD60C2" w:rsidP="00957DB2">
            <w:pPr>
              <w:rPr>
                <w:rFonts w:eastAsia="Arial" w:cs="Arial"/>
              </w:rPr>
            </w:pPr>
          </w:p>
        </w:tc>
        <w:tc>
          <w:tcPr>
            <w:tcW w:w="729" w:type="pct"/>
          </w:tcPr>
          <w:p w14:paraId="58D1E8F8" w14:textId="77777777" w:rsidR="00CD60C2" w:rsidRPr="00F34274" w:rsidRDefault="00CD60C2" w:rsidP="00957DB2">
            <w:pPr>
              <w:rPr>
                <w:rFonts w:eastAsia="Arial" w:cs="Arial"/>
              </w:rPr>
            </w:pPr>
          </w:p>
        </w:tc>
        <w:tc>
          <w:tcPr>
            <w:tcW w:w="561" w:type="pct"/>
            <w:vAlign w:val="center"/>
          </w:tcPr>
          <w:p w14:paraId="07E349FD" w14:textId="77777777" w:rsidR="00CD60C2" w:rsidRPr="00F34274" w:rsidRDefault="00CD60C2" w:rsidP="00957DB2">
            <w:pPr>
              <w:rPr>
                <w:rFonts w:eastAsia="Arial" w:cs="Arial"/>
              </w:rPr>
            </w:pPr>
            <w:r w:rsidRPr="00F34274">
              <w:rPr>
                <w:rFonts w:eastAsia="Arial" w:cs="Arial"/>
              </w:rPr>
              <w:t>5</w:t>
            </w:r>
          </w:p>
        </w:tc>
      </w:tr>
      <w:tr w:rsidR="00CD60C2" w:rsidRPr="00F34274" w14:paraId="4985396A" w14:textId="77777777" w:rsidTr="00201E3C">
        <w:tc>
          <w:tcPr>
            <w:tcW w:w="2982" w:type="pct"/>
          </w:tcPr>
          <w:p w14:paraId="7584DD5E" w14:textId="77777777" w:rsidR="00CD60C2" w:rsidRPr="00F34274" w:rsidRDefault="00CD60C2" w:rsidP="00957DB2">
            <w:pPr>
              <w:rPr>
                <w:rFonts w:eastAsia="Arial" w:cs="Arial"/>
              </w:rPr>
            </w:pPr>
            <w:r w:rsidRPr="00F34274">
              <w:rPr>
                <w:rFonts w:eastAsia="Arial" w:cs="Arial"/>
              </w:rPr>
              <w:t>Building business resilience</w:t>
            </w:r>
          </w:p>
          <w:p w14:paraId="052D4A00" w14:textId="77777777" w:rsidR="00CD60C2" w:rsidRPr="00F34274" w:rsidRDefault="00CD60C2" w:rsidP="00957DB2">
            <w:pPr>
              <w:rPr>
                <w:rFonts w:eastAsia="Arial" w:cs="Arial"/>
              </w:rPr>
            </w:pPr>
            <w:r w:rsidRPr="00F34274">
              <w:rPr>
                <w:rFonts w:eastAsia="Arial" w:cs="Arial"/>
              </w:rPr>
              <w:t>Examples include: ringfencing funds for emergencies, developing resilience plans or a risk register</w:t>
            </w:r>
          </w:p>
        </w:tc>
        <w:tc>
          <w:tcPr>
            <w:tcW w:w="728" w:type="pct"/>
          </w:tcPr>
          <w:p w14:paraId="357C9660" w14:textId="77777777" w:rsidR="00CD60C2" w:rsidRPr="00F34274" w:rsidRDefault="00CD60C2" w:rsidP="00957DB2">
            <w:pPr>
              <w:rPr>
                <w:rFonts w:eastAsia="Arial" w:cs="Arial"/>
              </w:rPr>
            </w:pPr>
          </w:p>
        </w:tc>
        <w:tc>
          <w:tcPr>
            <w:tcW w:w="729" w:type="pct"/>
          </w:tcPr>
          <w:p w14:paraId="07A1B972" w14:textId="77777777" w:rsidR="00CD60C2" w:rsidRPr="00F34274" w:rsidRDefault="00CD60C2" w:rsidP="00957DB2">
            <w:pPr>
              <w:rPr>
                <w:rFonts w:eastAsia="Arial" w:cs="Arial"/>
              </w:rPr>
            </w:pPr>
          </w:p>
        </w:tc>
        <w:tc>
          <w:tcPr>
            <w:tcW w:w="561" w:type="pct"/>
            <w:vAlign w:val="center"/>
          </w:tcPr>
          <w:p w14:paraId="6253F259" w14:textId="77777777" w:rsidR="00CD60C2" w:rsidRPr="00F34274" w:rsidRDefault="00CD60C2" w:rsidP="00957DB2">
            <w:pPr>
              <w:rPr>
                <w:rFonts w:eastAsia="Arial" w:cs="Arial"/>
              </w:rPr>
            </w:pPr>
            <w:r w:rsidRPr="00F34274">
              <w:rPr>
                <w:rFonts w:eastAsia="Arial" w:cs="Arial"/>
              </w:rPr>
              <w:t>6</w:t>
            </w:r>
          </w:p>
        </w:tc>
      </w:tr>
      <w:tr w:rsidR="00CD60C2" w:rsidRPr="00F34274" w14:paraId="11487BBA" w14:textId="77777777" w:rsidTr="00201E3C">
        <w:tc>
          <w:tcPr>
            <w:tcW w:w="2982" w:type="pct"/>
          </w:tcPr>
          <w:p w14:paraId="16F885BB" w14:textId="77777777" w:rsidR="00CD60C2" w:rsidRPr="00F34274" w:rsidRDefault="00CD60C2" w:rsidP="00957DB2">
            <w:pPr>
              <w:rPr>
                <w:rFonts w:eastAsia="Arial" w:cs="Arial"/>
                <w:b/>
                <w:bCs/>
              </w:rPr>
            </w:pPr>
            <w:r w:rsidRPr="00F34274">
              <w:rPr>
                <w:rFonts w:eastAsia="Arial" w:cs="Arial"/>
              </w:rPr>
              <w:t>None of the above</w:t>
            </w:r>
          </w:p>
        </w:tc>
        <w:tc>
          <w:tcPr>
            <w:tcW w:w="728" w:type="pct"/>
          </w:tcPr>
          <w:p w14:paraId="572F11D3" w14:textId="77777777" w:rsidR="00CD60C2" w:rsidRPr="00F34274" w:rsidRDefault="00CD60C2" w:rsidP="00957DB2">
            <w:pPr>
              <w:rPr>
                <w:rFonts w:eastAsia="Arial" w:cs="Arial"/>
              </w:rPr>
            </w:pPr>
          </w:p>
        </w:tc>
        <w:tc>
          <w:tcPr>
            <w:tcW w:w="729" w:type="pct"/>
          </w:tcPr>
          <w:p w14:paraId="43CBC303" w14:textId="77777777" w:rsidR="00CD60C2" w:rsidRPr="00F34274" w:rsidRDefault="00CD60C2" w:rsidP="00957DB2">
            <w:pPr>
              <w:rPr>
                <w:rFonts w:eastAsia="Arial" w:cs="Arial"/>
              </w:rPr>
            </w:pPr>
          </w:p>
        </w:tc>
        <w:tc>
          <w:tcPr>
            <w:tcW w:w="561" w:type="pct"/>
            <w:vAlign w:val="center"/>
          </w:tcPr>
          <w:p w14:paraId="7B05317D" w14:textId="77777777" w:rsidR="00CD60C2" w:rsidRPr="00F34274" w:rsidRDefault="00CD60C2" w:rsidP="00957DB2">
            <w:pPr>
              <w:rPr>
                <w:rFonts w:eastAsia="Arial" w:cs="Arial"/>
              </w:rPr>
            </w:pPr>
            <w:r w:rsidRPr="00F34274">
              <w:rPr>
                <w:rFonts w:eastAsia="Arial" w:cs="Arial"/>
              </w:rPr>
              <w:t>97</w:t>
            </w:r>
          </w:p>
        </w:tc>
      </w:tr>
      <w:tr w:rsidR="00CD60C2" w:rsidRPr="00F34274" w14:paraId="3B779DD0" w14:textId="77777777" w:rsidTr="00201E3C">
        <w:tc>
          <w:tcPr>
            <w:tcW w:w="2982" w:type="pct"/>
          </w:tcPr>
          <w:p w14:paraId="24BF5707" w14:textId="77777777" w:rsidR="00CD60C2" w:rsidRPr="00F34274" w:rsidRDefault="00CD60C2" w:rsidP="00957DB2">
            <w:pPr>
              <w:rPr>
                <w:rFonts w:eastAsia="Arial" w:cs="Arial"/>
              </w:rPr>
            </w:pPr>
            <w:r w:rsidRPr="00F34274">
              <w:rPr>
                <w:rFonts w:eastAsia="Arial" w:cs="Arial"/>
              </w:rPr>
              <w:lastRenderedPageBreak/>
              <w:t>Other [Please write in]</w:t>
            </w:r>
          </w:p>
        </w:tc>
        <w:tc>
          <w:tcPr>
            <w:tcW w:w="728" w:type="pct"/>
          </w:tcPr>
          <w:p w14:paraId="5B7A73D2" w14:textId="77777777" w:rsidR="00CD60C2" w:rsidRPr="00F34274" w:rsidRDefault="00CD60C2" w:rsidP="00957DB2">
            <w:pPr>
              <w:rPr>
                <w:rFonts w:eastAsia="Arial" w:cs="Arial"/>
              </w:rPr>
            </w:pPr>
          </w:p>
        </w:tc>
        <w:tc>
          <w:tcPr>
            <w:tcW w:w="729" w:type="pct"/>
          </w:tcPr>
          <w:p w14:paraId="03BA15AF" w14:textId="77777777" w:rsidR="00CD60C2" w:rsidRPr="00F34274" w:rsidRDefault="00CD60C2" w:rsidP="00957DB2">
            <w:pPr>
              <w:rPr>
                <w:rFonts w:eastAsia="Arial" w:cs="Arial"/>
              </w:rPr>
            </w:pPr>
          </w:p>
        </w:tc>
        <w:tc>
          <w:tcPr>
            <w:tcW w:w="561" w:type="pct"/>
            <w:vAlign w:val="center"/>
          </w:tcPr>
          <w:p w14:paraId="14DE9E9D" w14:textId="77777777" w:rsidR="00CD60C2" w:rsidRPr="00F34274" w:rsidRDefault="00CD60C2" w:rsidP="00957DB2">
            <w:pPr>
              <w:rPr>
                <w:rFonts w:eastAsia="Arial" w:cs="Arial"/>
              </w:rPr>
            </w:pPr>
            <w:r w:rsidRPr="00F34274">
              <w:rPr>
                <w:rFonts w:eastAsia="Arial" w:cs="Arial"/>
              </w:rPr>
              <w:t>98</w:t>
            </w:r>
          </w:p>
        </w:tc>
      </w:tr>
      <w:tr w:rsidR="00CD60C2" w:rsidRPr="00F34274" w14:paraId="60EAC38A" w14:textId="77777777" w:rsidTr="00201E3C">
        <w:tc>
          <w:tcPr>
            <w:tcW w:w="2982" w:type="pct"/>
          </w:tcPr>
          <w:p w14:paraId="76EE17EA" w14:textId="77777777" w:rsidR="00CD60C2" w:rsidRPr="00F34274" w:rsidRDefault="00CD60C2" w:rsidP="00957DB2">
            <w:pPr>
              <w:rPr>
                <w:rFonts w:eastAsia="Arial" w:cs="Arial"/>
                <w:b/>
                <w:bCs/>
              </w:rPr>
            </w:pPr>
            <w:r w:rsidRPr="00F34274">
              <w:rPr>
                <w:rFonts w:eastAsia="Arial" w:cs="Arial"/>
              </w:rPr>
              <w:t>Don’t know</w:t>
            </w:r>
          </w:p>
        </w:tc>
        <w:tc>
          <w:tcPr>
            <w:tcW w:w="728" w:type="pct"/>
          </w:tcPr>
          <w:p w14:paraId="271866AB" w14:textId="77777777" w:rsidR="00CD60C2" w:rsidRPr="00F34274" w:rsidRDefault="00CD60C2" w:rsidP="00957DB2">
            <w:pPr>
              <w:rPr>
                <w:rFonts w:eastAsia="Arial" w:cs="Arial"/>
              </w:rPr>
            </w:pPr>
          </w:p>
        </w:tc>
        <w:tc>
          <w:tcPr>
            <w:tcW w:w="729" w:type="pct"/>
          </w:tcPr>
          <w:p w14:paraId="6E276EEE" w14:textId="77777777" w:rsidR="00CD60C2" w:rsidRPr="00F34274" w:rsidRDefault="00CD60C2" w:rsidP="00957DB2">
            <w:pPr>
              <w:rPr>
                <w:rFonts w:eastAsia="Arial" w:cs="Arial"/>
              </w:rPr>
            </w:pPr>
          </w:p>
        </w:tc>
        <w:tc>
          <w:tcPr>
            <w:tcW w:w="561" w:type="pct"/>
            <w:vAlign w:val="center"/>
          </w:tcPr>
          <w:p w14:paraId="79D7A53B" w14:textId="77777777" w:rsidR="00CD60C2" w:rsidRPr="00F34274" w:rsidRDefault="00CD60C2" w:rsidP="00957DB2">
            <w:pPr>
              <w:rPr>
                <w:rFonts w:eastAsia="Arial" w:cs="Arial"/>
              </w:rPr>
            </w:pPr>
            <w:r w:rsidRPr="00F34274">
              <w:rPr>
                <w:rFonts w:eastAsia="Arial" w:cs="Arial"/>
              </w:rPr>
              <w:t>99</w:t>
            </w:r>
          </w:p>
        </w:tc>
      </w:tr>
    </w:tbl>
    <w:p w14:paraId="295C6FC2" w14:textId="77777777" w:rsidR="00CD60C2" w:rsidRPr="00F34274" w:rsidRDefault="00CD60C2" w:rsidP="00957DB2">
      <w:pPr>
        <w:rPr>
          <w:rFonts w:eastAsia="Arial" w:cs="Arial"/>
          <w:b/>
          <w:bCs/>
        </w:rPr>
      </w:pPr>
    </w:p>
    <w:p w14:paraId="5A382B29" w14:textId="77777777" w:rsidR="00CD60C2" w:rsidRPr="00F34274" w:rsidRDefault="00CD60C2" w:rsidP="00957DB2">
      <w:pPr>
        <w:shd w:val="clear" w:color="auto" w:fill="F2F2F2"/>
        <w:rPr>
          <w:rFonts w:eastAsia="Arial" w:cs="Arial"/>
        </w:rPr>
      </w:pPr>
      <w:r w:rsidRPr="00F34274">
        <w:rPr>
          <w:rFonts w:eastAsia="Arial" w:cs="Arial"/>
        </w:rPr>
        <w:t>Medium Term Process</w:t>
      </w:r>
    </w:p>
    <w:p w14:paraId="37DC9AE3" w14:textId="77777777" w:rsidR="00CD60C2" w:rsidRPr="00F34274" w:rsidRDefault="00CD60C2" w:rsidP="00957DB2">
      <w:pPr>
        <w:rPr>
          <w:rFonts w:eastAsia="Arial" w:cs="Arial"/>
        </w:rPr>
      </w:pPr>
      <w:r w:rsidRPr="00F34274">
        <w:rPr>
          <w:rFonts w:eastAsia="Arial" w:cs="Arial"/>
        </w:rPr>
        <w:t>ALL</w:t>
      </w:r>
    </w:p>
    <w:p w14:paraId="252ECBE3" w14:textId="77777777" w:rsidR="00CD60C2" w:rsidRPr="00F34274" w:rsidRDefault="00CD60C2" w:rsidP="00957DB2">
      <w:pPr>
        <w:rPr>
          <w:rFonts w:eastAsia="Arial" w:cs="Arial"/>
          <w:bCs/>
        </w:rPr>
      </w:pPr>
      <w:r w:rsidRPr="00F34274">
        <w:rPr>
          <w:rFonts w:eastAsia="Arial" w:cs="Arial"/>
          <w:bCs/>
        </w:rPr>
        <w:t>26. Other than providing the financial support, what additional non-financial benefits did you receive from your Investor?</w:t>
      </w:r>
    </w:p>
    <w:p w14:paraId="0F5079A4" w14:textId="77777777" w:rsidR="00CD60C2" w:rsidRPr="00F34274" w:rsidRDefault="00CD60C2" w:rsidP="00957DB2">
      <w:pPr>
        <w:rPr>
          <w:rFonts w:eastAsia="Arial" w:cs="Arial"/>
        </w:rPr>
      </w:pPr>
      <w:r w:rsidRPr="00F34274">
        <w:rPr>
          <w:rFonts w:eastAsia="Arial" w:cs="Arial"/>
        </w:rPr>
        <w:t>PLEASE CHECK ALL THAT APPLY</w:t>
      </w:r>
    </w:p>
    <w:tbl>
      <w:tblPr>
        <w:tblStyle w:val="withborders2"/>
        <w:tblW w:w="5000" w:type="pct"/>
        <w:tblLook w:val="04A0" w:firstRow="1" w:lastRow="0" w:firstColumn="1" w:lastColumn="0" w:noHBand="0" w:noVBand="1"/>
      </w:tblPr>
      <w:tblGrid>
        <w:gridCol w:w="8671"/>
        <w:gridCol w:w="1291"/>
      </w:tblGrid>
      <w:tr w:rsidR="00CD60C2" w:rsidRPr="00F34274" w14:paraId="4B0A1D9B" w14:textId="77777777" w:rsidTr="00201E3C">
        <w:tc>
          <w:tcPr>
            <w:tcW w:w="4352" w:type="pct"/>
          </w:tcPr>
          <w:p w14:paraId="1D574892" w14:textId="77777777" w:rsidR="00CD60C2" w:rsidRPr="00F34274" w:rsidRDefault="00CD60C2" w:rsidP="00957DB2">
            <w:pPr>
              <w:rPr>
                <w:rFonts w:eastAsia="Arial" w:cs="Arial"/>
                <w:bCs/>
              </w:rPr>
            </w:pPr>
            <w:r w:rsidRPr="00F34274">
              <w:rPr>
                <w:rFonts w:eastAsia="Arial" w:cs="Arial"/>
                <w:bCs/>
              </w:rPr>
              <w:t>Investor networking opportunities</w:t>
            </w:r>
          </w:p>
        </w:tc>
        <w:tc>
          <w:tcPr>
            <w:tcW w:w="648" w:type="pct"/>
          </w:tcPr>
          <w:p w14:paraId="3887C129" w14:textId="77777777" w:rsidR="00CD60C2" w:rsidRPr="00F34274" w:rsidRDefault="00CD60C2" w:rsidP="00957DB2">
            <w:pPr>
              <w:rPr>
                <w:rFonts w:eastAsia="Arial" w:cs="Arial"/>
                <w:bCs/>
              </w:rPr>
            </w:pPr>
            <w:r w:rsidRPr="00F34274">
              <w:rPr>
                <w:rFonts w:eastAsia="Arial" w:cs="Arial"/>
                <w:bCs/>
              </w:rPr>
              <w:t>1</w:t>
            </w:r>
          </w:p>
        </w:tc>
      </w:tr>
      <w:tr w:rsidR="00CD60C2" w:rsidRPr="00F34274" w14:paraId="31727B58" w14:textId="77777777" w:rsidTr="00201E3C">
        <w:tc>
          <w:tcPr>
            <w:tcW w:w="4352" w:type="pct"/>
          </w:tcPr>
          <w:p w14:paraId="5E1EA9BC" w14:textId="77777777" w:rsidR="00CD60C2" w:rsidRPr="00F34274" w:rsidRDefault="00CD60C2" w:rsidP="00957DB2">
            <w:pPr>
              <w:rPr>
                <w:rFonts w:eastAsia="Arial" w:cs="Arial"/>
                <w:bCs/>
              </w:rPr>
            </w:pPr>
            <w:r w:rsidRPr="00F34274">
              <w:rPr>
                <w:rFonts w:eastAsia="Arial" w:cs="Arial"/>
                <w:bCs/>
              </w:rPr>
              <w:t>Training/ Coaching</w:t>
            </w:r>
          </w:p>
        </w:tc>
        <w:tc>
          <w:tcPr>
            <w:tcW w:w="648" w:type="pct"/>
          </w:tcPr>
          <w:p w14:paraId="596276C0" w14:textId="77777777" w:rsidR="00CD60C2" w:rsidRPr="00F34274" w:rsidRDefault="00CD60C2" w:rsidP="00957DB2">
            <w:pPr>
              <w:rPr>
                <w:rFonts w:eastAsia="Arial" w:cs="Arial"/>
                <w:bCs/>
              </w:rPr>
            </w:pPr>
            <w:r w:rsidRPr="00F34274">
              <w:rPr>
                <w:rFonts w:eastAsia="Arial" w:cs="Arial"/>
                <w:bCs/>
              </w:rPr>
              <w:t>2</w:t>
            </w:r>
          </w:p>
        </w:tc>
      </w:tr>
      <w:tr w:rsidR="00CD60C2" w:rsidRPr="00F34274" w14:paraId="740B4177" w14:textId="77777777" w:rsidTr="00201E3C">
        <w:tc>
          <w:tcPr>
            <w:tcW w:w="4352" w:type="pct"/>
          </w:tcPr>
          <w:p w14:paraId="0FF29F69" w14:textId="77777777" w:rsidR="00CD60C2" w:rsidRPr="00F34274" w:rsidRDefault="00CD60C2" w:rsidP="00957DB2">
            <w:pPr>
              <w:rPr>
                <w:rFonts w:eastAsia="Arial" w:cs="Arial"/>
                <w:bCs/>
              </w:rPr>
            </w:pPr>
            <w:r w:rsidRPr="00F34274">
              <w:rPr>
                <w:rFonts w:eastAsia="Arial" w:cs="Arial"/>
                <w:bCs/>
              </w:rPr>
              <w:t>Financial advice</w:t>
            </w:r>
          </w:p>
        </w:tc>
        <w:tc>
          <w:tcPr>
            <w:tcW w:w="648" w:type="pct"/>
          </w:tcPr>
          <w:p w14:paraId="69DA3AB6" w14:textId="77777777" w:rsidR="00CD60C2" w:rsidRPr="00F34274" w:rsidRDefault="00CD60C2" w:rsidP="00957DB2">
            <w:pPr>
              <w:rPr>
                <w:rFonts w:eastAsia="Arial" w:cs="Arial"/>
                <w:bCs/>
              </w:rPr>
            </w:pPr>
            <w:r w:rsidRPr="00F34274">
              <w:rPr>
                <w:rFonts w:eastAsia="Arial" w:cs="Arial"/>
                <w:bCs/>
              </w:rPr>
              <w:t>3</w:t>
            </w:r>
          </w:p>
        </w:tc>
      </w:tr>
      <w:tr w:rsidR="00CD60C2" w:rsidRPr="00F34274" w14:paraId="2D13574E" w14:textId="77777777" w:rsidTr="00201E3C">
        <w:tc>
          <w:tcPr>
            <w:tcW w:w="4352" w:type="pct"/>
          </w:tcPr>
          <w:p w14:paraId="6EDB5AE7" w14:textId="77777777" w:rsidR="00CD60C2" w:rsidRPr="00F34274" w:rsidRDefault="00CD60C2" w:rsidP="00957DB2">
            <w:pPr>
              <w:rPr>
                <w:rFonts w:eastAsia="Arial" w:cs="Arial"/>
                <w:bCs/>
              </w:rPr>
            </w:pPr>
            <w:r w:rsidRPr="00F34274">
              <w:rPr>
                <w:rFonts w:eastAsia="Arial" w:cs="Arial"/>
                <w:bCs/>
              </w:rPr>
              <w:t>Taking up board positions</w:t>
            </w:r>
          </w:p>
        </w:tc>
        <w:tc>
          <w:tcPr>
            <w:tcW w:w="648" w:type="pct"/>
          </w:tcPr>
          <w:p w14:paraId="703B46AD" w14:textId="77777777" w:rsidR="00CD60C2" w:rsidRPr="00F34274" w:rsidRDefault="00CD60C2" w:rsidP="00957DB2">
            <w:pPr>
              <w:rPr>
                <w:rFonts w:eastAsia="Arial" w:cs="Arial"/>
                <w:bCs/>
              </w:rPr>
            </w:pPr>
            <w:r w:rsidRPr="00F34274">
              <w:rPr>
                <w:rFonts w:eastAsia="Arial" w:cs="Arial"/>
                <w:bCs/>
              </w:rPr>
              <w:t>4</w:t>
            </w:r>
          </w:p>
        </w:tc>
      </w:tr>
      <w:tr w:rsidR="00CD60C2" w:rsidRPr="00F34274" w14:paraId="47C5EA9B" w14:textId="77777777" w:rsidTr="00201E3C">
        <w:tc>
          <w:tcPr>
            <w:tcW w:w="4352" w:type="pct"/>
          </w:tcPr>
          <w:p w14:paraId="5A0919EF" w14:textId="77777777" w:rsidR="00CD60C2" w:rsidRPr="00F34274" w:rsidRDefault="00CD60C2" w:rsidP="00957DB2">
            <w:pPr>
              <w:rPr>
                <w:rFonts w:eastAsia="Arial" w:cs="Arial"/>
                <w:bCs/>
              </w:rPr>
            </w:pPr>
            <w:r w:rsidRPr="00F34274">
              <w:rPr>
                <w:rFonts w:eastAsia="Arial" w:cs="Arial"/>
                <w:bCs/>
              </w:rPr>
              <w:t>Mentorship</w:t>
            </w:r>
          </w:p>
        </w:tc>
        <w:tc>
          <w:tcPr>
            <w:tcW w:w="648" w:type="pct"/>
          </w:tcPr>
          <w:p w14:paraId="2A34D46C" w14:textId="77777777" w:rsidR="00CD60C2" w:rsidRPr="00F34274" w:rsidRDefault="00CD60C2" w:rsidP="00957DB2">
            <w:pPr>
              <w:rPr>
                <w:rFonts w:eastAsia="Arial" w:cs="Arial"/>
                <w:bCs/>
              </w:rPr>
            </w:pPr>
            <w:r w:rsidRPr="00F34274">
              <w:rPr>
                <w:rFonts w:eastAsia="Arial" w:cs="Arial"/>
                <w:bCs/>
              </w:rPr>
              <w:t>5</w:t>
            </w:r>
          </w:p>
        </w:tc>
      </w:tr>
      <w:tr w:rsidR="00CD60C2" w:rsidRPr="00F34274" w14:paraId="34CB37B3" w14:textId="77777777" w:rsidTr="00201E3C">
        <w:tc>
          <w:tcPr>
            <w:tcW w:w="4352" w:type="pct"/>
          </w:tcPr>
          <w:p w14:paraId="0EC61F11" w14:textId="77777777" w:rsidR="00CD60C2" w:rsidRPr="00F34274" w:rsidRDefault="00CD60C2" w:rsidP="00957DB2">
            <w:pPr>
              <w:rPr>
                <w:rFonts w:eastAsia="Arial" w:cs="Arial"/>
                <w:bCs/>
              </w:rPr>
            </w:pPr>
            <w:r w:rsidRPr="00F34274">
              <w:rPr>
                <w:rFonts w:eastAsia="Arial" w:cs="Arial"/>
                <w:bCs/>
              </w:rPr>
              <w:t xml:space="preserve">Facilitation of business-to-business networking </w:t>
            </w:r>
          </w:p>
        </w:tc>
        <w:tc>
          <w:tcPr>
            <w:tcW w:w="648" w:type="pct"/>
          </w:tcPr>
          <w:p w14:paraId="61A29216" w14:textId="77777777" w:rsidR="00CD60C2" w:rsidRPr="00F34274" w:rsidRDefault="00CD60C2" w:rsidP="00957DB2">
            <w:pPr>
              <w:rPr>
                <w:rFonts w:eastAsia="Arial" w:cs="Arial"/>
                <w:bCs/>
              </w:rPr>
            </w:pPr>
            <w:r w:rsidRPr="00F34274">
              <w:rPr>
                <w:rFonts w:eastAsia="Arial" w:cs="Arial"/>
                <w:bCs/>
              </w:rPr>
              <w:t>6</w:t>
            </w:r>
          </w:p>
        </w:tc>
      </w:tr>
      <w:tr w:rsidR="00CD60C2" w:rsidRPr="00F34274" w14:paraId="5E5F7833" w14:textId="77777777" w:rsidTr="00201E3C">
        <w:tc>
          <w:tcPr>
            <w:tcW w:w="4352" w:type="pct"/>
          </w:tcPr>
          <w:p w14:paraId="7324A278" w14:textId="77777777" w:rsidR="00CD60C2" w:rsidRPr="00F34274" w:rsidRDefault="00CD60C2" w:rsidP="00957DB2">
            <w:pPr>
              <w:rPr>
                <w:rFonts w:eastAsia="Arial" w:cs="Arial"/>
                <w:bCs/>
              </w:rPr>
            </w:pPr>
            <w:r w:rsidRPr="00F34274">
              <w:rPr>
                <w:rFonts w:eastAsia="Arial" w:cs="Arial"/>
                <w:bCs/>
              </w:rPr>
              <w:t>Environmental, Social and Governance support</w:t>
            </w:r>
          </w:p>
        </w:tc>
        <w:tc>
          <w:tcPr>
            <w:tcW w:w="648" w:type="pct"/>
          </w:tcPr>
          <w:p w14:paraId="5F79CAA1" w14:textId="77777777" w:rsidR="00CD60C2" w:rsidRPr="00F34274" w:rsidRDefault="00CD60C2" w:rsidP="00957DB2">
            <w:pPr>
              <w:rPr>
                <w:rFonts w:eastAsia="Arial" w:cs="Arial"/>
                <w:bCs/>
              </w:rPr>
            </w:pPr>
            <w:r w:rsidRPr="00F34274">
              <w:rPr>
                <w:rFonts w:eastAsia="Arial" w:cs="Arial"/>
                <w:bCs/>
              </w:rPr>
              <w:t>7</w:t>
            </w:r>
          </w:p>
        </w:tc>
      </w:tr>
      <w:tr w:rsidR="00CD60C2" w:rsidRPr="00F34274" w14:paraId="024C34AD" w14:textId="77777777" w:rsidTr="00201E3C">
        <w:tc>
          <w:tcPr>
            <w:tcW w:w="4352" w:type="pct"/>
          </w:tcPr>
          <w:p w14:paraId="0F932415" w14:textId="77777777" w:rsidR="00CD60C2" w:rsidRPr="00F34274" w:rsidRDefault="00CD60C2" w:rsidP="00957DB2">
            <w:pPr>
              <w:rPr>
                <w:rFonts w:eastAsia="Arial" w:cs="Arial"/>
                <w:bCs/>
              </w:rPr>
            </w:pPr>
            <w:r w:rsidRPr="00F34274">
              <w:rPr>
                <w:rFonts w:eastAsia="Arial" w:cs="Arial"/>
                <w:bCs/>
              </w:rPr>
              <w:t>Technical Expertise</w:t>
            </w:r>
          </w:p>
        </w:tc>
        <w:tc>
          <w:tcPr>
            <w:tcW w:w="648" w:type="pct"/>
          </w:tcPr>
          <w:p w14:paraId="1ADBEE28" w14:textId="77777777" w:rsidR="00CD60C2" w:rsidRPr="00F34274" w:rsidRDefault="00CD60C2" w:rsidP="00957DB2">
            <w:pPr>
              <w:rPr>
                <w:rFonts w:eastAsia="Arial" w:cs="Arial"/>
                <w:bCs/>
              </w:rPr>
            </w:pPr>
            <w:r w:rsidRPr="00F34274">
              <w:rPr>
                <w:rFonts w:eastAsia="Arial" w:cs="Arial"/>
                <w:bCs/>
              </w:rPr>
              <w:t>8</w:t>
            </w:r>
          </w:p>
        </w:tc>
      </w:tr>
      <w:tr w:rsidR="00CD60C2" w:rsidRPr="00F34274" w14:paraId="1FF29CE9" w14:textId="77777777" w:rsidTr="00201E3C">
        <w:tc>
          <w:tcPr>
            <w:tcW w:w="4352" w:type="pct"/>
          </w:tcPr>
          <w:p w14:paraId="408D708B" w14:textId="77777777" w:rsidR="00CD60C2" w:rsidRPr="00F34274" w:rsidRDefault="00CD60C2" w:rsidP="00957DB2">
            <w:pPr>
              <w:rPr>
                <w:rFonts w:eastAsia="Arial" w:cs="Arial"/>
                <w:bCs/>
              </w:rPr>
            </w:pPr>
            <w:r w:rsidRPr="00F34274">
              <w:rPr>
                <w:rFonts w:eastAsia="Arial" w:cs="Arial"/>
                <w:bCs/>
              </w:rPr>
              <w:t>Strategic business support (usually from prior sector experience)</w:t>
            </w:r>
          </w:p>
        </w:tc>
        <w:tc>
          <w:tcPr>
            <w:tcW w:w="648" w:type="pct"/>
          </w:tcPr>
          <w:p w14:paraId="0D2357F9" w14:textId="77777777" w:rsidR="00CD60C2" w:rsidRPr="00F34274" w:rsidRDefault="00CD60C2" w:rsidP="00957DB2">
            <w:pPr>
              <w:rPr>
                <w:rFonts w:eastAsia="Arial" w:cs="Arial"/>
                <w:bCs/>
              </w:rPr>
            </w:pPr>
            <w:r w:rsidRPr="00F34274">
              <w:rPr>
                <w:rFonts w:eastAsia="Arial" w:cs="Arial"/>
                <w:bCs/>
              </w:rPr>
              <w:t>9</w:t>
            </w:r>
          </w:p>
        </w:tc>
      </w:tr>
      <w:tr w:rsidR="00CD60C2" w:rsidRPr="00F34274" w14:paraId="5C0598CB" w14:textId="77777777" w:rsidTr="00201E3C">
        <w:tc>
          <w:tcPr>
            <w:tcW w:w="4352" w:type="pct"/>
          </w:tcPr>
          <w:p w14:paraId="397A6BFD" w14:textId="77777777" w:rsidR="00CD60C2" w:rsidRPr="00F34274" w:rsidRDefault="00CD60C2" w:rsidP="00957DB2">
            <w:pPr>
              <w:rPr>
                <w:rFonts w:eastAsia="Arial" w:cs="Arial"/>
                <w:bCs/>
              </w:rPr>
            </w:pPr>
            <w:r w:rsidRPr="00F34274">
              <w:rPr>
                <w:rFonts w:eastAsia="Arial" w:cs="Arial"/>
                <w:bCs/>
              </w:rPr>
              <w:t>Business ideas/ product development</w:t>
            </w:r>
          </w:p>
        </w:tc>
        <w:tc>
          <w:tcPr>
            <w:tcW w:w="648" w:type="pct"/>
          </w:tcPr>
          <w:p w14:paraId="288D9E7B" w14:textId="77777777" w:rsidR="00CD60C2" w:rsidRPr="00F34274" w:rsidRDefault="00CD60C2" w:rsidP="00957DB2">
            <w:pPr>
              <w:rPr>
                <w:rFonts w:eastAsia="Arial" w:cs="Arial"/>
                <w:bCs/>
              </w:rPr>
            </w:pPr>
            <w:r w:rsidRPr="00F34274">
              <w:rPr>
                <w:rFonts w:eastAsia="Arial" w:cs="Arial"/>
                <w:bCs/>
              </w:rPr>
              <w:t>10</w:t>
            </w:r>
          </w:p>
        </w:tc>
      </w:tr>
      <w:tr w:rsidR="00CD60C2" w:rsidRPr="00F34274" w14:paraId="76A17969" w14:textId="77777777" w:rsidTr="00201E3C">
        <w:tc>
          <w:tcPr>
            <w:tcW w:w="4352" w:type="pct"/>
          </w:tcPr>
          <w:p w14:paraId="5DC381DB" w14:textId="77777777" w:rsidR="00CD60C2" w:rsidRPr="00F34274" w:rsidRDefault="00CD60C2" w:rsidP="00957DB2">
            <w:pPr>
              <w:rPr>
                <w:rFonts w:eastAsia="Arial" w:cs="Arial"/>
                <w:bCs/>
              </w:rPr>
            </w:pPr>
            <w:r w:rsidRPr="00F34274">
              <w:rPr>
                <w:rFonts w:eastAsia="Arial" w:cs="Arial"/>
                <w:bCs/>
              </w:rPr>
              <w:t>Providing business credibility for follow on investment</w:t>
            </w:r>
          </w:p>
        </w:tc>
        <w:tc>
          <w:tcPr>
            <w:tcW w:w="648" w:type="pct"/>
          </w:tcPr>
          <w:p w14:paraId="30598DCB" w14:textId="77777777" w:rsidR="00CD60C2" w:rsidRPr="00F34274" w:rsidRDefault="00CD60C2" w:rsidP="00957DB2">
            <w:pPr>
              <w:rPr>
                <w:rFonts w:eastAsia="Arial" w:cs="Arial"/>
                <w:bCs/>
              </w:rPr>
            </w:pPr>
            <w:r w:rsidRPr="00F34274">
              <w:rPr>
                <w:rFonts w:eastAsia="Arial" w:cs="Arial"/>
                <w:bCs/>
              </w:rPr>
              <w:t>11</w:t>
            </w:r>
          </w:p>
        </w:tc>
      </w:tr>
      <w:tr w:rsidR="00CD60C2" w:rsidRPr="00F34274" w14:paraId="4C4D2669" w14:textId="77777777" w:rsidTr="00201E3C">
        <w:tc>
          <w:tcPr>
            <w:tcW w:w="4352" w:type="pct"/>
          </w:tcPr>
          <w:p w14:paraId="2BBBBB17" w14:textId="77777777" w:rsidR="00CD60C2" w:rsidRPr="00F34274" w:rsidRDefault="00CD60C2" w:rsidP="00957DB2">
            <w:pPr>
              <w:rPr>
                <w:rFonts w:eastAsia="Arial" w:cs="Arial"/>
                <w:bCs/>
              </w:rPr>
            </w:pPr>
            <w:r w:rsidRPr="00F34274">
              <w:rPr>
                <w:rFonts w:eastAsia="Arial" w:cs="Arial"/>
                <w:bCs/>
              </w:rPr>
              <w:t>None</w:t>
            </w:r>
          </w:p>
        </w:tc>
        <w:tc>
          <w:tcPr>
            <w:tcW w:w="648" w:type="pct"/>
          </w:tcPr>
          <w:p w14:paraId="5C052444" w14:textId="77777777" w:rsidR="00CD60C2" w:rsidRPr="00F34274" w:rsidRDefault="00CD60C2" w:rsidP="00957DB2">
            <w:pPr>
              <w:rPr>
                <w:rFonts w:eastAsia="Arial" w:cs="Arial"/>
                <w:bCs/>
              </w:rPr>
            </w:pPr>
            <w:r w:rsidRPr="00F34274">
              <w:rPr>
                <w:rFonts w:eastAsia="Arial" w:cs="Arial"/>
                <w:bCs/>
              </w:rPr>
              <w:t>12</w:t>
            </w:r>
          </w:p>
        </w:tc>
      </w:tr>
      <w:tr w:rsidR="00CD60C2" w:rsidRPr="00F34274" w14:paraId="1E69519C" w14:textId="77777777" w:rsidTr="00201E3C">
        <w:tc>
          <w:tcPr>
            <w:tcW w:w="4352" w:type="pct"/>
          </w:tcPr>
          <w:p w14:paraId="46C75E97" w14:textId="77777777" w:rsidR="00CD60C2" w:rsidRPr="00F34274" w:rsidRDefault="00CD60C2" w:rsidP="00957DB2">
            <w:pPr>
              <w:rPr>
                <w:rFonts w:eastAsia="Arial" w:cs="Arial"/>
                <w:bCs/>
              </w:rPr>
            </w:pPr>
            <w:r w:rsidRPr="00F34274">
              <w:rPr>
                <w:rFonts w:eastAsia="Arial" w:cs="Arial"/>
                <w:bCs/>
              </w:rPr>
              <w:t>Other, please write in</w:t>
            </w:r>
          </w:p>
        </w:tc>
        <w:tc>
          <w:tcPr>
            <w:tcW w:w="648" w:type="pct"/>
          </w:tcPr>
          <w:p w14:paraId="69849587" w14:textId="77777777" w:rsidR="00CD60C2" w:rsidRPr="00F34274" w:rsidRDefault="00CD60C2" w:rsidP="00957DB2">
            <w:pPr>
              <w:rPr>
                <w:rFonts w:eastAsia="Arial" w:cs="Arial"/>
                <w:bCs/>
              </w:rPr>
            </w:pPr>
            <w:r w:rsidRPr="00F34274">
              <w:rPr>
                <w:rFonts w:eastAsia="Arial" w:cs="Arial"/>
                <w:bCs/>
              </w:rPr>
              <w:t>99</w:t>
            </w:r>
          </w:p>
        </w:tc>
      </w:tr>
    </w:tbl>
    <w:p w14:paraId="496C80EC" w14:textId="77777777" w:rsidR="00CD60C2" w:rsidRDefault="00CD60C2" w:rsidP="00957DB2">
      <w:pPr>
        <w:rPr>
          <w:rFonts w:eastAsia="Arial" w:cs="Arial"/>
          <w:b/>
          <w:bCs/>
        </w:rPr>
      </w:pPr>
    </w:p>
    <w:p w14:paraId="210B0C36" w14:textId="77777777" w:rsidR="005A7B44" w:rsidRDefault="005A7B44" w:rsidP="00957DB2">
      <w:pPr>
        <w:rPr>
          <w:rFonts w:eastAsia="Arial" w:cs="Arial"/>
          <w:b/>
          <w:bCs/>
        </w:rPr>
      </w:pPr>
    </w:p>
    <w:p w14:paraId="1942279D" w14:textId="77777777" w:rsidR="005A7B44" w:rsidRPr="00F34274" w:rsidRDefault="005A7B44" w:rsidP="00957DB2">
      <w:pPr>
        <w:rPr>
          <w:rFonts w:eastAsia="Arial" w:cs="Arial"/>
          <w:b/>
          <w:bCs/>
        </w:rPr>
      </w:pPr>
    </w:p>
    <w:p w14:paraId="629AC0DD" w14:textId="77777777" w:rsidR="00CD60C2" w:rsidRPr="00F34274" w:rsidRDefault="00CD60C2" w:rsidP="00957DB2">
      <w:pPr>
        <w:shd w:val="clear" w:color="auto" w:fill="F2F2F2"/>
        <w:rPr>
          <w:rFonts w:eastAsia="Arial" w:cs="Arial"/>
        </w:rPr>
      </w:pPr>
      <w:r w:rsidRPr="00F34274">
        <w:rPr>
          <w:rFonts w:eastAsia="Arial" w:cs="Arial"/>
        </w:rPr>
        <w:lastRenderedPageBreak/>
        <w:t>Funding Process</w:t>
      </w:r>
    </w:p>
    <w:p w14:paraId="65E5C409" w14:textId="77777777" w:rsidR="00CD60C2" w:rsidRPr="00F34274" w:rsidRDefault="00CD60C2" w:rsidP="00957DB2">
      <w:pPr>
        <w:rPr>
          <w:rFonts w:eastAsia="Arial" w:cs="Arial"/>
        </w:rPr>
      </w:pPr>
      <w:r w:rsidRPr="00F34274">
        <w:rPr>
          <w:rFonts w:eastAsia="Arial" w:cs="Arial"/>
        </w:rPr>
        <w:t>ALL</w:t>
      </w:r>
    </w:p>
    <w:p w14:paraId="3A9E80BC" w14:textId="77777777" w:rsidR="00CD60C2" w:rsidRPr="00F34274" w:rsidRDefault="00CD60C2" w:rsidP="00957DB2">
      <w:pPr>
        <w:rPr>
          <w:rFonts w:eastAsia="Arial" w:cs="Arial"/>
          <w:bCs/>
        </w:rPr>
      </w:pPr>
      <w:r w:rsidRPr="00F34274">
        <w:rPr>
          <w:rFonts w:eastAsia="Arial" w:cs="Arial"/>
          <w:bCs/>
        </w:rPr>
        <w:t>27. Please describe your experience of the relationship with your Investor for each of the following aspects by specifying the extent to which you agree or disagree with each statement:</w:t>
      </w:r>
    </w:p>
    <w:p w14:paraId="6DBD829D" w14:textId="77777777" w:rsidR="00CD60C2" w:rsidRPr="00F34274" w:rsidRDefault="00CD60C2" w:rsidP="00957DB2">
      <w:pPr>
        <w:rPr>
          <w:rFonts w:eastAsia="Arial" w:cs="Arial"/>
        </w:rPr>
      </w:pPr>
      <w:r w:rsidRPr="00F34274">
        <w:rPr>
          <w:rFonts w:eastAsia="Arial" w:cs="Arial"/>
        </w:rPr>
        <w:t xml:space="preserve">PLEASE CHECK ONE PER ROW </w:t>
      </w:r>
    </w:p>
    <w:p w14:paraId="1A48A478" w14:textId="77777777" w:rsidR="00CD60C2" w:rsidRPr="00F34274" w:rsidRDefault="00CD60C2" w:rsidP="00957DB2">
      <w:pPr>
        <w:rPr>
          <w:rFonts w:eastAsia="Arial" w:cs="Arial"/>
        </w:rPr>
      </w:pPr>
    </w:p>
    <w:tbl>
      <w:tblPr>
        <w:tblStyle w:val="withborders2"/>
        <w:tblW w:w="5000" w:type="pct"/>
        <w:tblLook w:val="04A0" w:firstRow="1" w:lastRow="0" w:firstColumn="1" w:lastColumn="0" w:noHBand="0" w:noVBand="1"/>
      </w:tblPr>
      <w:tblGrid>
        <w:gridCol w:w="2605"/>
        <w:gridCol w:w="1224"/>
        <w:gridCol w:w="1203"/>
        <w:gridCol w:w="1275"/>
        <w:gridCol w:w="877"/>
        <w:gridCol w:w="1166"/>
        <w:gridCol w:w="1612"/>
      </w:tblGrid>
      <w:tr w:rsidR="00CD60C2" w:rsidRPr="00F34274" w14:paraId="28D6AE0D" w14:textId="77777777" w:rsidTr="00201E3C">
        <w:trPr>
          <w:trHeight w:val="284"/>
        </w:trPr>
        <w:tc>
          <w:tcPr>
            <w:tcW w:w="1307" w:type="pct"/>
            <w:tcBorders>
              <w:right w:val="single" w:sz="4" w:space="0" w:color="auto"/>
            </w:tcBorders>
          </w:tcPr>
          <w:p w14:paraId="6FDA4491" w14:textId="77777777" w:rsidR="00CD60C2" w:rsidRPr="00F34274" w:rsidRDefault="00CD60C2" w:rsidP="00957DB2">
            <w:pPr>
              <w:rPr>
                <w:rFonts w:eastAsia="Arial" w:cs="Arial"/>
                <w:b/>
                <w:bCs/>
              </w:rPr>
            </w:pPr>
          </w:p>
        </w:tc>
        <w:tc>
          <w:tcPr>
            <w:tcW w:w="614" w:type="pct"/>
            <w:tcBorders>
              <w:left w:val="single" w:sz="4" w:space="0" w:color="auto"/>
            </w:tcBorders>
            <w:vAlign w:val="center"/>
          </w:tcPr>
          <w:p w14:paraId="238558A0" w14:textId="77777777" w:rsidR="00CD60C2" w:rsidRPr="00F34274" w:rsidRDefault="00CD60C2" w:rsidP="00957DB2">
            <w:pPr>
              <w:rPr>
                <w:rFonts w:eastAsia="Arial" w:cs="Arial"/>
                <w:bCs/>
              </w:rPr>
            </w:pPr>
            <w:r w:rsidRPr="00F34274">
              <w:rPr>
                <w:rFonts w:eastAsia="Arial" w:cs="Arial"/>
                <w:bCs/>
              </w:rPr>
              <w:t>Strongly disagree</w:t>
            </w:r>
          </w:p>
        </w:tc>
        <w:tc>
          <w:tcPr>
            <w:tcW w:w="604" w:type="pct"/>
            <w:vAlign w:val="center"/>
          </w:tcPr>
          <w:p w14:paraId="4DA5C5F8" w14:textId="77777777" w:rsidR="00CD60C2" w:rsidRPr="00F34274" w:rsidRDefault="00CD60C2" w:rsidP="00957DB2">
            <w:pPr>
              <w:rPr>
                <w:rFonts w:eastAsia="Arial" w:cs="Arial"/>
                <w:bCs/>
              </w:rPr>
            </w:pPr>
            <w:r w:rsidRPr="00F34274">
              <w:rPr>
                <w:rFonts w:eastAsia="Arial" w:cs="Arial"/>
                <w:bCs/>
              </w:rPr>
              <w:t>Disagree</w:t>
            </w:r>
          </w:p>
        </w:tc>
        <w:tc>
          <w:tcPr>
            <w:tcW w:w="640" w:type="pct"/>
            <w:vAlign w:val="center"/>
          </w:tcPr>
          <w:p w14:paraId="6BA89EBF" w14:textId="77777777" w:rsidR="00CD60C2" w:rsidRPr="00F34274" w:rsidRDefault="00CD60C2" w:rsidP="00957DB2">
            <w:pPr>
              <w:rPr>
                <w:rFonts w:eastAsia="Arial" w:cs="Arial"/>
                <w:bCs/>
              </w:rPr>
            </w:pPr>
            <w:r w:rsidRPr="00F34274">
              <w:rPr>
                <w:rFonts w:eastAsia="Arial" w:cs="Arial"/>
                <w:bCs/>
              </w:rPr>
              <w:t xml:space="preserve">Neither agree </w:t>
            </w:r>
            <w:proofErr w:type="gramStart"/>
            <w:r w:rsidRPr="00F34274">
              <w:rPr>
                <w:rFonts w:eastAsia="Arial" w:cs="Arial"/>
                <w:bCs/>
              </w:rPr>
              <w:t>or</w:t>
            </w:r>
            <w:proofErr w:type="gramEnd"/>
            <w:r w:rsidRPr="00F34274">
              <w:rPr>
                <w:rFonts w:eastAsia="Arial" w:cs="Arial"/>
                <w:bCs/>
              </w:rPr>
              <w:t xml:space="preserve"> disagree</w:t>
            </w:r>
          </w:p>
        </w:tc>
        <w:tc>
          <w:tcPr>
            <w:tcW w:w="440" w:type="pct"/>
            <w:vAlign w:val="center"/>
          </w:tcPr>
          <w:p w14:paraId="3EDEF58E" w14:textId="77777777" w:rsidR="00CD60C2" w:rsidRPr="00F34274" w:rsidRDefault="00CD60C2" w:rsidP="00957DB2">
            <w:pPr>
              <w:rPr>
                <w:rFonts w:eastAsia="Arial" w:cs="Arial"/>
                <w:bCs/>
              </w:rPr>
            </w:pPr>
            <w:r w:rsidRPr="00F34274">
              <w:rPr>
                <w:rFonts w:eastAsia="Arial" w:cs="Arial"/>
                <w:bCs/>
              </w:rPr>
              <w:t>Agree</w:t>
            </w:r>
          </w:p>
        </w:tc>
        <w:tc>
          <w:tcPr>
            <w:tcW w:w="585" w:type="pct"/>
            <w:vAlign w:val="center"/>
          </w:tcPr>
          <w:p w14:paraId="0A7F1F48" w14:textId="77777777" w:rsidR="00CD60C2" w:rsidRPr="00F34274" w:rsidRDefault="00CD60C2" w:rsidP="00957DB2">
            <w:pPr>
              <w:rPr>
                <w:rFonts w:eastAsia="Arial" w:cs="Arial"/>
                <w:bCs/>
              </w:rPr>
            </w:pPr>
            <w:r w:rsidRPr="00F34274">
              <w:rPr>
                <w:rFonts w:eastAsia="Arial" w:cs="Arial"/>
                <w:bCs/>
              </w:rPr>
              <w:t>Strongly agree</w:t>
            </w:r>
          </w:p>
        </w:tc>
        <w:tc>
          <w:tcPr>
            <w:tcW w:w="809" w:type="pct"/>
            <w:vAlign w:val="center"/>
          </w:tcPr>
          <w:p w14:paraId="49DFC6B3" w14:textId="77777777" w:rsidR="00CD60C2" w:rsidRPr="00F34274" w:rsidRDefault="00CD60C2" w:rsidP="00957DB2">
            <w:pPr>
              <w:rPr>
                <w:rFonts w:eastAsia="Arial" w:cs="Arial"/>
                <w:bCs/>
              </w:rPr>
            </w:pPr>
            <w:r w:rsidRPr="00F34274">
              <w:rPr>
                <w:rFonts w:eastAsia="Arial" w:cs="Arial"/>
                <w:bCs/>
              </w:rPr>
              <w:t>Don’t know/prefer not to say</w:t>
            </w:r>
          </w:p>
        </w:tc>
      </w:tr>
      <w:tr w:rsidR="00CD60C2" w:rsidRPr="00F34274" w14:paraId="45C14649" w14:textId="77777777" w:rsidTr="00201E3C">
        <w:trPr>
          <w:trHeight w:val="284"/>
        </w:trPr>
        <w:tc>
          <w:tcPr>
            <w:tcW w:w="1307" w:type="pct"/>
            <w:tcBorders>
              <w:right w:val="single" w:sz="4" w:space="0" w:color="auto"/>
            </w:tcBorders>
          </w:tcPr>
          <w:p w14:paraId="4EDFE736" w14:textId="77777777" w:rsidR="00CD60C2" w:rsidRPr="00F34274" w:rsidRDefault="00CD60C2" w:rsidP="00957DB2">
            <w:pPr>
              <w:rPr>
                <w:rFonts w:eastAsia="Arial" w:cs="Arial"/>
              </w:rPr>
            </w:pPr>
            <w:r w:rsidRPr="00F34274">
              <w:rPr>
                <w:rFonts w:eastAsia="Arial" w:cs="Arial"/>
              </w:rPr>
              <w:t>The length of time between first contact with your Investor and receiving funds was as you expected</w:t>
            </w:r>
          </w:p>
        </w:tc>
        <w:tc>
          <w:tcPr>
            <w:tcW w:w="614" w:type="pct"/>
            <w:tcBorders>
              <w:left w:val="single" w:sz="4" w:space="0" w:color="auto"/>
            </w:tcBorders>
            <w:vAlign w:val="center"/>
          </w:tcPr>
          <w:p w14:paraId="7EB5EF2F" w14:textId="77777777" w:rsidR="00CD60C2" w:rsidRPr="00F34274" w:rsidRDefault="00CD60C2" w:rsidP="00957DB2">
            <w:pPr>
              <w:rPr>
                <w:rFonts w:eastAsia="Arial" w:cs="Arial"/>
                <w:bCs/>
              </w:rPr>
            </w:pPr>
            <w:r w:rsidRPr="00F34274">
              <w:rPr>
                <w:rFonts w:eastAsia="Arial" w:cs="Arial"/>
                <w:bCs/>
              </w:rPr>
              <w:t>1</w:t>
            </w:r>
          </w:p>
        </w:tc>
        <w:tc>
          <w:tcPr>
            <w:tcW w:w="604" w:type="pct"/>
            <w:vAlign w:val="center"/>
          </w:tcPr>
          <w:p w14:paraId="24A5E5D9" w14:textId="77777777" w:rsidR="00CD60C2" w:rsidRPr="00F34274" w:rsidRDefault="00CD60C2" w:rsidP="00957DB2">
            <w:pPr>
              <w:rPr>
                <w:rFonts w:eastAsia="Arial" w:cs="Arial"/>
                <w:bCs/>
              </w:rPr>
            </w:pPr>
            <w:r w:rsidRPr="00F34274">
              <w:rPr>
                <w:rFonts w:eastAsia="Arial" w:cs="Arial"/>
                <w:bCs/>
              </w:rPr>
              <w:t>2</w:t>
            </w:r>
          </w:p>
        </w:tc>
        <w:tc>
          <w:tcPr>
            <w:tcW w:w="640" w:type="pct"/>
            <w:vAlign w:val="center"/>
          </w:tcPr>
          <w:p w14:paraId="0B6F6E68" w14:textId="77777777" w:rsidR="00CD60C2" w:rsidRPr="00F34274" w:rsidRDefault="00CD60C2" w:rsidP="00957DB2">
            <w:pPr>
              <w:rPr>
                <w:rFonts w:eastAsia="Arial" w:cs="Arial"/>
                <w:bCs/>
              </w:rPr>
            </w:pPr>
            <w:r w:rsidRPr="00F34274">
              <w:rPr>
                <w:rFonts w:eastAsia="Arial" w:cs="Arial"/>
                <w:bCs/>
              </w:rPr>
              <w:t>3</w:t>
            </w:r>
          </w:p>
        </w:tc>
        <w:tc>
          <w:tcPr>
            <w:tcW w:w="440" w:type="pct"/>
            <w:vAlign w:val="center"/>
          </w:tcPr>
          <w:p w14:paraId="4CEB4494" w14:textId="77777777" w:rsidR="00CD60C2" w:rsidRPr="00F34274" w:rsidRDefault="00CD60C2" w:rsidP="00957DB2">
            <w:pPr>
              <w:rPr>
                <w:rFonts w:eastAsia="Arial" w:cs="Arial"/>
                <w:bCs/>
              </w:rPr>
            </w:pPr>
            <w:r w:rsidRPr="00F34274">
              <w:rPr>
                <w:rFonts w:eastAsia="Arial" w:cs="Arial"/>
                <w:bCs/>
              </w:rPr>
              <w:t>4</w:t>
            </w:r>
          </w:p>
        </w:tc>
        <w:tc>
          <w:tcPr>
            <w:tcW w:w="585" w:type="pct"/>
            <w:vAlign w:val="center"/>
          </w:tcPr>
          <w:p w14:paraId="78B2AF77" w14:textId="77777777" w:rsidR="00CD60C2" w:rsidRPr="00F34274" w:rsidRDefault="00CD60C2" w:rsidP="00957DB2">
            <w:pPr>
              <w:rPr>
                <w:rFonts w:eastAsia="Arial" w:cs="Arial"/>
                <w:bCs/>
              </w:rPr>
            </w:pPr>
            <w:r w:rsidRPr="00F34274">
              <w:rPr>
                <w:rFonts w:eastAsia="Arial" w:cs="Arial"/>
                <w:bCs/>
              </w:rPr>
              <w:t>5</w:t>
            </w:r>
          </w:p>
        </w:tc>
        <w:tc>
          <w:tcPr>
            <w:tcW w:w="809" w:type="pct"/>
            <w:vAlign w:val="center"/>
          </w:tcPr>
          <w:p w14:paraId="7A024FEE" w14:textId="77777777" w:rsidR="00CD60C2" w:rsidRPr="00F34274" w:rsidRDefault="00CD60C2" w:rsidP="00957DB2">
            <w:pPr>
              <w:rPr>
                <w:rFonts w:eastAsia="Arial" w:cs="Arial"/>
                <w:bCs/>
              </w:rPr>
            </w:pPr>
            <w:r w:rsidRPr="00F34274">
              <w:rPr>
                <w:rFonts w:eastAsia="Arial" w:cs="Arial"/>
                <w:bCs/>
              </w:rPr>
              <w:t>99</w:t>
            </w:r>
          </w:p>
        </w:tc>
      </w:tr>
      <w:tr w:rsidR="00CD60C2" w:rsidRPr="00F34274" w14:paraId="339FB857" w14:textId="77777777" w:rsidTr="00201E3C">
        <w:trPr>
          <w:trHeight w:val="872"/>
        </w:trPr>
        <w:tc>
          <w:tcPr>
            <w:tcW w:w="1307" w:type="pct"/>
            <w:tcBorders>
              <w:right w:val="single" w:sz="4" w:space="0" w:color="auto"/>
            </w:tcBorders>
          </w:tcPr>
          <w:p w14:paraId="22B23CDB" w14:textId="77777777" w:rsidR="00CD60C2" w:rsidRPr="00F34274" w:rsidRDefault="00CD60C2" w:rsidP="00957DB2">
            <w:pPr>
              <w:rPr>
                <w:rFonts w:eastAsia="Arial" w:cs="Arial"/>
              </w:rPr>
            </w:pPr>
            <w:r w:rsidRPr="00F34274">
              <w:rPr>
                <w:rFonts w:eastAsia="Arial" w:cs="Arial"/>
              </w:rPr>
              <w:t xml:space="preserve">The amount of information required by your Investor to make the funding decision was appropriate </w:t>
            </w:r>
          </w:p>
        </w:tc>
        <w:tc>
          <w:tcPr>
            <w:tcW w:w="614" w:type="pct"/>
            <w:tcBorders>
              <w:left w:val="single" w:sz="4" w:space="0" w:color="auto"/>
            </w:tcBorders>
            <w:vAlign w:val="center"/>
          </w:tcPr>
          <w:p w14:paraId="2AD56B56" w14:textId="77777777" w:rsidR="00CD60C2" w:rsidRPr="00F34274" w:rsidRDefault="00CD60C2" w:rsidP="00957DB2">
            <w:pPr>
              <w:rPr>
                <w:rFonts w:eastAsia="Arial" w:cs="Arial"/>
                <w:bCs/>
              </w:rPr>
            </w:pPr>
            <w:r w:rsidRPr="00F34274">
              <w:rPr>
                <w:rFonts w:eastAsia="Arial" w:cs="Arial"/>
                <w:bCs/>
              </w:rPr>
              <w:t>1</w:t>
            </w:r>
          </w:p>
        </w:tc>
        <w:tc>
          <w:tcPr>
            <w:tcW w:w="604" w:type="pct"/>
            <w:vAlign w:val="center"/>
          </w:tcPr>
          <w:p w14:paraId="58838A8C" w14:textId="77777777" w:rsidR="00CD60C2" w:rsidRPr="00F34274" w:rsidRDefault="00CD60C2" w:rsidP="00957DB2">
            <w:pPr>
              <w:rPr>
                <w:rFonts w:eastAsia="Arial" w:cs="Arial"/>
                <w:bCs/>
              </w:rPr>
            </w:pPr>
            <w:r w:rsidRPr="00F34274">
              <w:rPr>
                <w:rFonts w:eastAsia="Arial" w:cs="Arial"/>
                <w:bCs/>
              </w:rPr>
              <w:t>2</w:t>
            </w:r>
          </w:p>
        </w:tc>
        <w:tc>
          <w:tcPr>
            <w:tcW w:w="640" w:type="pct"/>
            <w:vAlign w:val="center"/>
          </w:tcPr>
          <w:p w14:paraId="49670190" w14:textId="77777777" w:rsidR="00CD60C2" w:rsidRPr="00F34274" w:rsidRDefault="00CD60C2" w:rsidP="00957DB2">
            <w:pPr>
              <w:rPr>
                <w:rFonts w:eastAsia="Arial" w:cs="Arial"/>
                <w:bCs/>
              </w:rPr>
            </w:pPr>
            <w:r w:rsidRPr="00F34274">
              <w:rPr>
                <w:rFonts w:eastAsia="Arial" w:cs="Arial"/>
                <w:bCs/>
              </w:rPr>
              <w:t>3</w:t>
            </w:r>
          </w:p>
        </w:tc>
        <w:tc>
          <w:tcPr>
            <w:tcW w:w="440" w:type="pct"/>
            <w:vAlign w:val="center"/>
          </w:tcPr>
          <w:p w14:paraId="0FB3CFF3" w14:textId="77777777" w:rsidR="00CD60C2" w:rsidRPr="00F34274" w:rsidRDefault="00CD60C2" w:rsidP="00957DB2">
            <w:pPr>
              <w:rPr>
                <w:rFonts w:eastAsia="Arial" w:cs="Arial"/>
                <w:bCs/>
              </w:rPr>
            </w:pPr>
            <w:r w:rsidRPr="00F34274">
              <w:rPr>
                <w:rFonts w:eastAsia="Arial" w:cs="Arial"/>
                <w:bCs/>
              </w:rPr>
              <w:t>4</w:t>
            </w:r>
          </w:p>
        </w:tc>
        <w:tc>
          <w:tcPr>
            <w:tcW w:w="585" w:type="pct"/>
            <w:vAlign w:val="center"/>
          </w:tcPr>
          <w:p w14:paraId="003D6091" w14:textId="77777777" w:rsidR="00CD60C2" w:rsidRPr="00F34274" w:rsidRDefault="00CD60C2" w:rsidP="00957DB2">
            <w:pPr>
              <w:rPr>
                <w:rFonts w:eastAsia="Arial" w:cs="Arial"/>
                <w:bCs/>
              </w:rPr>
            </w:pPr>
            <w:r w:rsidRPr="00F34274">
              <w:rPr>
                <w:rFonts w:eastAsia="Arial" w:cs="Arial"/>
                <w:bCs/>
              </w:rPr>
              <w:t>5</w:t>
            </w:r>
          </w:p>
        </w:tc>
        <w:tc>
          <w:tcPr>
            <w:tcW w:w="809" w:type="pct"/>
            <w:vAlign w:val="center"/>
          </w:tcPr>
          <w:p w14:paraId="4DAE527F" w14:textId="77777777" w:rsidR="00CD60C2" w:rsidRPr="00F34274" w:rsidRDefault="00CD60C2" w:rsidP="00957DB2">
            <w:pPr>
              <w:rPr>
                <w:rFonts w:eastAsia="Arial" w:cs="Arial"/>
                <w:bCs/>
              </w:rPr>
            </w:pPr>
            <w:r w:rsidRPr="00F34274">
              <w:rPr>
                <w:rFonts w:eastAsia="Arial" w:cs="Arial"/>
                <w:bCs/>
              </w:rPr>
              <w:t>99</w:t>
            </w:r>
          </w:p>
        </w:tc>
      </w:tr>
      <w:tr w:rsidR="00CD60C2" w:rsidRPr="00F34274" w14:paraId="2E226A45" w14:textId="77777777" w:rsidTr="00201E3C">
        <w:trPr>
          <w:trHeight w:val="1256"/>
        </w:trPr>
        <w:tc>
          <w:tcPr>
            <w:tcW w:w="1307" w:type="pct"/>
            <w:tcBorders>
              <w:right w:val="single" w:sz="4" w:space="0" w:color="auto"/>
            </w:tcBorders>
          </w:tcPr>
          <w:p w14:paraId="116FC08B" w14:textId="77777777" w:rsidR="00CD60C2" w:rsidRPr="00F34274" w:rsidRDefault="00CD60C2" w:rsidP="00957DB2">
            <w:pPr>
              <w:rPr>
                <w:rFonts w:eastAsia="Arial" w:cs="Arial"/>
              </w:rPr>
            </w:pPr>
            <w:r w:rsidRPr="00F34274">
              <w:rPr>
                <w:rFonts w:eastAsia="Arial" w:cs="Arial"/>
              </w:rPr>
              <w:t xml:space="preserve">Amount of time and effort required to apply for the funding was proportionate with its value </w:t>
            </w:r>
          </w:p>
        </w:tc>
        <w:tc>
          <w:tcPr>
            <w:tcW w:w="614" w:type="pct"/>
            <w:tcBorders>
              <w:left w:val="single" w:sz="4" w:space="0" w:color="auto"/>
            </w:tcBorders>
            <w:vAlign w:val="center"/>
          </w:tcPr>
          <w:p w14:paraId="073A4D4C" w14:textId="77777777" w:rsidR="00CD60C2" w:rsidRPr="00F34274" w:rsidRDefault="00CD60C2" w:rsidP="00957DB2">
            <w:pPr>
              <w:rPr>
                <w:rFonts w:eastAsia="Arial" w:cs="Arial"/>
                <w:bCs/>
              </w:rPr>
            </w:pPr>
            <w:r w:rsidRPr="00F34274">
              <w:rPr>
                <w:rFonts w:eastAsia="Arial" w:cs="Arial"/>
                <w:bCs/>
              </w:rPr>
              <w:t>1</w:t>
            </w:r>
          </w:p>
        </w:tc>
        <w:tc>
          <w:tcPr>
            <w:tcW w:w="604" w:type="pct"/>
            <w:vAlign w:val="center"/>
          </w:tcPr>
          <w:p w14:paraId="62B403F2" w14:textId="77777777" w:rsidR="00CD60C2" w:rsidRPr="00F34274" w:rsidRDefault="00CD60C2" w:rsidP="00957DB2">
            <w:pPr>
              <w:rPr>
                <w:rFonts w:eastAsia="Arial" w:cs="Arial"/>
                <w:bCs/>
              </w:rPr>
            </w:pPr>
            <w:r w:rsidRPr="00F34274">
              <w:rPr>
                <w:rFonts w:eastAsia="Arial" w:cs="Arial"/>
                <w:bCs/>
              </w:rPr>
              <w:t>2</w:t>
            </w:r>
          </w:p>
        </w:tc>
        <w:tc>
          <w:tcPr>
            <w:tcW w:w="640" w:type="pct"/>
            <w:vAlign w:val="center"/>
          </w:tcPr>
          <w:p w14:paraId="2F08429E" w14:textId="77777777" w:rsidR="00CD60C2" w:rsidRPr="00F34274" w:rsidRDefault="00CD60C2" w:rsidP="00957DB2">
            <w:pPr>
              <w:rPr>
                <w:rFonts w:eastAsia="Arial" w:cs="Arial"/>
                <w:bCs/>
              </w:rPr>
            </w:pPr>
            <w:r w:rsidRPr="00F34274">
              <w:rPr>
                <w:rFonts w:eastAsia="Arial" w:cs="Arial"/>
                <w:bCs/>
              </w:rPr>
              <w:t>3</w:t>
            </w:r>
          </w:p>
        </w:tc>
        <w:tc>
          <w:tcPr>
            <w:tcW w:w="440" w:type="pct"/>
            <w:vAlign w:val="center"/>
          </w:tcPr>
          <w:p w14:paraId="6AF069DC" w14:textId="77777777" w:rsidR="00CD60C2" w:rsidRPr="00F34274" w:rsidRDefault="00CD60C2" w:rsidP="00957DB2">
            <w:pPr>
              <w:rPr>
                <w:rFonts w:eastAsia="Arial" w:cs="Arial"/>
                <w:bCs/>
              </w:rPr>
            </w:pPr>
            <w:r w:rsidRPr="00F34274">
              <w:rPr>
                <w:rFonts w:eastAsia="Arial" w:cs="Arial"/>
                <w:bCs/>
              </w:rPr>
              <w:t>4</w:t>
            </w:r>
          </w:p>
        </w:tc>
        <w:tc>
          <w:tcPr>
            <w:tcW w:w="585" w:type="pct"/>
            <w:vAlign w:val="center"/>
          </w:tcPr>
          <w:p w14:paraId="2419FB2F" w14:textId="77777777" w:rsidR="00CD60C2" w:rsidRPr="00F34274" w:rsidRDefault="00CD60C2" w:rsidP="00957DB2">
            <w:pPr>
              <w:rPr>
                <w:rFonts w:eastAsia="Arial" w:cs="Arial"/>
                <w:bCs/>
              </w:rPr>
            </w:pPr>
            <w:r w:rsidRPr="00F34274">
              <w:rPr>
                <w:rFonts w:eastAsia="Arial" w:cs="Arial"/>
                <w:bCs/>
              </w:rPr>
              <w:t>5</w:t>
            </w:r>
          </w:p>
        </w:tc>
        <w:tc>
          <w:tcPr>
            <w:tcW w:w="809" w:type="pct"/>
            <w:vAlign w:val="center"/>
          </w:tcPr>
          <w:p w14:paraId="13C60109" w14:textId="77777777" w:rsidR="00CD60C2" w:rsidRPr="00F34274" w:rsidRDefault="00CD60C2" w:rsidP="00957DB2">
            <w:pPr>
              <w:rPr>
                <w:rFonts w:eastAsia="Arial" w:cs="Arial"/>
                <w:bCs/>
              </w:rPr>
            </w:pPr>
            <w:r w:rsidRPr="00F34274">
              <w:rPr>
                <w:rFonts w:eastAsia="Arial" w:cs="Arial"/>
                <w:bCs/>
              </w:rPr>
              <w:t>99</w:t>
            </w:r>
          </w:p>
        </w:tc>
      </w:tr>
      <w:tr w:rsidR="00CD60C2" w:rsidRPr="00F34274" w14:paraId="09D9B622" w14:textId="77777777" w:rsidTr="00201E3C">
        <w:trPr>
          <w:trHeight w:val="284"/>
        </w:trPr>
        <w:tc>
          <w:tcPr>
            <w:tcW w:w="1307" w:type="pct"/>
            <w:tcBorders>
              <w:right w:val="single" w:sz="4" w:space="0" w:color="auto"/>
            </w:tcBorders>
          </w:tcPr>
          <w:p w14:paraId="7953B526" w14:textId="77777777" w:rsidR="00CD60C2" w:rsidRPr="00F34274" w:rsidRDefault="00CD60C2" w:rsidP="00957DB2">
            <w:pPr>
              <w:rPr>
                <w:rFonts w:eastAsia="Arial" w:cs="Arial"/>
              </w:rPr>
            </w:pPr>
            <w:r w:rsidRPr="00F34274">
              <w:rPr>
                <w:rFonts w:eastAsia="Arial" w:cs="Arial"/>
              </w:rPr>
              <w:t>Communications from your Investor were clear and prompt</w:t>
            </w:r>
          </w:p>
        </w:tc>
        <w:tc>
          <w:tcPr>
            <w:tcW w:w="614" w:type="pct"/>
            <w:tcBorders>
              <w:left w:val="single" w:sz="4" w:space="0" w:color="auto"/>
            </w:tcBorders>
            <w:vAlign w:val="center"/>
          </w:tcPr>
          <w:p w14:paraId="1B597C13" w14:textId="77777777" w:rsidR="00CD60C2" w:rsidRPr="00F34274" w:rsidRDefault="00CD60C2" w:rsidP="00957DB2">
            <w:pPr>
              <w:rPr>
                <w:rFonts w:eastAsia="Arial" w:cs="Arial"/>
                <w:bCs/>
              </w:rPr>
            </w:pPr>
            <w:r w:rsidRPr="00F34274">
              <w:rPr>
                <w:rFonts w:eastAsia="Arial" w:cs="Arial"/>
                <w:bCs/>
              </w:rPr>
              <w:t>1</w:t>
            </w:r>
          </w:p>
        </w:tc>
        <w:tc>
          <w:tcPr>
            <w:tcW w:w="604" w:type="pct"/>
            <w:vAlign w:val="center"/>
          </w:tcPr>
          <w:p w14:paraId="52F9B5C0" w14:textId="77777777" w:rsidR="00CD60C2" w:rsidRPr="00F34274" w:rsidRDefault="00CD60C2" w:rsidP="00957DB2">
            <w:pPr>
              <w:rPr>
                <w:rFonts w:eastAsia="Arial" w:cs="Arial"/>
                <w:bCs/>
              </w:rPr>
            </w:pPr>
            <w:r w:rsidRPr="00F34274">
              <w:rPr>
                <w:rFonts w:eastAsia="Arial" w:cs="Arial"/>
                <w:bCs/>
              </w:rPr>
              <w:t>2</w:t>
            </w:r>
          </w:p>
        </w:tc>
        <w:tc>
          <w:tcPr>
            <w:tcW w:w="640" w:type="pct"/>
            <w:vAlign w:val="center"/>
          </w:tcPr>
          <w:p w14:paraId="50BE6037" w14:textId="77777777" w:rsidR="00CD60C2" w:rsidRPr="00F34274" w:rsidRDefault="00CD60C2" w:rsidP="00957DB2">
            <w:pPr>
              <w:rPr>
                <w:rFonts w:eastAsia="Arial" w:cs="Arial"/>
                <w:bCs/>
              </w:rPr>
            </w:pPr>
            <w:r w:rsidRPr="00F34274">
              <w:rPr>
                <w:rFonts w:eastAsia="Arial" w:cs="Arial"/>
                <w:bCs/>
              </w:rPr>
              <w:t>3</w:t>
            </w:r>
          </w:p>
        </w:tc>
        <w:tc>
          <w:tcPr>
            <w:tcW w:w="440" w:type="pct"/>
            <w:vAlign w:val="center"/>
          </w:tcPr>
          <w:p w14:paraId="327DF32D" w14:textId="77777777" w:rsidR="00CD60C2" w:rsidRPr="00F34274" w:rsidRDefault="00CD60C2" w:rsidP="00957DB2">
            <w:pPr>
              <w:rPr>
                <w:rFonts w:eastAsia="Arial" w:cs="Arial"/>
                <w:bCs/>
              </w:rPr>
            </w:pPr>
            <w:r w:rsidRPr="00F34274">
              <w:rPr>
                <w:rFonts w:eastAsia="Arial" w:cs="Arial"/>
                <w:bCs/>
              </w:rPr>
              <w:t>4</w:t>
            </w:r>
          </w:p>
        </w:tc>
        <w:tc>
          <w:tcPr>
            <w:tcW w:w="585" w:type="pct"/>
            <w:vAlign w:val="center"/>
          </w:tcPr>
          <w:p w14:paraId="24E6CCFB" w14:textId="77777777" w:rsidR="00CD60C2" w:rsidRPr="00F34274" w:rsidRDefault="00CD60C2" w:rsidP="00957DB2">
            <w:pPr>
              <w:rPr>
                <w:rFonts w:eastAsia="Arial" w:cs="Arial"/>
                <w:bCs/>
              </w:rPr>
            </w:pPr>
            <w:r w:rsidRPr="00F34274">
              <w:rPr>
                <w:rFonts w:eastAsia="Arial" w:cs="Arial"/>
                <w:bCs/>
              </w:rPr>
              <w:t>5</w:t>
            </w:r>
          </w:p>
        </w:tc>
        <w:tc>
          <w:tcPr>
            <w:tcW w:w="809" w:type="pct"/>
            <w:vAlign w:val="center"/>
          </w:tcPr>
          <w:p w14:paraId="45528589" w14:textId="77777777" w:rsidR="00CD60C2" w:rsidRPr="00F34274" w:rsidRDefault="00CD60C2" w:rsidP="00957DB2">
            <w:pPr>
              <w:rPr>
                <w:rFonts w:eastAsia="Arial" w:cs="Arial"/>
                <w:bCs/>
              </w:rPr>
            </w:pPr>
            <w:r w:rsidRPr="00F34274">
              <w:rPr>
                <w:rFonts w:eastAsia="Arial" w:cs="Arial"/>
                <w:bCs/>
              </w:rPr>
              <w:t>99</w:t>
            </w:r>
          </w:p>
        </w:tc>
      </w:tr>
      <w:tr w:rsidR="00CD60C2" w:rsidRPr="00F34274" w14:paraId="3C936FF4" w14:textId="77777777" w:rsidTr="00201E3C">
        <w:trPr>
          <w:trHeight w:val="284"/>
        </w:trPr>
        <w:tc>
          <w:tcPr>
            <w:tcW w:w="1307" w:type="pct"/>
            <w:tcBorders>
              <w:right w:val="single" w:sz="4" w:space="0" w:color="auto"/>
            </w:tcBorders>
          </w:tcPr>
          <w:p w14:paraId="002CF645" w14:textId="77777777" w:rsidR="00CD60C2" w:rsidRPr="00F34274" w:rsidRDefault="00CD60C2" w:rsidP="00957DB2">
            <w:pPr>
              <w:rPr>
                <w:rFonts w:eastAsia="Arial" w:cs="Arial"/>
              </w:rPr>
            </w:pPr>
            <w:r w:rsidRPr="00F34274">
              <w:rPr>
                <w:rFonts w:eastAsia="Arial" w:cs="Arial"/>
              </w:rPr>
              <w:t xml:space="preserve">The Terms and Conditions of the </w:t>
            </w:r>
            <w:r w:rsidRPr="00F34274">
              <w:rPr>
                <w:rFonts w:eastAsia="Arial" w:cs="Arial"/>
              </w:rPr>
              <w:lastRenderedPageBreak/>
              <w:t>funding are fair and appropriate</w:t>
            </w:r>
          </w:p>
        </w:tc>
        <w:tc>
          <w:tcPr>
            <w:tcW w:w="614" w:type="pct"/>
            <w:tcBorders>
              <w:left w:val="single" w:sz="4" w:space="0" w:color="auto"/>
            </w:tcBorders>
            <w:vAlign w:val="center"/>
          </w:tcPr>
          <w:p w14:paraId="57F06638" w14:textId="77777777" w:rsidR="00CD60C2" w:rsidRPr="00F34274" w:rsidRDefault="00CD60C2" w:rsidP="00957DB2">
            <w:pPr>
              <w:rPr>
                <w:rFonts w:eastAsia="Arial" w:cs="Arial"/>
                <w:bCs/>
              </w:rPr>
            </w:pPr>
            <w:r w:rsidRPr="00F34274">
              <w:rPr>
                <w:rFonts w:eastAsia="Arial" w:cs="Arial"/>
                <w:bCs/>
              </w:rPr>
              <w:lastRenderedPageBreak/>
              <w:t>1</w:t>
            </w:r>
          </w:p>
        </w:tc>
        <w:tc>
          <w:tcPr>
            <w:tcW w:w="604" w:type="pct"/>
            <w:vAlign w:val="center"/>
          </w:tcPr>
          <w:p w14:paraId="3C8E522E" w14:textId="77777777" w:rsidR="00CD60C2" w:rsidRPr="00F34274" w:rsidRDefault="00CD60C2" w:rsidP="00957DB2">
            <w:pPr>
              <w:rPr>
                <w:rFonts w:eastAsia="Arial" w:cs="Arial"/>
                <w:bCs/>
              </w:rPr>
            </w:pPr>
            <w:r w:rsidRPr="00F34274">
              <w:rPr>
                <w:rFonts w:eastAsia="Arial" w:cs="Arial"/>
                <w:bCs/>
              </w:rPr>
              <w:t>2</w:t>
            </w:r>
          </w:p>
        </w:tc>
        <w:tc>
          <w:tcPr>
            <w:tcW w:w="640" w:type="pct"/>
            <w:vAlign w:val="center"/>
          </w:tcPr>
          <w:p w14:paraId="3AF37CC9" w14:textId="77777777" w:rsidR="00CD60C2" w:rsidRPr="00F34274" w:rsidRDefault="00CD60C2" w:rsidP="00957DB2">
            <w:pPr>
              <w:rPr>
                <w:rFonts w:eastAsia="Arial" w:cs="Arial"/>
                <w:bCs/>
              </w:rPr>
            </w:pPr>
            <w:r w:rsidRPr="00F34274">
              <w:rPr>
                <w:rFonts w:eastAsia="Arial" w:cs="Arial"/>
                <w:bCs/>
              </w:rPr>
              <w:t>3</w:t>
            </w:r>
          </w:p>
        </w:tc>
        <w:tc>
          <w:tcPr>
            <w:tcW w:w="440" w:type="pct"/>
            <w:vAlign w:val="center"/>
          </w:tcPr>
          <w:p w14:paraId="2A070F33" w14:textId="77777777" w:rsidR="00CD60C2" w:rsidRPr="00F34274" w:rsidRDefault="00CD60C2" w:rsidP="00957DB2">
            <w:pPr>
              <w:rPr>
                <w:rFonts w:eastAsia="Arial" w:cs="Arial"/>
                <w:bCs/>
              </w:rPr>
            </w:pPr>
            <w:r w:rsidRPr="00F34274">
              <w:rPr>
                <w:rFonts w:eastAsia="Arial" w:cs="Arial"/>
                <w:bCs/>
              </w:rPr>
              <w:t>4</w:t>
            </w:r>
          </w:p>
        </w:tc>
        <w:tc>
          <w:tcPr>
            <w:tcW w:w="585" w:type="pct"/>
            <w:vAlign w:val="center"/>
          </w:tcPr>
          <w:p w14:paraId="6BDEEBBF" w14:textId="77777777" w:rsidR="00CD60C2" w:rsidRPr="00F34274" w:rsidRDefault="00CD60C2" w:rsidP="00957DB2">
            <w:pPr>
              <w:rPr>
                <w:rFonts w:eastAsia="Arial" w:cs="Arial"/>
                <w:bCs/>
              </w:rPr>
            </w:pPr>
            <w:r w:rsidRPr="00F34274">
              <w:rPr>
                <w:rFonts w:eastAsia="Arial" w:cs="Arial"/>
                <w:bCs/>
              </w:rPr>
              <w:t>5</w:t>
            </w:r>
          </w:p>
        </w:tc>
        <w:tc>
          <w:tcPr>
            <w:tcW w:w="809" w:type="pct"/>
            <w:vAlign w:val="center"/>
          </w:tcPr>
          <w:p w14:paraId="6206DE85" w14:textId="77777777" w:rsidR="00CD60C2" w:rsidRPr="00F34274" w:rsidRDefault="00CD60C2" w:rsidP="00957DB2">
            <w:pPr>
              <w:rPr>
                <w:rFonts w:eastAsia="Arial" w:cs="Arial"/>
                <w:bCs/>
              </w:rPr>
            </w:pPr>
            <w:r w:rsidRPr="00F34274">
              <w:rPr>
                <w:rFonts w:eastAsia="Arial" w:cs="Arial"/>
                <w:bCs/>
              </w:rPr>
              <w:t>99</w:t>
            </w:r>
          </w:p>
        </w:tc>
      </w:tr>
    </w:tbl>
    <w:p w14:paraId="7F3AC319" w14:textId="77777777" w:rsidR="00CD60C2" w:rsidRPr="00F34274" w:rsidRDefault="00CD60C2" w:rsidP="00957DB2">
      <w:pPr>
        <w:rPr>
          <w:rFonts w:eastAsia="Arial" w:cs="Arial"/>
        </w:rPr>
      </w:pPr>
    </w:p>
    <w:p w14:paraId="0C5B7FA9" w14:textId="77777777" w:rsidR="00CD60C2" w:rsidRPr="00F34274" w:rsidRDefault="00CD60C2" w:rsidP="00957DB2">
      <w:pPr>
        <w:shd w:val="clear" w:color="auto" w:fill="F2F2F2"/>
        <w:rPr>
          <w:rFonts w:eastAsia="Arial" w:cs="Arial"/>
        </w:rPr>
      </w:pPr>
      <w:r w:rsidRPr="00F34274">
        <w:rPr>
          <w:rFonts w:eastAsia="Arial" w:cs="Arial"/>
        </w:rPr>
        <w:t xml:space="preserve">Other Sources of External Funding </w:t>
      </w:r>
    </w:p>
    <w:p w14:paraId="2D3D2753" w14:textId="77777777" w:rsidR="00CD60C2" w:rsidRPr="00F34274" w:rsidRDefault="00CD60C2" w:rsidP="00957DB2">
      <w:pPr>
        <w:rPr>
          <w:rFonts w:eastAsia="Arial" w:cs="Arial"/>
        </w:rPr>
      </w:pPr>
      <w:bookmarkStart w:id="233" w:name="_Hlk122023458"/>
      <w:bookmarkStart w:id="234" w:name="_Hlk86134792"/>
      <w:r w:rsidRPr="00F34274">
        <w:rPr>
          <w:rFonts w:eastAsia="Arial" w:cs="Arial"/>
        </w:rPr>
        <w:t>ALL</w:t>
      </w:r>
    </w:p>
    <w:p w14:paraId="1E1A6615" w14:textId="77777777" w:rsidR="00CD60C2" w:rsidRPr="00F34274" w:rsidRDefault="00CD60C2" w:rsidP="00957DB2">
      <w:pPr>
        <w:rPr>
          <w:rFonts w:eastAsia="Arial" w:cs="Arial"/>
          <w:bCs/>
        </w:rPr>
      </w:pPr>
      <w:bookmarkStart w:id="235" w:name="_Hlk82764225"/>
      <w:bookmarkStart w:id="236" w:name="_Hlk77678081"/>
      <w:bookmarkStart w:id="237" w:name="_Hlk122016878"/>
      <w:bookmarkEnd w:id="221"/>
      <w:r w:rsidRPr="00F34274">
        <w:rPr>
          <w:rFonts w:eastAsia="Arial" w:cs="Arial"/>
          <w:bCs/>
        </w:rPr>
        <w:t>28. Which of the following angel funding sources are most accessible to your business?</w:t>
      </w:r>
    </w:p>
    <w:p w14:paraId="75CAFFAE" w14:textId="77777777" w:rsidR="00CD60C2" w:rsidRPr="00F34274" w:rsidRDefault="00CD60C2" w:rsidP="00957DB2">
      <w:pPr>
        <w:rPr>
          <w:rFonts w:eastAsia="Arial" w:cs="Arial"/>
        </w:rPr>
      </w:pPr>
      <w:r w:rsidRPr="00F34274">
        <w:rPr>
          <w:rFonts w:eastAsia="Arial" w:cs="Arial"/>
        </w:rPr>
        <w:t>PLEASE CHECK ALL THAT APPLY</w:t>
      </w:r>
    </w:p>
    <w:tbl>
      <w:tblPr>
        <w:tblStyle w:val="withborders2"/>
        <w:tblW w:w="5000" w:type="pct"/>
        <w:tblLook w:val="04A0" w:firstRow="1" w:lastRow="0" w:firstColumn="1" w:lastColumn="0" w:noHBand="0" w:noVBand="1"/>
      </w:tblPr>
      <w:tblGrid>
        <w:gridCol w:w="8697"/>
        <w:gridCol w:w="1265"/>
      </w:tblGrid>
      <w:tr w:rsidR="00CD60C2" w:rsidRPr="00F34274" w14:paraId="20BE5961" w14:textId="77777777" w:rsidTr="00201E3C">
        <w:tc>
          <w:tcPr>
            <w:tcW w:w="4365" w:type="pct"/>
          </w:tcPr>
          <w:p w14:paraId="07BF9E11" w14:textId="77777777" w:rsidR="00CD60C2" w:rsidRPr="00F34274" w:rsidRDefault="00CD60C2" w:rsidP="00957DB2">
            <w:pPr>
              <w:rPr>
                <w:rFonts w:eastAsia="Arial" w:cs="Arial"/>
                <w:bCs/>
              </w:rPr>
            </w:pPr>
            <w:r w:rsidRPr="00F34274">
              <w:rPr>
                <w:rFonts w:eastAsia="Arial" w:cs="Arial"/>
                <w:bCs/>
              </w:rPr>
              <w:t>Local angel investors located within your region</w:t>
            </w:r>
          </w:p>
        </w:tc>
        <w:tc>
          <w:tcPr>
            <w:tcW w:w="635" w:type="pct"/>
          </w:tcPr>
          <w:p w14:paraId="5D1F9C5C" w14:textId="77777777" w:rsidR="00CD60C2" w:rsidRPr="00F34274" w:rsidRDefault="00CD60C2" w:rsidP="00957DB2">
            <w:pPr>
              <w:rPr>
                <w:rFonts w:eastAsia="Arial" w:cs="Arial"/>
                <w:bCs/>
              </w:rPr>
            </w:pPr>
            <w:r w:rsidRPr="00F34274">
              <w:rPr>
                <w:rFonts w:eastAsia="Arial" w:cs="Arial"/>
                <w:bCs/>
              </w:rPr>
              <w:t>1</w:t>
            </w:r>
          </w:p>
        </w:tc>
      </w:tr>
      <w:tr w:rsidR="00CD60C2" w:rsidRPr="00F34274" w14:paraId="5D486B48" w14:textId="77777777" w:rsidTr="00201E3C">
        <w:tc>
          <w:tcPr>
            <w:tcW w:w="4365" w:type="pct"/>
          </w:tcPr>
          <w:p w14:paraId="41779D8E" w14:textId="77777777" w:rsidR="00CD60C2" w:rsidRPr="00F34274" w:rsidRDefault="00CD60C2" w:rsidP="00957DB2">
            <w:pPr>
              <w:rPr>
                <w:rFonts w:eastAsia="Arial" w:cs="Arial"/>
                <w:bCs/>
              </w:rPr>
            </w:pPr>
            <w:r w:rsidRPr="00F34274">
              <w:rPr>
                <w:rFonts w:eastAsia="Arial" w:cs="Arial"/>
                <w:bCs/>
              </w:rPr>
              <w:t xml:space="preserve">Angel investors located outside your region (e.g., London, East Midlands, </w:t>
            </w:r>
            <w:proofErr w:type="gramStart"/>
            <w:r w:rsidRPr="00F34274">
              <w:rPr>
                <w:rFonts w:eastAsia="Arial" w:cs="Arial"/>
                <w:bCs/>
              </w:rPr>
              <w:t>South West</w:t>
            </w:r>
            <w:proofErr w:type="gramEnd"/>
            <w:r w:rsidRPr="00F34274">
              <w:rPr>
                <w:rFonts w:eastAsia="Arial" w:cs="Arial"/>
                <w:bCs/>
              </w:rPr>
              <w:t xml:space="preserve"> of England, etc.)</w:t>
            </w:r>
          </w:p>
        </w:tc>
        <w:tc>
          <w:tcPr>
            <w:tcW w:w="635" w:type="pct"/>
          </w:tcPr>
          <w:p w14:paraId="24E416B9" w14:textId="77777777" w:rsidR="00CD60C2" w:rsidRPr="00F34274" w:rsidRDefault="00CD60C2" w:rsidP="00957DB2">
            <w:pPr>
              <w:rPr>
                <w:rFonts w:eastAsia="Arial" w:cs="Arial"/>
                <w:bCs/>
              </w:rPr>
            </w:pPr>
            <w:r w:rsidRPr="00F34274">
              <w:rPr>
                <w:rFonts w:eastAsia="Arial" w:cs="Arial"/>
                <w:bCs/>
              </w:rPr>
              <w:t>2</w:t>
            </w:r>
          </w:p>
        </w:tc>
      </w:tr>
      <w:tr w:rsidR="00CD60C2" w:rsidRPr="00F34274" w14:paraId="788F8AA3" w14:textId="77777777" w:rsidTr="00201E3C">
        <w:tc>
          <w:tcPr>
            <w:tcW w:w="4365" w:type="pct"/>
          </w:tcPr>
          <w:p w14:paraId="3E488C36" w14:textId="77777777" w:rsidR="00CD60C2" w:rsidRPr="00F34274" w:rsidRDefault="00CD60C2" w:rsidP="00957DB2">
            <w:pPr>
              <w:rPr>
                <w:rFonts w:eastAsia="Arial" w:cs="Arial"/>
                <w:bCs/>
              </w:rPr>
            </w:pPr>
            <w:r w:rsidRPr="00F34274">
              <w:rPr>
                <w:rFonts w:eastAsia="Arial" w:cs="Arial"/>
                <w:bCs/>
              </w:rPr>
              <w:t>Angel investors located within your specific nation (England, Wales, Scotland, Northern Ireland)</w:t>
            </w:r>
          </w:p>
        </w:tc>
        <w:tc>
          <w:tcPr>
            <w:tcW w:w="635" w:type="pct"/>
          </w:tcPr>
          <w:p w14:paraId="0037D268" w14:textId="77777777" w:rsidR="00CD60C2" w:rsidRPr="00F34274" w:rsidRDefault="00CD60C2" w:rsidP="00957DB2">
            <w:pPr>
              <w:rPr>
                <w:rFonts w:eastAsia="Arial" w:cs="Arial"/>
                <w:bCs/>
              </w:rPr>
            </w:pPr>
            <w:r w:rsidRPr="00F34274">
              <w:rPr>
                <w:rFonts w:eastAsia="Arial" w:cs="Arial"/>
                <w:bCs/>
              </w:rPr>
              <w:t>3</w:t>
            </w:r>
          </w:p>
        </w:tc>
      </w:tr>
      <w:tr w:rsidR="00CD60C2" w:rsidRPr="00F34274" w14:paraId="5A4F6B9C" w14:textId="77777777" w:rsidTr="00201E3C">
        <w:tc>
          <w:tcPr>
            <w:tcW w:w="4365" w:type="pct"/>
          </w:tcPr>
          <w:p w14:paraId="35C68B86" w14:textId="77777777" w:rsidR="00CD60C2" w:rsidRPr="00F34274" w:rsidRDefault="00CD60C2" w:rsidP="00957DB2">
            <w:pPr>
              <w:rPr>
                <w:rFonts w:eastAsia="Arial" w:cs="Arial"/>
                <w:bCs/>
              </w:rPr>
            </w:pPr>
            <w:r w:rsidRPr="00F34274">
              <w:rPr>
                <w:rFonts w:eastAsia="Arial" w:cs="Arial"/>
                <w:bCs/>
              </w:rPr>
              <w:t>UK wide angel investors</w:t>
            </w:r>
          </w:p>
        </w:tc>
        <w:tc>
          <w:tcPr>
            <w:tcW w:w="635" w:type="pct"/>
          </w:tcPr>
          <w:p w14:paraId="1CE362BB" w14:textId="77777777" w:rsidR="00CD60C2" w:rsidRPr="00F34274" w:rsidRDefault="00CD60C2" w:rsidP="00957DB2">
            <w:pPr>
              <w:rPr>
                <w:rFonts w:eastAsia="Arial" w:cs="Arial"/>
                <w:bCs/>
              </w:rPr>
            </w:pPr>
            <w:r w:rsidRPr="00F34274">
              <w:rPr>
                <w:rFonts w:eastAsia="Arial" w:cs="Arial"/>
                <w:bCs/>
              </w:rPr>
              <w:t>4</w:t>
            </w:r>
          </w:p>
        </w:tc>
      </w:tr>
      <w:tr w:rsidR="00CD60C2" w:rsidRPr="00F34274" w14:paraId="67B81624" w14:textId="77777777" w:rsidTr="00201E3C">
        <w:tc>
          <w:tcPr>
            <w:tcW w:w="4365" w:type="pct"/>
          </w:tcPr>
          <w:p w14:paraId="33E02B0C" w14:textId="77777777" w:rsidR="00CD60C2" w:rsidRPr="00F34274" w:rsidRDefault="00CD60C2" w:rsidP="00957DB2">
            <w:pPr>
              <w:rPr>
                <w:rFonts w:eastAsia="Arial" w:cs="Arial"/>
                <w:bCs/>
              </w:rPr>
            </w:pPr>
            <w:r w:rsidRPr="00F34274">
              <w:rPr>
                <w:rFonts w:eastAsia="Arial" w:cs="Arial"/>
                <w:bCs/>
              </w:rPr>
              <w:t>Angel investor located outside the UK</w:t>
            </w:r>
          </w:p>
        </w:tc>
        <w:tc>
          <w:tcPr>
            <w:tcW w:w="635" w:type="pct"/>
          </w:tcPr>
          <w:p w14:paraId="39E02A00" w14:textId="77777777" w:rsidR="00CD60C2" w:rsidRPr="00F34274" w:rsidRDefault="00CD60C2" w:rsidP="00957DB2">
            <w:pPr>
              <w:rPr>
                <w:rFonts w:eastAsia="Arial" w:cs="Arial"/>
                <w:bCs/>
              </w:rPr>
            </w:pPr>
            <w:r w:rsidRPr="00F34274">
              <w:rPr>
                <w:rFonts w:eastAsia="Arial" w:cs="Arial"/>
                <w:bCs/>
              </w:rPr>
              <w:t>5</w:t>
            </w:r>
          </w:p>
        </w:tc>
      </w:tr>
      <w:tr w:rsidR="00CD60C2" w:rsidRPr="00F34274" w14:paraId="3E12EF64" w14:textId="77777777" w:rsidTr="00201E3C">
        <w:tc>
          <w:tcPr>
            <w:tcW w:w="4365" w:type="pct"/>
          </w:tcPr>
          <w:p w14:paraId="1C36629C" w14:textId="77777777" w:rsidR="00CD60C2" w:rsidRPr="00F34274" w:rsidRDefault="00CD60C2" w:rsidP="00957DB2">
            <w:pPr>
              <w:rPr>
                <w:rFonts w:eastAsia="Arial" w:cs="Arial"/>
                <w:bCs/>
              </w:rPr>
            </w:pPr>
            <w:r w:rsidRPr="00F34274">
              <w:rPr>
                <w:rFonts w:eastAsia="Arial" w:cs="Arial"/>
                <w:bCs/>
              </w:rPr>
              <w:t>No access to angel investors before you received investment from your Investor</w:t>
            </w:r>
          </w:p>
        </w:tc>
        <w:tc>
          <w:tcPr>
            <w:tcW w:w="635" w:type="pct"/>
          </w:tcPr>
          <w:p w14:paraId="6D71B3FD" w14:textId="77777777" w:rsidR="00CD60C2" w:rsidRPr="00F34274" w:rsidRDefault="00CD60C2" w:rsidP="00957DB2">
            <w:pPr>
              <w:rPr>
                <w:rFonts w:eastAsia="Arial" w:cs="Arial"/>
                <w:bCs/>
              </w:rPr>
            </w:pPr>
            <w:r w:rsidRPr="00F34274">
              <w:rPr>
                <w:rFonts w:eastAsia="Arial" w:cs="Arial"/>
                <w:bCs/>
              </w:rPr>
              <w:t>6</w:t>
            </w:r>
          </w:p>
        </w:tc>
      </w:tr>
      <w:tr w:rsidR="00CD60C2" w:rsidRPr="00F34274" w14:paraId="23F664A8" w14:textId="77777777" w:rsidTr="00201E3C">
        <w:tc>
          <w:tcPr>
            <w:tcW w:w="4365" w:type="pct"/>
          </w:tcPr>
          <w:p w14:paraId="77769A2E" w14:textId="77777777" w:rsidR="00CD60C2" w:rsidRPr="00F34274" w:rsidRDefault="00CD60C2" w:rsidP="00957DB2">
            <w:pPr>
              <w:rPr>
                <w:rFonts w:eastAsia="Arial" w:cs="Arial"/>
                <w:bCs/>
              </w:rPr>
            </w:pPr>
            <w:r w:rsidRPr="00F34274">
              <w:rPr>
                <w:rFonts w:eastAsia="Arial" w:cs="Arial"/>
                <w:bCs/>
              </w:rPr>
              <w:t>Don’t know</w:t>
            </w:r>
          </w:p>
        </w:tc>
        <w:tc>
          <w:tcPr>
            <w:tcW w:w="635" w:type="pct"/>
          </w:tcPr>
          <w:p w14:paraId="1C05C229" w14:textId="77777777" w:rsidR="00CD60C2" w:rsidRPr="00F34274" w:rsidRDefault="00CD60C2" w:rsidP="00957DB2">
            <w:pPr>
              <w:rPr>
                <w:rFonts w:eastAsia="Arial" w:cs="Arial"/>
                <w:bCs/>
              </w:rPr>
            </w:pPr>
            <w:r w:rsidRPr="00F34274">
              <w:rPr>
                <w:rFonts w:eastAsia="Arial" w:cs="Arial"/>
                <w:bCs/>
              </w:rPr>
              <w:t>99</w:t>
            </w:r>
          </w:p>
        </w:tc>
      </w:tr>
      <w:bookmarkEnd w:id="233"/>
    </w:tbl>
    <w:p w14:paraId="3E8038A1" w14:textId="77777777" w:rsidR="00CD60C2" w:rsidRPr="00F34274" w:rsidRDefault="00CD60C2" w:rsidP="00957DB2">
      <w:pPr>
        <w:rPr>
          <w:rFonts w:eastAsia="Arial" w:cs="Arial"/>
        </w:rPr>
      </w:pPr>
    </w:p>
    <w:bookmarkEnd w:id="234"/>
    <w:bookmarkEnd w:id="235"/>
    <w:bookmarkEnd w:id="236"/>
    <w:bookmarkEnd w:id="237"/>
    <w:p w14:paraId="580949C9" w14:textId="77777777" w:rsidR="00CD60C2" w:rsidRPr="00F34274" w:rsidRDefault="00CD60C2" w:rsidP="00957DB2">
      <w:pPr>
        <w:shd w:val="clear" w:color="auto" w:fill="F2F2F2"/>
        <w:rPr>
          <w:rFonts w:eastAsia="Arial" w:cs="Arial"/>
        </w:rPr>
      </w:pPr>
      <w:r w:rsidRPr="00F34274">
        <w:rPr>
          <w:rFonts w:eastAsia="Arial" w:cs="Arial"/>
        </w:rPr>
        <w:t xml:space="preserve">Business Impacts </w:t>
      </w:r>
    </w:p>
    <w:p w14:paraId="776080ED" w14:textId="77777777" w:rsidR="00CD60C2" w:rsidRPr="00F34274" w:rsidRDefault="00CD60C2" w:rsidP="00957DB2">
      <w:pPr>
        <w:rPr>
          <w:rFonts w:eastAsia="Arial" w:cs="Arial"/>
          <w:bCs/>
          <w:i/>
          <w:iCs/>
        </w:rPr>
      </w:pPr>
      <w:r w:rsidRPr="00F34274">
        <w:rPr>
          <w:rFonts w:eastAsia="Arial" w:cs="Arial"/>
          <w:bCs/>
          <w:i/>
          <w:iCs/>
        </w:rPr>
        <w:t xml:space="preserve">We would now like to ask questions on if and how the funding has impacted your company. </w:t>
      </w:r>
    </w:p>
    <w:p w14:paraId="4C3F0D4A" w14:textId="77777777" w:rsidR="00CD60C2" w:rsidRPr="00F34274" w:rsidRDefault="00CD60C2" w:rsidP="00957DB2">
      <w:pPr>
        <w:rPr>
          <w:rFonts w:eastAsia="Arial" w:cs="Arial"/>
        </w:rPr>
      </w:pPr>
      <w:bookmarkStart w:id="238" w:name="_Hlk122023764"/>
      <w:r w:rsidRPr="00F34274">
        <w:rPr>
          <w:rFonts w:eastAsia="Arial" w:cs="Arial"/>
        </w:rPr>
        <w:t>ALL</w:t>
      </w:r>
    </w:p>
    <w:p w14:paraId="29EDC034" w14:textId="77777777" w:rsidR="00CD60C2" w:rsidRPr="00F34274" w:rsidRDefault="00CD60C2" w:rsidP="00957DB2">
      <w:pPr>
        <w:rPr>
          <w:rFonts w:eastAsia="Arial" w:cs="Arial"/>
          <w:bCs/>
        </w:rPr>
      </w:pPr>
      <w:bookmarkStart w:id="239" w:name="_Hlk120899161"/>
      <w:bookmarkStart w:id="240" w:name="_Hlk86141380"/>
      <w:bookmarkStart w:id="241" w:name="_Hlk86135472"/>
      <w:r w:rsidRPr="00F34274">
        <w:rPr>
          <w:rFonts w:eastAsia="Arial" w:cs="Arial"/>
          <w:bCs/>
        </w:rPr>
        <w:t>29. Did the investment from your Investor lead to access to other sources of equity funding?</w:t>
      </w:r>
    </w:p>
    <w:bookmarkEnd w:id="239"/>
    <w:p w14:paraId="20F34915" w14:textId="77777777" w:rsidR="00CD60C2" w:rsidRPr="00F34274" w:rsidRDefault="00CD60C2" w:rsidP="00957DB2">
      <w:pPr>
        <w:rPr>
          <w:rFonts w:eastAsia="Arial" w:cs="Arial"/>
        </w:rPr>
      </w:pPr>
      <w:r w:rsidRPr="00F34274">
        <w:rPr>
          <w:rFonts w:eastAsia="Arial" w:cs="Arial"/>
        </w:rPr>
        <w:t>PLEASE CHECK ONE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97"/>
        <w:gridCol w:w="1265"/>
      </w:tblGrid>
      <w:tr w:rsidR="00CD60C2" w:rsidRPr="00F34274" w14:paraId="2AC1B06F" w14:textId="77777777" w:rsidTr="00201E3C">
        <w:tc>
          <w:tcPr>
            <w:tcW w:w="4365" w:type="pct"/>
            <w:tcMar>
              <w:top w:w="0" w:type="dxa"/>
              <w:left w:w="108" w:type="dxa"/>
              <w:bottom w:w="0" w:type="dxa"/>
              <w:right w:w="108" w:type="dxa"/>
            </w:tcMar>
            <w:hideMark/>
          </w:tcPr>
          <w:p w14:paraId="30477B54" w14:textId="77777777" w:rsidR="00CD60C2" w:rsidRPr="00F34274" w:rsidRDefault="00CD60C2" w:rsidP="00957DB2">
            <w:pPr>
              <w:rPr>
                <w:rFonts w:eastAsia="Arial" w:cs="Arial"/>
              </w:rPr>
            </w:pPr>
            <w:r w:rsidRPr="00F34274">
              <w:rPr>
                <w:rFonts w:eastAsia="Arial" w:cs="Arial"/>
              </w:rPr>
              <w:t>Yes</w:t>
            </w:r>
          </w:p>
        </w:tc>
        <w:tc>
          <w:tcPr>
            <w:tcW w:w="635" w:type="pct"/>
            <w:tcMar>
              <w:top w:w="0" w:type="dxa"/>
              <w:left w:w="108" w:type="dxa"/>
              <w:bottom w:w="0" w:type="dxa"/>
              <w:right w:w="108" w:type="dxa"/>
            </w:tcMar>
            <w:hideMark/>
          </w:tcPr>
          <w:p w14:paraId="4153110B" w14:textId="77777777" w:rsidR="00CD60C2" w:rsidRPr="00F34274" w:rsidRDefault="00CD60C2" w:rsidP="00957DB2">
            <w:pPr>
              <w:rPr>
                <w:rFonts w:eastAsia="Arial" w:cs="Arial"/>
              </w:rPr>
            </w:pPr>
            <w:r w:rsidRPr="00F34274">
              <w:rPr>
                <w:rFonts w:eastAsia="Arial" w:cs="Arial"/>
              </w:rPr>
              <w:t>1</w:t>
            </w:r>
          </w:p>
        </w:tc>
      </w:tr>
      <w:tr w:rsidR="00CD60C2" w:rsidRPr="00F34274" w14:paraId="15ADD584" w14:textId="77777777" w:rsidTr="00201E3C">
        <w:tc>
          <w:tcPr>
            <w:tcW w:w="4365" w:type="pct"/>
            <w:tcMar>
              <w:top w:w="0" w:type="dxa"/>
              <w:left w:w="108" w:type="dxa"/>
              <w:bottom w:w="0" w:type="dxa"/>
              <w:right w:w="108" w:type="dxa"/>
            </w:tcMar>
            <w:hideMark/>
          </w:tcPr>
          <w:p w14:paraId="639A5934" w14:textId="77777777" w:rsidR="00CD60C2" w:rsidRPr="00F34274" w:rsidRDefault="00CD60C2" w:rsidP="00957DB2">
            <w:pPr>
              <w:rPr>
                <w:rFonts w:eastAsia="Arial" w:cs="Arial"/>
              </w:rPr>
            </w:pPr>
            <w:r w:rsidRPr="00F34274">
              <w:rPr>
                <w:rFonts w:eastAsia="Arial" w:cs="Arial"/>
              </w:rPr>
              <w:t>No</w:t>
            </w:r>
          </w:p>
        </w:tc>
        <w:tc>
          <w:tcPr>
            <w:tcW w:w="635" w:type="pct"/>
            <w:tcMar>
              <w:top w:w="0" w:type="dxa"/>
              <w:left w:w="108" w:type="dxa"/>
              <w:bottom w:w="0" w:type="dxa"/>
              <w:right w:w="108" w:type="dxa"/>
            </w:tcMar>
            <w:hideMark/>
          </w:tcPr>
          <w:p w14:paraId="335D19A6" w14:textId="77777777" w:rsidR="00CD60C2" w:rsidRPr="00F34274" w:rsidRDefault="00CD60C2" w:rsidP="00957DB2">
            <w:pPr>
              <w:rPr>
                <w:rFonts w:eastAsia="Arial" w:cs="Arial"/>
              </w:rPr>
            </w:pPr>
            <w:r w:rsidRPr="00F34274">
              <w:rPr>
                <w:rFonts w:eastAsia="Arial" w:cs="Arial"/>
              </w:rPr>
              <w:t>2</w:t>
            </w:r>
          </w:p>
        </w:tc>
      </w:tr>
      <w:tr w:rsidR="00CD60C2" w:rsidRPr="00F34274" w14:paraId="1C3CD08F" w14:textId="77777777" w:rsidTr="00201E3C">
        <w:tc>
          <w:tcPr>
            <w:tcW w:w="4365" w:type="pct"/>
            <w:tcMar>
              <w:top w:w="0" w:type="dxa"/>
              <w:left w:w="108" w:type="dxa"/>
              <w:bottom w:w="0" w:type="dxa"/>
              <w:right w:w="108" w:type="dxa"/>
            </w:tcMar>
            <w:hideMark/>
          </w:tcPr>
          <w:p w14:paraId="48E4E51F" w14:textId="77777777" w:rsidR="00CD60C2" w:rsidRPr="00F34274" w:rsidRDefault="00CD60C2" w:rsidP="00957DB2">
            <w:pPr>
              <w:rPr>
                <w:rFonts w:eastAsia="Arial" w:cs="Arial"/>
              </w:rPr>
            </w:pPr>
            <w:r w:rsidRPr="00F34274">
              <w:rPr>
                <w:rFonts w:eastAsia="Arial" w:cs="Arial"/>
              </w:rPr>
              <w:lastRenderedPageBreak/>
              <w:t>Don’t know</w:t>
            </w:r>
          </w:p>
        </w:tc>
        <w:tc>
          <w:tcPr>
            <w:tcW w:w="635" w:type="pct"/>
            <w:tcMar>
              <w:top w:w="0" w:type="dxa"/>
              <w:left w:w="108" w:type="dxa"/>
              <w:bottom w:w="0" w:type="dxa"/>
              <w:right w:w="108" w:type="dxa"/>
            </w:tcMar>
            <w:hideMark/>
          </w:tcPr>
          <w:p w14:paraId="1036AAA2" w14:textId="77777777" w:rsidR="00CD60C2" w:rsidRPr="00F34274" w:rsidRDefault="00CD60C2" w:rsidP="00957DB2">
            <w:pPr>
              <w:rPr>
                <w:rFonts w:eastAsia="Arial" w:cs="Arial"/>
              </w:rPr>
            </w:pPr>
            <w:r w:rsidRPr="00F34274">
              <w:rPr>
                <w:rFonts w:eastAsia="Arial" w:cs="Arial"/>
              </w:rPr>
              <w:t>99</w:t>
            </w:r>
          </w:p>
        </w:tc>
      </w:tr>
    </w:tbl>
    <w:p w14:paraId="6419D145" w14:textId="77777777" w:rsidR="00CD60C2" w:rsidRPr="00F34274" w:rsidRDefault="00CD60C2" w:rsidP="00957DB2">
      <w:pPr>
        <w:rPr>
          <w:rFonts w:eastAsia="Arial" w:cs="Arial"/>
        </w:rPr>
      </w:pPr>
    </w:p>
    <w:p w14:paraId="4D7E1D4E" w14:textId="77777777" w:rsidR="00CD60C2" w:rsidRPr="00F34274" w:rsidRDefault="00CD60C2" w:rsidP="00957DB2">
      <w:pPr>
        <w:rPr>
          <w:rFonts w:eastAsia="Arial" w:cs="Arial"/>
        </w:rPr>
      </w:pPr>
      <w:r w:rsidRPr="00F34274">
        <w:rPr>
          <w:rFonts w:eastAsia="Arial" w:cs="Arial"/>
        </w:rPr>
        <w:t>ALL</w:t>
      </w:r>
    </w:p>
    <w:p w14:paraId="7A371FFC" w14:textId="77777777" w:rsidR="00CD60C2" w:rsidRPr="00F34274" w:rsidRDefault="00CD60C2" w:rsidP="00957DB2">
      <w:pPr>
        <w:rPr>
          <w:rFonts w:eastAsia="Arial" w:cs="Arial"/>
          <w:bCs/>
        </w:rPr>
      </w:pPr>
      <w:r w:rsidRPr="00F34274">
        <w:rPr>
          <w:rFonts w:eastAsia="Arial" w:cs="Arial"/>
          <w:bCs/>
        </w:rPr>
        <w:t>30. Do you expect the funding from your Investor to make funding conditions generally easier for the long-term?</w:t>
      </w:r>
    </w:p>
    <w:p w14:paraId="2FD300E8" w14:textId="77777777" w:rsidR="00CD60C2" w:rsidRPr="00F34274" w:rsidRDefault="00CD60C2" w:rsidP="00957DB2">
      <w:pPr>
        <w:rPr>
          <w:rFonts w:eastAsia="Arial" w:cs="Arial"/>
        </w:rPr>
      </w:pPr>
      <w:r w:rsidRPr="00F34274">
        <w:rPr>
          <w:rFonts w:eastAsia="Arial" w:cs="Arial"/>
        </w:rPr>
        <w:t>PLEASE CHECK ONE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97"/>
        <w:gridCol w:w="1265"/>
      </w:tblGrid>
      <w:tr w:rsidR="00CD60C2" w:rsidRPr="00F34274" w14:paraId="1FD8576D" w14:textId="77777777" w:rsidTr="00201E3C">
        <w:tc>
          <w:tcPr>
            <w:tcW w:w="4365" w:type="pct"/>
            <w:tcMar>
              <w:top w:w="0" w:type="dxa"/>
              <w:left w:w="108" w:type="dxa"/>
              <w:bottom w:w="0" w:type="dxa"/>
              <w:right w:w="108" w:type="dxa"/>
            </w:tcMar>
            <w:hideMark/>
          </w:tcPr>
          <w:p w14:paraId="4CD68F95" w14:textId="77777777" w:rsidR="00CD60C2" w:rsidRPr="00F34274" w:rsidRDefault="00CD60C2" w:rsidP="00957DB2">
            <w:pPr>
              <w:rPr>
                <w:rFonts w:eastAsia="Arial" w:cs="Arial"/>
              </w:rPr>
            </w:pPr>
            <w:r w:rsidRPr="00F34274">
              <w:rPr>
                <w:rFonts w:eastAsia="Arial" w:cs="Arial"/>
              </w:rPr>
              <w:t>Yes</w:t>
            </w:r>
          </w:p>
        </w:tc>
        <w:tc>
          <w:tcPr>
            <w:tcW w:w="635" w:type="pct"/>
            <w:tcMar>
              <w:top w:w="0" w:type="dxa"/>
              <w:left w:w="108" w:type="dxa"/>
              <w:bottom w:w="0" w:type="dxa"/>
              <w:right w:w="108" w:type="dxa"/>
            </w:tcMar>
            <w:hideMark/>
          </w:tcPr>
          <w:p w14:paraId="5E4F3605" w14:textId="77777777" w:rsidR="00CD60C2" w:rsidRPr="00F34274" w:rsidRDefault="00CD60C2" w:rsidP="00957DB2">
            <w:pPr>
              <w:rPr>
                <w:rFonts w:eastAsia="Arial" w:cs="Arial"/>
              </w:rPr>
            </w:pPr>
            <w:r w:rsidRPr="00F34274">
              <w:rPr>
                <w:rFonts w:eastAsia="Arial" w:cs="Arial"/>
              </w:rPr>
              <w:t>1</w:t>
            </w:r>
          </w:p>
        </w:tc>
      </w:tr>
      <w:tr w:rsidR="00CD60C2" w:rsidRPr="00F34274" w14:paraId="16BE67DB" w14:textId="77777777" w:rsidTr="00201E3C">
        <w:tc>
          <w:tcPr>
            <w:tcW w:w="4365" w:type="pct"/>
            <w:tcMar>
              <w:top w:w="0" w:type="dxa"/>
              <w:left w:w="108" w:type="dxa"/>
              <w:bottom w:w="0" w:type="dxa"/>
              <w:right w:w="108" w:type="dxa"/>
            </w:tcMar>
            <w:hideMark/>
          </w:tcPr>
          <w:p w14:paraId="499EC2DE" w14:textId="77777777" w:rsidR="00CD60C2" w:rsidRPr="00F34274" w:rsidRDefault="00CD60C2" w:rsidP="00957DB2">
            <w:pPr>
              <w:rPr>
                <w:rFonts w:eastAsia="Arial" w:cs="Arial"/>
              </w:rPr>
            </w:pPr>
            <w:r w:rsidRPr="00F34274">
              <w:rPr>
                <w:rFonts w:eastAsia="Arial" w:cs="Arial"/>
              </w:rPr>
              <w:t>No</w:t>
            </w:r>
          </w:p>
        </w:tc>
        <w:tc>
          <w:tcPr>
            <w:tcW w:w="635" w:type="pct"/>
            <w:tcMar>
              <w:top w:w="0" w:type="dxa"/>
              <w:left w:w="108" w:type="dxa"/>
              <w:bottom w:w="0" w:type="dxa"/>
              <w:right w:w="108" w:type="dxa"/>
            </w:tcMar>
            <w:hideMark/>
          </w:tcPr>
          <w:p w14:paraId="6AA6A96B" w14:textId="77777777" w:rsidR="00CD60C2" w:rsidRPr="00F34274" w:rsidRDefault="00CD60C2" w:rsidP="00957DB2">
            <w:pPr>
              <w:rPr>
                <w:rFonts w:eastAsia="Arial" w:cs="Arial"/>
              </w:rPr>
            </w:pPr>
            <w:r w:rsidRPr="00F34274">
              <w:rPr>
                <w:rFonts w:eastAsia="Arial" w:cs="Arial"/>
              </w:rPr>
              <w:t>2</w:t>
            </w:r>
          </w:p>
        </w:tc>
      </w:tr>
      <w:tr w:rsidR="00CD60C2" w:rsidRPr="00F34274" w14:paraId="19CF3925" w14:textId="77777777" w:rsidTr="00201E3C">
        <w:tc>
          <w:tcPr>
            <w:tcW w:w="4365" w:type="pct"/>
            <w:tcMar>
              <w:top w:w="0" w:type="dxa"/>
              <w:left w:w="108" w:type="dxa"/>
              <w:bottom w:w="0" w:type="dxa"/>
              <w:right w:w="108" w:type="dxa"/>
            </w:tcMar>
            <w:hideMark/>
          </w:tcPr>
          <w:p w14:paraId="21A30B4F" w14:textId="77777777" w:rsidR="00CD60C2" w:rsidRPr="00F34274" w:rsidRDefault="00CD60C2" w:rsidP="00957DB2">
            <w:pPr>
              <w:rPr>
                <w:rFonts w:eastAsia="Arial" w:cs="Arial"/>
              </w:rPr>
            </w:pPr>
            <w:r w:rsidRPr="00F34274">
              <w:rPr>
                <w:rFonts w:eastAsia="Arial" w:cs="Arial"/>
              </w:rPr>
              <w:t>Don’t know</w:t>
            </w:r>
          </w:p>
        </w:tc>
        <w:tc>
          <w:tcPr>
            <w:tcW w:w="635" w:type="pct"/>
            <w:tcMar>
              <w:top w:w="0" w:type="dxa"/>
              <w:left w:w="108" w:type="dxa"/>
              <w:bottom w:w="0" w:type="dxa"/>
              <w:right w:w="108" w:type="dxa"/>
            </w:tcMar>
            <w:hideMark/>
          </w:tcPr>
          <w:p w14:paraId="06F5ABDF" w14:textId="77777777" w:rsidR="00CD60C2" w:rsidRPr="00F34274" w:rsidRDefault="00CD60C2" w:rsidP="00957DB2">
            <w:pPr>
              <w:rPr>
                <w:rFonts w:eastAsia="Arial" w:cs="Arial"/>
              </w:rPr>
            </w:pPr>
            <w:r w:rsidRPr="00F34274">
              <w:rPr>
                <w:rFonts w:eastAsia="Arial" w:cs="Arial"/>
              </w:rPr>
              <w:t>99</w:t>
            </w:r>
          </w:p>
        </w:tc>
      </w:tr>
      <w:bookmarkEnd w:id="238"/>
      <w:bookmarkEnd w:id="240"/>
      <w:bookmarkEnd w:id="241"/>
    </w:tbl>
    <w:p w14:paraId="3DCFFD95" w14:textId="77777777" w:rsidR="00CD60C2" w:rsidRPr="00F34274" w:rsidRDefault="00CD60C2" w:rsidP="00957DB2">
      <w:pPr>
        <w:rPr>
          <w:rFonts w:eastAsia="Arial" w:cs="Arial"/>
        </w:rPr>
      </w:pPr>
    </w:p>
    <w:p w14:paraId="6F401F5B" w14:textId="77777777" w:rsidR="00CD60C2" w:rsidRPr="00F34274" w:rsidRDefault="00CD60C2" w:rsidP="00957DB2">
      <w:pPr>
        <w:rPr>
          <w:rFonts w:eastAsia="Arial" w:cs="Arial"/>
        </w:rPr>
      </w:pPr>
      <w:r w:rsidRPr="00F34274">
        <w:rPr>
          <w:rFonts w:eastAsia="Arial" w:cs="Arial"/>
        </w:rPr>
        <w:t>ALL</w:t>
      </w:r>
    </w:p>
    <w:p w14:paraId="09FFEB49" w14:textId="77777777" w:rsidR="00CD60C2" w:rsidRPr="00F34274" w:rsidRDefault="00CD60C2" w:rsidP="00957DB2">
      <w:pPr>
        <w:rPr>
          <w:rFonts w:eastAsia="Arial" w:cs="Arial"/>
          <w:bCs/>
        </w:rPr>
      </w:pPr>
      <w:r w:rsidRPr="00F34274">
        <w:rPr>
          <w:rFonts w:eastAsia="Arial" w:cs="Arial"/>
          <w:bCs/>
        </w:rPr>
        <w:t>31. Did the funding from your Investor broadly result in any of the following non-financial benefits?</w:t>
      </w:r>
    </w:p>
    <w:p w14:paraId="39F2017F" w14:textId="77777777" w:rsidR="00CD60C2" w:rsidRPr="00F34274" w:rsidRDefault="00CD60C2" w:rsidP="00957DB2">
      <w:pPr>
        <w:rPr>
          <w:rFonts w:eastAsia="Arial" w:cs="Arial"/>
        </w:rPr>
      </w:pPr>
      <w:r w:rsidRPr="00F34274">
        <w:rPr>
          <w:rFonts w:eastAsia="Arial" w:cs="Arial"/>
        </w:rPr>
        <w:t>PLEASE CHECK ALL THAT APPLY</w:t>
      </w:r>
    </w:p>
    <w:tbl>
      <w:tblPr>
        <w:tblStyle w:val="withborders2"/>
        <w:tblW w:w="5000" w:type="pct"/>
        <w:tblLook w:val="04A0" w:firstRow="1" w:lastRow="0" w:firstColumn="1" w:lastColumn="0" w:noHBand="0" w:noVBand="1"/>
      </w:tblPr>
      <w:tblGrid>
        <w:gridCol w:w="8697"/>
        <w:gridCol w:w="1265"/>
      </w:tblGrid>
      <w:tr w:rsidR="00CD60C2" w:rsidRPr="00F34274" w14:paraId="34753E87" w14:textId="77777777" w:rsidTr="00201E3C">
        <w:trPr>
          <w:trHeight w:val="317"/>
        </w:trPr>
        <w:tc>
          <w:tcPr>
            <w:tcW w:w="4365" w:type="pct"/>
            <w:tcBorders>
              <w:right w:val="single" w:sz="4" w:space="0" w:color="auto"/>
            </w:tcBorders>
          </w:tcPr>
          <w:p w14:paraId="143044E6" w14:textId="77777777" w:rsidR="00CD60C2" w:rsidRPr="00F34274" w:rsidRDefault="00CD60C2" w:rsidP="00957DB2">
            <w:pPr>
              <w:rPr>
                <w:rFonts w:eastAsia="Arial" w:cs="Arial"/>
                <w:bCs/>
              </w:rPr>
            </w:pPr>
            <w:r w:rsidRPr="00F34274">
              <w:rPr>
                <w:rFonts w:eastAsia="Arial" w:cs="Arial"/>
                <w:bCs/>
              </w:rPr>
              <w:t>Increased human capital (Skills, knowledge exchange, experience etc.)</w:t>
            </w:r>
          </w:p>
        </w:tc>
        <w:tc>
          <w:tcPr>
            <w:tcW w:w="635" w:type="pct"/>
            <w:tcBorders>
              <w:left w:val="single" w:sz="4" w:space="0" w:color="auto"/>
            </w:tcBorders>
            <w:vAlign w:val="center"/>
          </w:tcPr>
          <w:p w14:paraId="1ACFE447" w14:textId="77777777" w:rsidR="00CD60C2" w:rsidRPr="00F34274" w:rsidRDefault="00CD60C2" w:rsidP="00957DB2">
            <w:pPr>
              <w:rPr>
                <w:rFonts w:eastAsia="Arial" w:cs="Arial"/>
                <w:bCs/>
              </w:rPr>
            </w:pPr>
            <w:r w:rsidRPr="00F34274">
              <w:rPr>
                <w:rFonts w:eastAsia="Arial" w:cs="Arial"/>
                <w:bCs/>
              </w:rPr>
              <w:t>1</w:t>
            </w:r>
          </w:p>
        </w:tc>
      </w:tr>
      <w:tr w:rsidR="00CD60C2" w:rsidRPr="00F34274" w14:paraId="1BC08010" w14:textId="77777777" w:rsidTr="00201E3C">
        <w:trPr>
          <w:trHeight w:val="407"/>
        </w:trPr>
        <w:tc>
          <w:tcPr>
            <w:tcW w:w="4365" w:type="pct"/>
            <w:tcBorders>
              <w:right w:val="single" w:sz="4" w:space="0" w:color="auto"/>
            </w:tcBorders>
          </w:tcPr>
          <w:p w14:paraId="10EC8681" w14:textId="77777777" w:rsidR="00CD60C2" w:rsidRPr="00F34274" w:rsidRDefault="00CD60C2" w:rsidP="00957DB2">
            <w:pPr>
              <w:rPr>
                <w:rFonts w:eastAsia="Arial" w:cs="Arial"/>
                <w:bCs/>
              </w:rPr>
            </w:pPr>
            <w:r w:rsidRPr="00F34274">
              <w:rPr>
                <w:rFonts w:eastAsia="Arial" w:cs="Arial"/>
                <w:bCs/>
              </w:rPr>
              <w:t>Peer support</w:t>
            </w:r>
          </w:p>
        </w:tc>
        <w:tc>
          <w:tcPr>
            <w:tcW w:w="635" w:type="pct"/>
            <w:tcBorders>
              <w:left w:val="single" w:sz="4" w:space="0" w:color="auto"/>
            </w:tcBorders>
            <w:vAlign w:val="center"/>
          </w:tcPr>
          <w:p w14:paraId="5CF0C4F3" w14:textId="77777777" w:rsidR="00CD60C2" w:rsidRPr="00F34274" w:rsidRDefault="00CD60C2" w:rsidP="00957DB2">
            <w:pPr>
              <w:rPr>
                <w:rFonts w:eastAsia="Arial" w:cs="Arial"/>
                <w:bCs/>
              </w:rPr>
            </w:pPr>
            <w:r w:rsidRPr="00F34274">
              <w:rPr>
                <w:rFonts w:eastAsia="Arial" w:cs="Arial"/>
                <w:bCs/>
              </w:rPr>
              <w:t>2</w:t>
            </w:r>
          </w:p>
        </w:tc>
      </w:tr>
      <w:tr w:rsidR="00CD60C2" w:rsidRPr="00F34274" w14:paraId="051A39AF" w14:textId="77777777" w:rsidTr="00201E3C">
        <w:trPr>
          <w:trHeight w:val="371"/>
        </w:trPr>
        <w:tc>
          <w:tcPr>
            <w:tcW w:w="4365" w:type="pct"/>
            <w:tcBorders>
              <w:right w:val="single" w:sz="4" w:space="0" w:color="auto"/>
            </w:tcBorders>
          </w:tcPr>
          <w:p w14:paraId="42FD9ADD" w14:textId="77777777" w:rsidR="00CD60C2" w:rsidRPr="00F34274" w:rsidRDefault="00CD60C2" w:rsidP="00957DB2">
            <w:pPr>
              <w:rPr>
                <w:rFonts w:eastAsia="Arial" w:cs="Arial"/>
                <w:bCs/>
              </w:rPr>
            </w:pPr>
            <w:r w:rsidRPr="00F34274">
              <w:rPr>
                <w:rFonts w:eastAsia="Arial" w:cs="Arial"/>
                <w:bCs/>
              </w:rPr>
              <w:t>Access to business networks</w:t>
            </w:r>
          </w:p>
        </w:tc>
        <w:tc>
          <w:tcPr>
            <w:tcW w:w="635" w:type="pct"/>
            <w:tcBorders>
              <w:left w:val="single" w:sz="4" w:space="0" w:color="auto"/>
            </w:tcBorders>
            <w:vAlign w:val="center"/>
          </w:tcPr>
          <w:p w14:paraId="162ADAD7" w14:textId="77777777" w:rsidR="00CD60C2" w:rsidRPr="00F34274" w:rsidRDefault="00CD60C2" w:rsidP="00957DB2">
            <w:pPr>
              <w:rPr>
                <w:rFonts w:eastAsia="Arial" w:cs="Arial"/>
                <w:bCs/>
              </w:rPr>
            </w:pPr>
            <w:r w:rsidRPr="00F34274">
              <w:rPr>
                <w:rFonts w:eastAsia="Arial" w:cs="Arial"/>
                <w:bCs/>
              </w:rPr>
              <w:t>3</w:t>
            </w:r>
          </w:p>
        </w:tc>
      </w:tr>
      <w:tr w:rsidR="00CD60C2" w:rsidRPr="00F34274" w14:paraId="0964B38D" w14:textId="77777777" w:rsidTr="00201E3C">
        <w:trPr>
          <w:trHeight w:val="317"/>
        </w:trPr>
        <w:tc>
          <w:tcPr>
            <w:tcW w:w="4365" w:type="pct"/>
            <w:tcBorders>
              <w:right w:val="single" w:sz="4" w:space="0" w:color="auto"/>
            </w:tcBorders>
          </w:tcPr>
          <w:p w14:paraId="5A239E4D" w14:textId="77777777" w:rsidR="00CD60C2" w:rsidRPr="00F34274" w:rsidRDefault="00CD60C2" w:rsidP="00957DB2">
            <w:pPr>
              <w:rPr>
                <w:rFonts w:eastAsia="Arial" w:cs="Arial"/>
                <w:bCs/>
              </w:rPr>
            </w:pPr>
            <w:r w:rsidRPr="00F34274">
              <w:rPr>
                <w:rFonts w:eastAsia="Arial" w:cs="Arial"/>
                <w:bCs/>
              </w:rPr>
              <w:t>Intellectual Property support</w:t>
            </w:r>
          </w:p>
        </w:tc>
        <w:tc>
          <w:tcPr>
            <w:tcW w:w="635" w:type="pct"/>
            <w:tcBorders>
              <w:left w:val="single" w:sz="4" w:space="0" w:color="auto"/>
            </w:tcBorders>
            <w:vAlign w:val="center"/>
          </w:tcPr>
          <w:p w14:paraId="237CE4DD" w14:textId="77777777" w:rsidR="00CD60C2" w:rsidRPr="00F34274" w:rsidRDefault="00CD60C2" w:rsidP="00957DB2">
            <w:pPr>
              <w:rPr>
                <w:rFonts w:eastAsia="Arial" w:cs="Arial"/>
                <w:bCs/>
              </w:rPr>
            </w:pPr>
            <w:r w:rsidRPr="00F34274">
              <w:rPr>
                <w:rFonts w:eastAsia="Arial" w:cs="Arial"/>
                <w:bCs/>
              </w:rPr>
              <w:t>4</w:t>
            </w:r>
          </w:p>
        </w:tc>
      </w:tr>
      <w:tr w:rsidR="00CD60C2" w:rsidRPr="00F34274" w14:paraId="493775CB" w14:textId="77777777" w:rsidTr="00201E3C">
        <w:trPr>
          <w:trHeight w:val="317"/>
        </w:trPr>
        <w:tc>
          <w:tcPr>
            <w:tcW w:w="4365" w:type="pct"/>
            <w:tcBorders>
              <w:right w:val="single" w:sz="4" w:space="0" w:color="auto"/>
            </w:tcBorders>
          </w:tcPr>
          <w:p w14:paraId="7748E3B6" w14:textId="77777777" w:rsidR="00CD60C2" w:rsidRPr="00F34274" w:rsidRDefault="00CD60C2" w:rsidP="00957DB2">
            <w:pPr>
              <w:rPr>
                <w:rFonts w:eastAsia="Arial" w:cs="Arial"/>
                <w:bCs/>
              </w:rPr>
            </w:pPr>
            <w:r w:rsidRPr="00F34274">
              <w:rPr>
                <w:rFonts w:eastAsia="Arial" w:cs="Arial"/>
                <w:bCs/>
              </w:rPr>
              <w:t>Links to other investors</w:t>
            </w:r>
          </w:p>
        </w:tc>
        <w:tc>
          <w:tcPr>
            <w:tcW w:w="635" w:type="pct"/>
            <w:tcBorders>
              <w:left w:val="single" w:sz="4" w:space="0" w:color="auto"/>
            </w:tcBorders>
            <w:vAlign w:val="center"/>
          </w:tcPr>
          <w:p w14:paraId="4254C5DD" w14:textId="77777777" w:rsidR="00CD60C2" w:rsidRPr="00F34274" w:rsidRDefault="00CD60C2" w:rsidP="00957DB2">
            <w:pPr>
              <w:rPr>
                <w:rFonts w:eastAsia="Arial" w:cs="Arial"/>
                <w:bCs/>
              </w:rPr>
            </w:pPr>
            <w:r w:rsidRPr="00F34274">
              <w:rPr>
                <w:rFonts w:eastAsia="Arial" w:cs="Arial"/>
                <w:bCs/>
              </w:rPr>
              <w:t>5</w:t>
            </w:r>
          </w:p>
        </w:tc>
      </w:tr>
      <w:tr w:rsidR="00CD60C2" w:rsidRPr="00F34274" w14:paraId="59DB14FC" w14:textId="77777777" w:rsidTr="00201E3C">
        <w:trPr>
          <w:trHeight w:val="317"/>
        </w:trPr>
        <w:tc>
          <w:tcPr>
            <w:tcW w:w="4365" w:type="pct"/>
            <w:tcBorders>
              <w:right w:val="single" w:sz="4" w:space="0" w:color="auto"/>
            </w:tcBorders>
          </w:tcPr>
          <w:p w14:paraId="6FAEC3A9" w14:textId="77777777" w:rsidR="00CD60C2" w:rsidRPr="00F34274" w:rsidRDefault="00CD60C2" w:rsidP="00957DB2">
            <w:pPr>
              <w:rPr>
                <w:rFonts w:eastAsia="Arial" w:cs="Arial"/>
                <w:bCs/>
              </w:rPr>
            </w:pPr>
            <w:r w:rsidRPr="00F34274">
              <w:rPr>
                <w:rFonts w:eastAsia="Arial" w:cs="Arial"/>
                <w:bCs/>
              </w:rPr>
              <w:t>Access to new customers</w:t>
            </w:r>
          </w:p>
        </w:tc>
        <w:tc>
          <w:tcPr>
            <w:tcW w:w="635" w:type="pct"/>
            <w:tcBorders>
              <w:left w:val="single" w:sz="4" w:space="0" w:color="auto"/>
            </w:tcBorders>
            <w:vAlign w:val="center"/>
          </w:tcPr>
          <w:p w14:paraId="1E951F36" w14:textId="77777777" w:rsidR="00CD60C2" w:rsidRPr="00F34274" w:rsidRDefault="00CD60C2" w:rsidP="00957DB2">
            <w:pPr>
              <w:rPr>
                <w:rFonts w:eastAsia="Arial" w:cs="Arial"/>
                <w:bCs/>
              </w:rPr>
            </w:pPr>
            <w:r w:rsidRPr="00F34274">
              <w:rPr>
                <w:rFonts w:eastAsia="Arial" w:cs="Arial"/>
                <w:bCs/>
              </w:rPr>
              <w:t>6</w:t>
            </w:r>
          </w:p>
        </w:tc>
      </w:tr>
      <w:tr w:rsidR="00CD60C2" w:rsidRPr="00F34274" w14:paraId="27AC14BA" w14:textId="77777777" w:rsidTr="00201E3C">
        <w:trPr>
          <w:trHeight w:val="317"/>
        </w:trPr>
        <w:tc>
          <w:tcPr>
            <w:tcW w:w="4365" w:type="pct"/>
            <w:tcBorders>
              <w:right w:val="single" w:sz="4" w:space="0" w:color="auto"/>
            </w:tcBorders>
          </w:tcPr>
          <w:p w14:paraId="44C0F47E" w14:textId="77777777" w:rsidR="00CD60C2" w:rsidRPr="00F34274" w:rsidRDefault="00CD60C2" w:rsidP="00957DB2">
            <w:pPr>
              <w:rPr>
                <w:rFonts w:eastAsia="Arial" w:cs="Arial"/>
                <w:bCs/>
              </w:rPr>
            </w:pPr>
            <w:r w:rsidRPr="00F34274">
              <w:rPr>
                <w:rFonts w:eastAsia="Arial" w:cs="Arial"/>
                <w:bCs/>
              </w:rPr>
              <w:t>None</w:t>
            </w:r>
          </w:p>
        </w:tc>
        <w:tc>
          <w:tcPr>
            <w:tcW w:w="635" w:type="pct"/>
            <w:tcBorders>
              <w:left w:val="single" w:sz="4" w:space="0" w:color="auto"/>
            </w:tcBorders>
            <w:vAlign w:val="center"/>
          </w:tcPr>
          <w:p w14:paraId="397063A9" w14:textId="77777777" w:rsidR="00CD60C2" w:rsidRPr="00F34274" w:rsidRDefault="00CD60C2" w:rsidP="00957DB2">
            <w:pPr>
              <w:rPr>
                <w:rFonts w:eastAsia="Arial" w:cs="Arial"/>
                <w:bCs/>
              </w:rPr>
            </w:pPr>
            <w:r w:rsidRPr="00F34274">
              <w:rPr>
                <w:rFonts w:eastAsia="Arial" w:cs="Arial"/>
                <w:bCs/>
              </w:rPr>
              <w:t>7</w:t>
            </w:r>
          </w:p>
        </w:tc>
      </w:tr>
      <w:tr w:rsidR="00CD60C2" w:rsidRPr="00F34274" w14:paraId="1B97F6CD" w14:textId="77777777" w:rsidTr="00201E3C">
        <w:trPr>
          <w:trHeight w:val="317"/>
        </w:trPr>
        <w:tc>
          <w:tcPr>
            <w:tcW w:w="4365" w:type="pct"/>
            <w:tcBorders>
              <w:right w:val="single" w:sz="4" w:space="0" w:color="auto"/>
            </w:tcBorders>
          </w:tcPr>
          <w:p w14:paraId="0FA3DE3E" w14:textId="77777777" w:rsidR="00CD60C2" w:rsidRPr="00F34274" w:rsidRDefault="00CD60C2" w:rsidP="00957DB2">
            <w:pPr>
              <w:rPr>
                <w:rFonts w:eastAsia="Arial" w:cs="Arial"/>
                <w:bCs/>
              </w:rPr>
            </w:pPr>
            <w:r w:rsidRPr="00F34274">
              <w:rPr>
                <w:rFonts w:eastAsia="Arial" w:cs="Arial"/>
                <w:bCs/>
              </w:rPr>
              <w:t>Other non-financial support [Please specify]:</w:t>
            </w:r>
          </w:p>
        </w:tc>
        <w:tc>
          <w:tcPr>
            <w:tcW w:w="635" w:type="pct"/>
            <w:tcBorders>
              <w:left w:val="single" w:sz="4" w:space="0" w:color="auto"/>
            </w:tcBorders>
            <w:vAlign w:val="center"/>
          </w:tcPr>
          <w:p w14:paraId="1C91AC9E" w14:textId="77777777" w:rsidR="00CD60C2" w:rsidRPr="00F34274" w:rsidRDefault="00CD60C2" w:rsidP="00957DB2">
            <w:pPr>
              <w:rPr>
                <w:rFonts w:eastAsia="Arial" w:cs="Arial"/>
                <w:bCs/>
              </w:rPr>
            </w:pPr>
            <w:r w:rsidRPr="00F34274">
              <w:rPr>
                <w:rFonts w:eastAsia="Arial" w:cs="Arial"/>
                <w:bCs/>
              </w:rPr>
              <w:t>98</w:t>
            </w:r>
          </w:p>
        </w:tc>
      </w:tr>
      <w:tr w:rsidR="00CD60C2" w:rsidRPr="00F34274" w14:paraId="0677F223" w14:textId="77777777" w:rsidTr="00201E3C">
        <w:trPr>
          <w:trHeight w:val="317"/>
        </w:trPr>
        <w:tc>
          <w:tcPr>
            <w:tcW w:w="4365" w:type="pct"/>
            <w:tcBorders>
              <w:right w:val="single" w:sz="4" w:space="0" w:color="auto"/>
            </w:tcBorders>
          </w:tcPr>
          <w:p w14:paraId="2FE3E24D" w14:textId="77777777" w:rsidR="00CD60C2" w:rsidRPr="00F34274" w:rsidRDefault="00CD60C2" w:rsidP="00957DB2">
            <w:pPr>
              <w:rPr>
                <w:rFonts w:eastAsia="Arial" w:cs="Arial"/>
                <w:bCs/>
              </w:rPr>
            </w:pPr>
            <w:r w:rsidRPr="00F34274">
              <w:rPr>
                <w:rFonts w:eastAsia="Arial" w:cs="Arial"/>
                <w:bCs/>
              </w:rPr>
              <w:t>Don’t know</w:t>
            </w:r>
          </w:p>
        </w:tc>
        <w:tc>
          <w:tcPr>
            <w:tcW w:w="635" w:type="pct"/>
            <w:tcBorders>
              <w:left w:val="single" w:sz="4" w:space="0" w:color="auto"/>
            </w:tcBorders>
            <w:vAlign w:val="center"/>
          </w:tcPr>
          <w:p w14:paraId="546D76EB" w14:textId="77777777" w:rsidR="00CD60C2" w:rsidRPr="00F34274" w:rsidRDefault="00CD60C2" w:rsidP="00957DB2">
            <w:pPr>
              <w:rPr>
                <w:rFonts w:eastAsia="Arial" w:cs="Arial"/>
                <w:bCs/>
              </w:rPr>
            </w:pPr>
            <w:r w:rsidRPr="00F34274">
              <w:rPr>
                <w:rFonts w:eastAsia="Arial" w:cs="Arial"/>
                <w:bCs/>
              </w:rPr>
              <w:t>99</w:t>
            </w:r>
          </w:p>
        </w:tc>
      </w:tr>
    </w:tbl>
    <w:p w14:paraId="4290D73F" w14:textId="77777777" w:rsidR="00CD60C2" w:rsidRPr="00F34274" w:rsidRDefault="00CD60C2" w:rsidP="00957DB2">
      <w:pPr>
        <w:rPr>
          <w:rFonts w:eastAsia="Arial" w:cs="Arial"/>
        </w:rPr>
      </w:pPr>
    </w:p>
    <w:p w14:paraId="499E5E02" w14:textId="77777777" w:rsidR="00CD60C2" w:rsidRPr="00F34274" w:rsidRDefault="00CD60C2" w:rsidP="00957DB2">
      <w:pPr>
        <w:shd w:val="clear" w:color="auto" w:fill="F2F2F2"/>
        <w:rPr>
          <w:rFonts w:eastAsia="Arial" w:cs="Arial"/>
        </w:rPr>
      </w:pPr>
      <w:r w:rsidRPr="00F34274">
        <w:rPr>
          <w:rFonts w:eastAsia="Arial" w:cs="Arial"/>
        </w:rPr>
        <w:lastRenderedPageBreak/>
        <w:t xml:space="preserve">Re-contact </w:t>
      </w:r>
    </w:p>
    <w:p w14:paraId="5B894F90" w14:textId="77777777" w:rsidR="00CD60C2" w:rsidRPr="00F34274" w:rsidRDefault="00CD60C2" w:rsidP="00957DB2">
      <w:pPr>
        <w:rPr>
          <w:rFonts w:eastAsia="Arial" w:cs="Arial"/>
        </w:rPr>
      </w:pPr>
      <w:r w:rsidRPr="00F34274">
        <w:rPr>
          <w:rFonts w:eastAsia="Arial" w:cs="Arial"/>
        </w:rPr>
        <w:t>ALL</w:t>
      </w:r>
    </w:p>
    <w:p w14:paraId="3DBE232D" w14:textId="77777777" w:rsidR="00CD60C2" w:rsidRPr="00F34274" w:rsidRDefault="00CD60C2" w:rsidP="00957DB2">
      <w:pPr>
        <w:rPr>
          <w:rFonts w:eastAsia="Arial" w:cs="Arial"/>
          <w:bCs/>
        </w:rPr>
      </w:pPr>
      <w:bookmarkStart w:id="242" w:name="_Hlk86143252"/>
      <w:bookmarkStart w:id="243" w:name="_Hlk86136173"/>
      <w:r w:rsidRPr="00F34274">
        <w:rPr>
          <w:rFonts w:eastAsia="Arial" w:cs="Arial"/>
          <w:bCs/>
        </w:rPr>
        <w:t xml:space="preserve">32. This survey forms part of an ongoing evaluation that the British Business Bank/ British Business Investments is conducting on the Regional Angels Programme. Would you be happy to be contacted by </w:t>
      </w:r>
      <w:bookmarkEnd w:id="242"/>
      <w:r w:rsidRPr="00F34274">
        <w:rPr>
          <w:rFonts w:eastAsia="Arial" w:cs="Arial"/>
          <w:bCs/>
        </w:rPr>
        <w:t xml:space="preserve">RSM UK Consulting LLP for some follow up questions regarding the impact of the funding received from your Investor for your company? </w:t>
      </w:r>
    </w:p>
    <w:p w14:paraId="42584359" w14:textId="77777777" w:rsidR="00CD60C2" w:rsidRPr="00F34274" w:rsidRDefault="00CD60C2" w:rsidP="00957DB2">
      <w:pPr>
        <w:rPr>
          <w:rFonts w:eastAsia="Arial" w:cs="Arial"/>
        </w:rPr>
      </w:pPr>
      <w:r w:rsidRPr="00F34274">
        <w:rPr>
          <w:rFonts w:eastAsia="Arial" w:cs="Arial"/>
        </w:rPr>
        <w:t>PLEASE CHECK ONE ONLY</w:t>
      </w:r>
    </w:p>
    <w:tbl>
      <w:tblPr>
        <w:tblStyle w:val="withborders2"/>
        <w:tblW w:w="5000" w:type="pct"/>
        <w:tblLook w:val="04A0" w:firstRow="1" w:lastRow="0" w:firstColumn="1" w:lastColumn="0" w:noHBand="0" w:noVBand="1"/>
      </w:tblPr>
      <w:tblGrid>
        <w:gridCol w:w="8697"/>
        <w:gridCol w:w="1265"/>
      </w:tblGrid>
      <w:tr w:rsidR="00CD60C2" w:rsidRPr="00F34274" w14:paraId="1B3AC781" w14:textId="77777777" w:rsidTr="00201E3C">
        <w:tc>
          <w:tcPr>
            <w:tcW w:w="4365" w:type="pct"/>
          </w:tcPr>
          <w:p w14:paraId="4F1C8A8B" w14:textId="77777777" w:rsidR="00CD60C2" w:rsidRPr="00F34274" w:rsidRDefault="00CD60C2" w:rsidP="00957DB2">
            <w:pPr>
              <w:rPr>
                <w:rFonts w:eastAsia="Arial" w:cs="Arial"/>
                <w:bCs/>
              </w:rPr>
            </w:pPr>
            <w:bookmarkStart w:id="244" w:name="_Hlk86143272"/>
            <w:r w:rsidRPr="00F34274">
              <w:rPr>
                <w:rFonts w:eastAsia="Arial" w:cs="Arial"/>
                <w:bCs/>
              </w:rPr>
              <w:t xml:space="preserve">Yes </w:t>
            </w:r>
          </w:p>
        </w:tc>
        <w:tc>
          <w:tcPr>
            <w:tcW w:w="635" w:type="pct"/>
          </w:tcPr>
          <w:p w14:paraId="14FBCED7" w14:textId="77777777" w:rsidR="00CD60C2" w:rsidRPr="00F34274" w:rsidRDefault="00CD60C2" w:rsidP="00957DB2">
            <w:pPr>
              <w:rPr>
                <w:rFonts w:eastAsia="Arial" w:cs="Arial"/>
                <w:bCs/>
              </w:rPr>
            </w:pPr>
            <w:r w:rsidRPr="00F34274">
              <w:rPr>
                <w:rFonts w:eastAsia="Arial" w:cs="Arial"/>
                <w:bCs/>
              </w:rPr>
              <w:t>1</w:t>
            </w:r>
          </w:p>
        </w:tc>
      </w:tr>
      <w:tr w:rsidR="00CD60C2" w:rsidRPr="00F34274" w14:paraId="53EB2B87" w14:textId="77777777" w:rsidTr="00201E3C">
        <w:tc>
          <w:tcPr>
            <w:tcW w:w="4365" w:type="pct"/>
          </w:tcPr>
          <w:p w14:paraId="39045896" w14:textId="77777777" w:rsidR="00CD60C2" w:rsidRPr="00F34274" w:rsidRDefault="00CD60C2" w:rsidP="00957DB2">
            <w:pPr>
              <w:rPr>
                <w:rFonts w:eastAsia="Arial" w:cs="Arial"/>
                <w:bCs/>
              </w:rPr>
            </w:pPr>
            <w:r w:rsidRPr="00F34274">
              <w:rPr>
                <w:rFonts w:eastAsia="Arial" w:cs="Arial"/>
                <w:bCs/>
              </w:rPr>
              <w:t>No</w:t>
            </w:r>
          </w:p>
        </w:tc>
        <w:tc>
          <w:tcPr>
            <w:tcW w:w="635" w:type="pct"/>
          </w:tcPr>
          <w:p w14:paraId="76C73939" w14:textId="77777777" w:rsidR="00CD60C2" w:rsidRPr="00F34274" w:rsidRDefault="00CD60C2" w:rsidP="00957DB2">
            <w:pPr>
              <w:rPr>
                <w:rFonts w:eastAsia="Arial" w:cs="Arial"/>
                <w:bCs/>
              </w:rPr>
            </w:pPr>
            <w:r w:rsidRPr="00F34274">
              <w:rPr>
                <w:rFonts w:eastAsia="Arial" w:cs="Arial"/>
                <w:bCs/>
              </w:rPr>
              <w:t>2</w:t>
            </w:r>
          </w:p>
        </w:tc>
      </w:tr>
      <w:bookmarkEnd w:id="243"/>
      <w:bookmarkEnd w:id="244"/>
    </w:tbl>
    <w:p w14:paraId="58FFB930" w14:textId="77777777" w:rsidR="00CD60C2" w:rsidRDefault="00CD60C2" w:rsidP="00957DB2">
      <w:pPr>
        <w:rPr>
          <w:rFonts w:eastAsia="Arial" w:cs="Arial"/>
        </w:rPr>
      </w:pPr>
    </w:p>
    <w:p w14:paraId="7426F80D" w14:textId="77777777" w:rsidR="00A5531C" w:rsidRDefault="00A5531C" w:rsidP="00957DB2">
      <w:pPr>
        <w:rPr>
          <w:rFonts w:eastAsia="Arial" w:cs="Arial"/>
        </w:rPr>
      </w:pPr>
    </w:p>
    <w:p w14:paraId="195C59E9" w14:textId="77777777" w:rsidR="00A5531C" w:rsidRDefault="00A5531C" w:rsidP="00957DB2">
      <w:pPr>
        <w:rPr>
          <w:rFonts w:eastAsia="Arial" w:cs="Arial"/>
        </w:rPr>
      </w:pPr>
    </w:p>
    <w:p w14:paraId="6E5B0C59" w14:textId="77777777" w:rsidR="00A5531C" w:rsidRDefault="00A5531C" w:rsidP="00957DB2">
      <w:pPr>
        <w:rPr>
          <w:rFonts w:eastAsia="Arial" w:cs="Arial"/>
        </w:rPr>
      </w:pPr>
    </w:p>
    <w:p w14:paraId="662DDC4D" w14:textId="77777777" w:rsidR="00A5531C" w:rsidRDefault="00A5531C" w:rsidP="00957DB2">
      <w:pPr>
        <w:rPr>
          <w:rFonts w:eastAsia="Arial" w:cs="Arial"/>
        </w:rPr>
      </w:pPr>
    </w:p>
    <w:p w14:paraId="32417754" w14:textId="77777777" w:rsidR="00A5531C" w:rsidRDefault="00A5531C" w:rsidP="00957DB2">
      <w:pPr>
        <w:rPr>
          <w:rFonts w:eastAsia="Arial" w:cs="Arial"/>
        </w:rPr>
      </w:pPr>
    </w:p>
    <w:p w14:paraId="41309B54" w14:textId="77777777" w:rsidR="00A5531C" w:rsidRDefault="00A5531C" w:rsidP="00957DB2">
      <w:pPr>
        <w:rPr>
          <w:rFonts w:eastAsia="Arial" w:cs="Arial"/>
        </w:rPr>
      </w:pPr>
    </w:p>
    <w:p w14:paraId="1C179239" w14:textId="77777777" w:rsidR="00A5531C" w:rsidRDefault="00A5531C" w:rsidP="00957DB2">
      <w:pPr>
        <w:rPr>
          <w:rFonts w:eastAsia="Arial" w:cs="Arial"/>
        </w:rPr>
      </w:pPr>
    </w:p>
    <w:p w14:paraId="2F5134E9" w14:textId="77777777" w:rsidR="00A5531C" w:rsidRDefault="00A5531C" w:rsidP="00957DB2">
      <w:pPr>
        <w:rPr>
          <w:rFonts w:eastAsia="Arial" w:cs="Arial"/>
        </w:rPr>
      </w:pPr>
    </w:p>
    <w:p w14:paraId="3579E6E4" w14:textId="77777777" w:rsidR="00A5531C" w:rsidRDefault="00A5531C" w:rsidP="00957DB2">
      <w:pPr>
        <w:rPr>
          <w:rFonts w:eastAsia="Arial" w:cs="Arial"/>
        </w:rPr>
      </w:pPr>
    </w:p>
    <w:p w14:paraId="2EBFD562" w14:textId="77777777" w:rsidR="00A5531C" w:rsidRDefault="00A5531C" w:rsidP="00957DB2">
      <w:pPr>
        <w:rPr>
          <w:rFonts w:eastAsia="Arial" w:cs="Arial"/>
        </w:rPr>
      </w:pPr>
    </w:p>
    <w:p w14:paraId="49697640" w14:textId="77777777" w:rsidR="00A5531C" w:rsidRDefault="00A5531C" w:rsidP="00957DB2">
      <w:pPr>
        <w:rPr>
          <w:rFonts w:eastAsia="Arial" w:cs="Arial"/>
        </w:rPr>
      </w:pPr>
    </w:p>
    <w:p w14:paraId="12221B67" w14:textId="77777777" w:rsidR="00A5531C" w:rsidRDefault="00A5531C" w:rsidP="00957DB2">
      <w:pPr>
        <w:rPr>
          <w:rFonts w:eastAsia="Arial" w:cs="Arial"/>
        </w:rPr>
      </w:pPr>
    </w:p>
    <w:p w14:paraId="1FF69AAE" w14:textId="77777777" w:rsidR="00A5531C" w:rsidRPr="00F34274" w:rsidRDefault="00A5531C" w:rsidP="00957DB2">
      <w:pPr>
        <w:rPr>
          <w:rFonts w:eastAsia="Arial" w:cs="Arial"/>
        </w:rPr>
      </w:pPr>
    </w:p>
    <w:p w14:paraId="5463D73D" w14:textId="77777777" w:rsidR="00A5531C" w:rsidRPr="00F34274" w:rsidRDefault="00A5531C" w:rsidP="00784475">
      <w:pPr>
        <w:pStyle w:val="Heading2"/>
      </w:pPr>
      <w:bookmarkStart w:id="245" w:name="_Ref135397630"/>
      <w:bookmarkStart w:id="246" w:name="_Toc136592088"/>
      <w:bookmarkStart w:id="247" w:name="_Toc144830589"/>
      <w:bookmarkStart w:id="248" w:name="_Toc165482245"/>
      <w:bookmarkStart w:id="249" w:name="_Toc165497210"/>
      <w:bookmarkStart w:id="250" w:name="_Hlk135398307"/>
      <w:bookmarkEnd w:id="215"/>
      <w:r w:rsidRPr="00F34274">
        <w:lastRenderedPageBreak/>
        <w:t xml:space="preserve">Annex B: Regional Angels Programme eligibility </w:t>
      </w:r>
      <w:proofErr w:type="gramStart"/>
      <w:r w:rsidRPr="00F34274">
        <w:t>criteria</w:t>
      </w:r>
      <w:bookmarkEnd w:id="245"/>
      <w:bookmarkEnd w:id="246"/>
      <w:bookmarkEnd w:id="247"/>
      <w:bookmarkEnd w:id="248"/>
      <w:bookmarkEnd w:id="249"/>
      <w:proofErr w:type="gramEnd"/>
    </w:p>
    <w:p w14:paraId="15452D28" w14:textId="77777777" w:rsidR="00A5531C" w:rsidRPr="00F34274" w:rsidRDefault="197AFA7C" w:rsidP="00A5531C">
      <w:pPr>
        <w:rPr>
          <w:rFonts w:eastAsia="Arial" w:cs="Arial"/>
        </w:rPr>
      </w:pPr>
      <w:r w:rsidRPr="00F34274">
        <w:rPr>
          <w:rFonts w:eastAsia="Arial" w:cs="Arial"/>
        </w:rPr>
        <w:t>The Management Case for RAP indicates that the preparation for the launch of the Programme and the planning for the British Business Investments Business Plan had been assigned to key British Business Investments team members such as</w:t>
      </w:r>
      <w:r>
        <w:rPr>
          <w:rFonts w:eastAsia="Arial" w:cs="Arial"/>
        </w:rPr>
        <w:t xml:space="preserve"> the</w:t>
      </w:r>
      <w:r w:rsidRPr="00F34274">
        <w:rPr>
          <w:rFonts w:eastAsia="Arial" w:cs="Arial"/>
        </w:rPr>
        <w:t xml:space="preserve"> British Business Investments’ Director at the time and </w:t>
      </w:r>
      <w:r>
        <w:rPr>
          <w:rFonts w:eastAsia="Arial" w:cs="Arial"/>
        </w:rPr>
        <w:t xml:space="preserve">the </w:t>
      </w:r>
      <w:r w:rsidRPr="00F34274">
        <w:rPr>
          <w:rFonts w:eastAsia="Arial" w:cs="Arial"/>
        </w:rPr>
        <w:t>British Business Investments’ CEO. The latter has been closely involved throughout RAP early implementation stages whilst the former has led the delivery team and has been supported by one of the team’s Senior Managers.</w:t>
      </w:r>
      <w:r w:rsidR="00A5531C" w:rsidRPr="00F34274">
        <w:rPr>
          <w:rFonts w:eastAsia="Arial" w:cs="Arial"/>
          <w:vertAlign w:val="superscript"/>
        </w:rPr>
        <w:footnoteReference w:id="54"/>
      </w:r>
    </w:p>
    <w:p w14:paraId="19E223E3" w14:textId="77777777" w:rsidR="00A5531C" w:rsidRPr="00F34274" w:rsidRDefault="197AFA7C" w:rsidP="00A5531C">
      <w:pPr>
        <w:rPr>
          <w:rFonts w:eastAsia="Arial" w:cs="Arial"/>
        </w:rPr>
      </w:pPr>
      <w:r w:rsidRPr="00F34274">
        <w:rPr>
          <w:rFonts w:eastAsia="Arial" w:cs="Arial"/>
        </w:rPr>
        <w:t xml:space="preserve">Over the months following the release of the Request for Proposals, published in autumn 2018, British Business Investments received proposals for funding, which were considered on a first come, first serve, basis. The investment selection and approval processes for </w:t>
      </w:r>
      <w:r>
        <w:rPr>
          <w:rFonts w:eastAsia="Arial" w:cs="Arial"/>
        </w:rPr>
        <w:t>a</w:t>
      </w:r>
      <w:r w:rsidRPr="00F34274">
        <w:rPr>
          <w:rFonts w:eastAsia="Arial" w:cs="Arial"/>
        </w:rPr>
        <w:t>ngels that have applied for funding through the Request for Proposal Form</w:t>
      </w:r>
      <w:r w:rsidR="00A5531C" w:rsidRPr="00F34274">
        <w:rPr>
          <w:rFonts w:eastAsia="Arial" w:cs="Arial"/>
          <w:vertAlign w:val="superscript"/>
        </w:rPr>
        <w:footnoteReference w:id="55"/>
      </w:r>
      <w:r w:rsidRPr="00F34274">
        <w:rPr>
          <w:rFonts w:eastAsia="Arial" w:cs="Arial"/>
        </w:rPr>
        <w:t xml:space="preserve"> follows four stages:</w:t>
      </w:r>
    </w:p>
    <w:p w14:paraId="13877277" w14:textId="77777777" w:rsidR="00A5531C" w:rsidRPr="00F34274" w:rsidRDefault="00A5531C" w:rsidP="00491364">
      <w:pPr>
        <w:numPr>
          <w:ilvl w:val="0"/>
          <w:numId w:val="33"/>
        </w:numPr>
        <w:contextualSpacing/>
        <w:rPr>
          <w:rFonts w:eastAsia="Calibri" w:cs="Arial"/>
          <w:color w:val="1D1D1B"/>
          <w:szCs w:val="24"/>
        </w:rPr>
      </w:pPr>
      <w:r w:rsidRPr="00F34274">
        <w:rPr>
          <w:rFonts w:eastAsia="Calibri" w:cs="Arial"/>
          <w:b/>
          <w:color w:val="1D1D1B"/>
          <w:szCs w:val="24"/>
        </w:rPr>
        <w:t>Expression of interest –</w:t>
      </w:r>
      <w:r w:rsidRPr="00F34274">
        <w:rPr>
          <w:rFonts w:eastAsia="Calibri" w:cs="Arial"/>
          <w:color w:val="1D1D1B"/>
          <w:szCs w:val="24"/>
        </w:rPr>
        <w:t xml:space="preserve"> here the applicant </w:t>
      </w:r>
      <w:r>
        <w:rPr>
          <w:rFonts w:eastAsia="Calibri" w:cs="Arial"/>
          <w:color w:val="1D1D1B"/>
          <w:szCs w:val="24"/>
        </w:rPr>
        <w:t>a</w:t>
      </w:r>
      <w:r w:rsidRPr="00F34274">
        <w:rPr>
          <w:rFonts w:eastAsia="Calibri" w:cs="Arial"/>
          <w:color w:val="1D1D1B"/>
          <w:szCs w:val="24"/>
        </w:rPr>
        <w:t>ngel should set out how their proposal for funding will promote the objective and satisfy the criteria for the Programme.</w:t>
      </w:r>
    </w:p>
    <w:p w14:paraId="4E3EFF25" w14:textId="77777777" w:rsidR="00A5531C" w:rsidRPr="00F34274" w:rsidRDefault="00A5531C" w:rsidP="00491364">
      <w:pPr>
        <w:numPr>
          <w:ilvl w:val="0"/>
          <w:numId w:val="33"/>
        </w:numPr>
        <w:contextualSpacing/>
        <w:rPr>
          <w:rFonts w:eastAsia="Calibri" w:cs="Arial"/>
          <w:color w:val="1D1D1B"/>
          <w:szCs w:val="24"/>
        </w:rPr>
      </w:pPr>
      <w:r w:rsidRPr="00F34274">
        <w:rPr>
          <w:rFonts w:eastAsia="Calibri" w:cs="Arial"/>
          <w:b/>
          <w:color w:val="1D1D1B"/>
          <w:szCs w:val="24"/>
        </w:rPr>
        <w:t>Formal Proposal and Management Meeting –</w:t>
      </w:r>
      <w:r w:rsidRPr="00F34274">
        <w:rPr>
          <w:rFonts w:eastAsia="Calibri" w:cs="Arial"/>
          <w:color w:val="1D1D1B"/>
          <w:szCs w:val="24"/>
        </w:rPr>
        <w:t xml:space="preserve"> building on the applicant expression of interest, an applicant </w:t>
      </w:r>
      <w:r>
        <w:rPr>
          <w:rFonts w:eastAsia="Calibri" w:cs="Arial"/>
          <w:color w:val="1D1D1B"/>
          <w:szCs w:val="24"/>
        </w:rPr>
        <w:t>a</w:t>
      </w:r>
      <w:r w:rsidRPr="00F34274">
        <w:rPr>
          <w:rFonts w:eastAsia="Calibri" w:cs="Arial"/>
          <w:color w:val="1D1D1B"/>
          <w:szCs w:val="24"/>
        </w:rPr>
        <w:t>ngel would be invited to submit a formal proposal and attend a management meeting, which will lead to a decision from British Business Investments on whether proceeding onto the due diligence process.</w:t>
      </w:r>
    </w:p>
    <w:p w14:paraId="61CF05F5" w14:textId="77777777" w:rsidR="00A5531C" w:rsidRPr="00F34274" w:rsidRDefault="00A5531C" w:rsidP="00491364">
      <w:pPr>
        <w:numPr>
          <w:ilvl w:val="0"/>
          <w:numId w:val="33"/>
        </w:numPr>
        <w:contextualSpacing/>
        <w:rPr>
          <w:rFonts w:eastAsia="Calibri" w:cs="Arial"/>
          <w:color w:val="1D1D1B"/>
          <w:szCs w:val="24"/>
        </w:rPr>
      </w:pPr>
      <w:r w:rsidRPr="00F34274">
        <w:rPr>
          <w:rFonts w:eastAsia="Calibri" w:cs="Arial"/>
          <w:b/>
          <w:color w:val="1D1D1B"/>
          <w:szCs w:val="24"/>
        </w:rPr>
        <w:t>Due Diligence –</w:t>
      </w:r>
      <w:r w:rsidRPr="00F34274">
        <w:rPr>
          <w:rFonts w:eastAsia="Calibri" w:cs="Arial"/>
          <w:color w:val="1D1D1B"/>
          <w:szCs w:val="24"/>
        </w:rPr>
        <w:t xml:space="preserve"> at this stage British Business Investments will be assessing the </w:t>
      </w:r>
      <w:r>
        <w:rPr>
          <w:rFonts w:eastAsia="Calibri" w:cs="Arial"/>
          <w:color w:val="1D1D1B"/>
          <w:szCs w:val="24"/>
        </w:rPr>
        <w:t>a</w:t>
      </w:r>
      <w:r w:rsidRPr="00F34274">
        <w:rPr>
          <w:rFonts w:eastAsia="Calibri" w:cs="Arial"/>
          <w:color w:val="1D1D1B"/>
          <w:szCs w:val="24"/>
        </w:rPr>
        <w:t xml:space="preserve">ngel applicant’s business operations, financial standing, proposed investment strategy, organisational </w:t>
      </w:r>
      <w:proofErr w:type="gramStart"/>
      <w:r w:rsidRPr="00F34274">
        <w:rPr>
          <w:rFonts w:eastAsia="Calibri" w:cs="Arial"/>
          <w:color w:val="1D1D1B"/>
          <w:szCs w:val="24"/>
        </w:rPr>
        <w:t>structure</w:t>
      </w:r>
      <w:proofErr w:type="gramEnd"/>
      <w:r w:rsidRPr="00F34274">
        <w:rPr>
          <w:rFonts w:eastAsia="Calibri" w:cs="Arial"/>
          <w:color w:val="1D1D1B"/>
          <w:szCs w:val="24"/>
        </w:rPr>
        <w:t xml:space="preserve"> and track record in order to verify whether the </w:t>
      </w:r>
      <w:r>
        <w:rPr>
          <w:rFonts w:eastAsia="Calibri" w:cs="Arial"/>
          <w:color w:val="1D1D1B"/>
          <w:szCs w:val="24"/>
        </w:rPr>
        <w:t>a</w:t>
      </w:r>
      <w:r w:rsidRPr="00F34274">
        <w:rPr>
          <w:rFonts w:eastAsia="Calibri" w:cs="Arial"/>
          <w:color w:val="1D1D1B"/>
          <w:szCs w:val="24"/>
        </w:rPr>
        <w:t>ngel’s proposal could achieve the objectives and expectations of the Regional Angels Programme. At this stage, British Business Investments also undertake background and referencing checks.</w:t>
      </w:r>
    </w:p>
    <w:p w14:paraId="0BF8ED0E" w14:textId="5E2467D6" w:rsidR="00CD60C2" w:rsidRPr="00F34274" w:rsidRDefault="00A5531C" w:rsidP="00491364">
      <w:pPr>
        <w:numPr>
          <w:ilvl w:val="0"/>
          <w:numId w:val="33"/>
        </w:numPr>
        <w:contextualSpacing/>
        <w:rPr>
          <w:rFonts w:eastAsia="Calibri" w:cs="Arial"/>
          <w:szCs w:val="24"/>
        </w:rPr>
      </w:pPr>
      <w:r w:rsidRPr="00F34274">
        <w:rPr>
          <w:rFonts w:eastAsia="Calibri" w:cs="Arial"/>
          <w:b/>
          <w:color w:val="1D1D1B"/>
          <w:szCs w:val="24"/>
        </w:rPr>
        <w:t>Investment Committee –</w:t>
      </w:r>
      <w:r w:rsidRPr="00F34274">
        <w:rPr>
          <w:rFonts w:eastAsia="Calibri" w:cs="Arial"/>
          <w:color w:val="1D1D1B"/>
          <w:szCs w:val="24"/>
        </w:rPr>
        <w:t xml:space="preserve"> at this stage the British Business Investments assessment team submits a recommendation to British Business Investments’ Investment Committee whether they think an </w:t>
      </w:r>
      <w:r>
        <w:rPr>
          <w:rFonts w:eastAsia="Calibri" w:cs="Arial"/>
          <w:color w:val="1D1D1B"/>
          <w:szCs w:val="24"/>
        </w:rPr>
        <w:t>a</w:t>
      </w:r>
      <w:r w:rsidRPr="00F34274">
        <w:rPr>
          <w:rFonts w:eastAsia="Calibri" w:cs="Arial"/>
          <w:color w:val="1D1D1B"/>
          <w:szCs w:val="24"/>
        </w:rPr>
        <w:t xml:space="preserve">ngel application would be likely to be approved. If the Investment Committee does approve the application, the successful </w:t>
      </w:r>
      <w:r>
        <w:rPr>
          <w:rFonts w:eastAsia="Calibri" w:cs="Arial"/>
          <w:color w:val="1D1D1B"/>
          <w:szCs w:val="24"/>
        </w:rPr>
        <w:t>a</w:t>
      </w:r>
      <w:r w:rsidRPr="00F34274">
        <w:rPr>
          <w:rFonts w:eastAsia="Calibri" w:cs="Arial"/>
          <w:color w:val="1D1D1B"/>
          <w:szCs w:val="24"/>
        </w:rPr>
        <w:t>ngel will be issued a non-binding offers letter and heads of terms.</w:t>
      </w:r>
    </w:p>
    <w:bookmarkEnd w:id="250"/>
    <w:p w14:paraId="67AAFA8A" w14:textId="4B2327D8" w:rsidR="00CD60C2" w:rsidRPr="003C06F0" w:rsidRDefault="003C06F0" w:rsidP="003C06F0">
      <w:pPr>
        <w:pStyle w:val="Caption"/>
        <w:keepNext/>
      </w:pPr>
      <w:r>
        <w:lastRenderedPageBreak/>
        <w:t xml:space="preserve">Table </w:t>
      </w:r>
      <w:r w:rsidR="002728D8">
        <w:fldChar w:fldCharType="begin"/>
      </w:r>
      <w:r w:rsidR="002728D8">
        <w:instrText xml:space="preserve"> SEQ Table \* ARABIC </w:instrText>
      </w:r>
      <w:r w:rsidR="002728D8">
        <w:fldChar w:fldCharType="separate"/>
      </w:r>
      <w:r w:rsidR="00BC412E">
        <w:rPr>
          <w:noProof/>
        </w:rPr>
        <w:t>9</w:t>
      </w:r>
      <w:r w:rsidR="002728D8">
        <w:rPr>
          <w:noProof/>
        </w:rPr>
        <w:fldChar w:fldCharType="end"/>
      </w:r>
      <w:r>
        <w:t xml:space="preserve">: </w:t>
      </w:r>
      <w:r w:rsidRPr="0025668B">
        <w:t>Conditions for RAP funding applicants</w:t>
      </w:r>
    </w:p>
    <w:tbl>
      <w:tblPr>
        <w:tblStyle w:val="GridTable4-Accent21"/>
        <w:tblW w:w="10095" w:type="dxa"/>
        <w:tblBorders>
          <w:top w:val="none" w:sz="0" w:space="0" w:color="auto"/>
          <w:left w:val="none" w:sz="0" w:space="0" w:color="auto"/>
          <w:bottom w:val="none" w:sz="0" w:space="0" w:color="auto"/>
          <w:right w:val="none" w:sz="0" w:space="0" w:color="auto"/>
          <w:insideH w:val="single" w:sz="4" w:space="0" w:color="142855" w:themeColor="text2"/>
          <w:insideV w:val="none" w:sz="0" w:space="0" w:color="auto"/>
        </w:tblBorders>
        <w:tblLook w:val="04A0" w:firstRow="1" w:lastRow="0" w:firstColumn="1" w:lastColumn="0" w:noHBand="0" w:noVBand="1"/>
      </w:tblPr>
      <w:tblGrid>
        <w:gridCol w:w="3875"/>
        <w:gridCol w:w="6220"/>
      </w:tblGrid>
      <w:tr w:rsidR="00650869" w:rsidRPr="00F34274" w14:paraId="294D2E27" w14:textId="77777777" w:rsidTr="00870D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5" w:type="dxa"/>
            <w:tcBorders>
              <w:top w:val="single" w:sz="4" w:space="0" w:color="142855" w:themeColor="text2"/>
              <w:left w:val="nil"/>
              <w:bottom w:val="single" w:sz="4" w:space="0" w:color="142855" w:themeColor="text2"/>
            </w:tcBorders>
            <w:shd w:val="clear" w:color="auto" w:fill="auto"/>
          </w:tcPr>
          <w:p w14:paraId="255A72C6" w14:textId="77777777" w:rsidR="00CD60C2" w:rsidRPr="00682F20" w:rsidRDefault="00CD60C2" w:rsidP="00A43635">
            <w:pPr>
              <w:spacing w:after="0"/>
              <w:rPr>
                <w:rFonts w:eastAsia="Arial" w:cs="Arial"/>
                <w:color w:val="142855"/>
              </w:rPr>
            </w:pPr>
            <w:r w:rsidRPr="00682F20">
              <w:rPr>
                <w:rFonts w:eastAsia="Arial" w:cs="Arial"/>
                <w:color w:val="142855"/>
              </w:rPr>
              <w:t>Criteria title</w:t>
            </w:r>
          </w:p>
        </w:tc>
        <w:tc>
          <w:tcPr>
            <w:tcW w:w="6220" w:type="dxa"/>
            <w:tcBorders>
              <w:top w:val="single" w:sz="4" w:space="0" w:color="142855" w:themeColor="text2"/>
              <w:bottom w:val="single" w:sz="4" w:space="0" w:color="142855" w:themeColor="text2"/>
              <w:right w:val="nil"/>
            </w:tcBorders>
            <w:shd w:val="clear" w:color="auto" w:fill="auto"/>
          </w:tcPr>
          <w:p w14:paraId="19F1EC53" w14:textId="77777777" w:rsidR="00CD60C2" w:rsidRPr="00682F20" w:rsidRDefault="00CD60C2" w:rsidP="00A43635">
            <w:pPr>
              <w:spacing w:after="0"/>
              <w:cnfStyle w:val="100000000000" w:firstRow="1" w:lastRow="0" w:firstColumn="0" w:lastColumn="0" w:oddVBand="0" w:evenVBand="0" w:oddHBand="0" w:evenHBand="0" w:firstRowFirstColumn="0" w:firstRowLastColumn="0" w:lastRowFirstColumn="0" w:lastRowLastColumn="0"/>
              <w:rPr>
                <w:rFonts w:eastAsia="Arial" w:cs="Arial"/>
                <w:color w:val="142855"/>
              </w:rPr>
            </w:pPr>
            <w:r w:rsidRPr="00682F20">
              <w:rPr>
                <w:rFonts w:eastAsia="Arial" w:cs="Arial"/>
                <w:color w:val="142855"/>
              </w:rPr>
              <w:t>Conditions</w:t>
            </w:r>
          </w:p>
        </w:tc>
      </w:tr>
      <w:tr w:rsidR="00650869" w:rsidRPr="00F34274" w14:paraId="3DFBF0EF" w14:textId="77777777" w:rsidTr="0087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5" w:type="dxa"/>
            <w:tcBorders>
              <w:top w:val="single" w:sz="4" w:space="0" w:color="142855" w:themeColor="text2"/>
            </w:tcBorders>
            <w:shd w:val="clear" w:color="auto" w:fill="auto"/>
          </w:tcPr>
          <w:p w14:paraId="3F223894" w14:textId="77777777" w:rsidR="00CD60C2" w:rsidRPr="00F34274" w:rsidRDefault="00CD60C2" w:rsidP="00A43635">
            <w:pPr>
              <w:spacing w:after="0"/>
              <w:rPr>
                <w:rFonts w:eastAsia="Arial" w:cs="Arial"/>
              </w:rPr>
            </w:pPr>
            <w:r w:rsidRPr="00F34274">
              <w:rPr>
                <w:rFonts w:eastAsia="Arial" w:cs="Arial"/>
              </w:rPr>
              <w:t>Target market</w:t>
            </w:r>
          </w:p>
        </w:tc>
        <w:tc>
          <w:tcPr>
            <w:tcW w:w="6220" w:type="dxa"/>
            <w:tcBorders>
              <w:top w:val="single" w:sz="4" w:space="0" w:color="142855" w:themeColor="text2"/>
            </w:tcBorders>
            <w:shd w:val="clear" w:color="auto" w:fill="auto"/>
          </w:tcPr>
          <w:p w14:paraId="1EE16933" w14:textId="77777777" w:rsidR="00CD60C2" w:rsidRPr="00F34274" w:rsidRDefault="00CD60C2" w:rsidP="00491364">
            <w:pPr>
              <w:numPr>
                <w:ilvl w:val="0"/>
                <w:numId w:val="34"/>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F34274">
              <w:rPr>
                <w:rFonts w:eastAsia="Arial" w:cs="Arial"/>
                <w:color w:val="1D1D1B"/>
                <w:szCs w:val="24"/>
              </w:rPr>
              <w:t>Smaller businesses</w:t>
            </w:r>
          </w:p>
          <w:p w14:paraId="488D7E6D" w14:textId="77777777" w:rsidR="00CD60C2" w:rsidRPr="00F34274" w:rsidRDefault="00CD60C2" w:rsidP="00491364">
            <w:pPr>
              <w:numPr>
                <w:ilvl w:val="0"/>
                <w:numId w:val="34"/>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F34274">
              <w:rPr>
                <w:rFonts w:eastAsia="Arial" w:cs="Arial"/>
                <w:color w:val="1D1D1B"/>
                <w:szCs w:val="24"/>
              </w:rPr>
              <w:t xml:space="preserve">Areas of the UK currently underrepresented in provision of early-stage equity </w:t>
            </w:r>
            <w:proofErr w:type="gramStart"/>
            <w:r w:rsidRPr="00F34274">
              <w:rPr>
                <w:rFonts w:eastAsia="Arial" w:cs="Arial"/>
                <w:color w:val="1D1D1B"/>
                <w:szCs w:val="24"/>
              </w:rPr>
              <w:t>funding</w:t>
            </w:r>
            <w:proofErr w:type="gramEnd"/>
          </w:p>
          <w:p w14:paraId="7737FE93" w14:textId="77777777" w:rsidR="00CD60C2" w:rsidRPr="00F34274" w:rsidRDefault="00CD60C2" w:rsidP="00491364">
            <w:pPr>
              <w:numPr>
                <w:ilvl w:val="0"/>
                <w:numId w:val="34"/>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F34274">
              <w:rPr>
                <w:rFonts w:eastAsia="Arial" w:cs="Arial"/>
                <w:color w:val="1D1D1B"/>
                <w:szCs w:val="24"/>
              </w:rPr>
              <w:t>Funding to be deployed in individual investment rounds between £100k – £1.5m</w:t>
            </w:r>
          </w:p>
        </w:tc>
      </w:tr>
      <w:tr w:rsidR="00E5706C" w:rsidRPr="00F34274" w14:paraId="7EE128E4" w14:textId="77777777" w:rsidTr="00870D9C">
        <w:trPr>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1D16687A" w14:textId="77777777" w:rsidR="00CD60C2" w:rsidRPr="00F34274" w:rsidRDefault="00CD60C2" w:rsidP="00A43635">
            <w:pPr>
              <w:spacing w:after="0"/>
              <w:rPr>
                <w:rFonts w:eastAsia="Arial" w:cs="Arial"/>
              </w:rPr>
            </w:pPr>
            <w:r w:rsidRPr="00F34274">
              <w:rPr>
                <w:rFonts w:eastAsia="Arial" w:cs="Arial"/>
              </w:rPr>
              <w:t>Investment Strategy</w:t>
            </w:r>
          </w:p>
        </w:tc>
        <w:tc>
          <w:tcPr>
            <w:tcW w:w="6220" w:type="dxa"/>
            <w:shd w:val="clear" w:color="auto" w:fill="auto"/>
          </w:tcPr>
          <w:p w14:paraId="7FB2BF86" w14:textId="791D20D5"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 xml:space="preserve">Investment activities must be </w:t>
            </w:r>
            <w:r w:rsidR="00577097">
              <w:rPr>
                <w:rFonts w:eastAsia="Arial" w:cs="Arial"/>
                <w:color w:val="1D1D1B"/>
                <w:szCs w:val="24"/>
              </w:rPr>
              <w:t>a</w:t>
            </w:r>
            <w:r w:rsidRPr="00F34274">
              <w:rPr>
                <w:rFonts w:eastAsia="Arial" w:cs="Arial"/>
                <w:color w:val="1D1D1B"/>
                <w:szCs w:val="24"/>
              </w:rPr>
              <w:t xml:space="preserve">ngel-led and include involvement in underlying businesses i.e., </w:t>
            </w:r>
            <w:proofErr w:type="gramStart"/>
            <w:r w:rsidRPr="00F34274">
              <w:rPr>
                <w:rFonts w:eastAsia="Arial" w:cs="Arial"/>
                <w:color w:val="1D1D1B"/>
                <w:szCs w:val="24"/>
              </w:rPr>
              <w:t>mentoring</w:t>
            </w:r>
            <w:proofErr w:type="gramEnd"/>
          </w:p>
          <w:p w14:paraId="076A6228" w14:textId="77777777"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 xml:space="preserve">Must focus on early-stage equity investment into firms in target </w:t>
            </w:r>
            <w:proofErr w:type="gramStart"/>
            <w:r w:rsidRPr="00F34274">
              <w:rPr>
                <w:rFonts w:eastAsia="Arial" w:cs="Arial"/>
                <w:color w:val="1D1D1B"/>
                <w:szCs w:val="24"/>
              </w:rPr>
              <w:t>market</w:t>
            </w:r>
            <w:proofErr w:type="gramEnd"/>
          </w:p>
          <w:p w14:paraId="1744505B" w14:textId="77777777"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Clear framework of procedures from origination to management</w:t>
            </w:r>
          </w:p>
          <w:p w14:paraId="32CB72E6" w14:textId="77777777"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Detailed due diligence process for investments</w:t>
            </w:r>
          </w:p>
          <w:p w14:paraId="4203B21A" w14:textId="77777777"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Robust valuation methodology</w:t>
            </w:r>
          </w:p>
          <w:p w14:paraId="22D47367" w14:textId="77777777" w:rsidR="00CD60C2" w:rsidRPr="00F34274" w:rsidRDefault="00CD60C2" w:rsidP="00491364">
            <w:pPr>
              <w:numPr>
                <w:ilvl w:val="0"/>
                <w:numId w:val="35"/>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Strategy to deploy £5m - £15m RAP funding within agreed timescales</w:t>
            </w:r>
          </w:p>
        </w:tc>
      </w:tr>
      <w:tr w:rsidR="00650869" w:rsidRPr="00F34274" w14:paraId="2BA0AA06" w14:textId="77777777" w:rsidTr="0087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21EEF36F" w14:textId="77777777" w:rsidR="00CD60C2" w:rsidRPr="00F34274" w:rsidRDefault="00CD60C2" w:rsidP="00A43635">
            <w:pPr>
              <w:spacing w:after="0"/>
              <w:rPr>
                <w:rFonts w:eastAsia="Arial" w:cs="Arial"/>
              </w:rPr>
            </w:pPr>
            <w:r w:rsidRPr="00F34274">
              <w:rPr>
                <w:rFonts w:eastAsia="Arial" w:cs="Arial"/>
              </w:rPr>
              <w:t>Track Record and Expertise</w:t>
            </w:r>
          </w:p>
        </w:tc>
        <w:tc>
          <w:tcPr>
            <w:tcW w:w="6220" w:type="dxa"/>
            <w:shd w:val="clear" w:color="auto" w:fill="auto"/>
          </w:tcPr>
          <w:p w14:paraId="66FD9D66" w14:textId="77777777" w:rsidR="00CD60C2" w:rsidRPr="00F34274" w:rsidRDefault="00CD60C2" w:rsidP="00491364">
            <w:pPr>
              <w:numPr>
                <w:ilvl w:val="0"/>
                <w:numId w:val="3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szCs w:val="24"/>
              </w:rPr>
            </w:pPr>
            <w:r w:rsidRPr="00F34274">
              <w:rPr>
                <w:rFonts w:eastAsia="Arial" w:cs="Arial"/>
                <w:color w:val="1D1D1B"/>
                <w:szCs w:val="24"/>
              </w:rPr>
              <w:t xml:space="preserve">Must include experience of early-stage equity </w:t>
            </w:r>
            <w:proofErr w:type="gramStart"/>
            <w:r w:rsidRPr="00F34274">
              <w:rPr>
                <w:rFonts w:eastAsia="Arial" w:cs="Arial"/>
                <w:color w:val="1D1D1B"/>
                <w:szCs w:val="24"/>
              </w:rPr>
              <w:t>investments</w:t>
            </w:r>
            <w:proofErr w:type="gramEnd"/>
          </w:p>
          <w:p w14:paraId="2A8C351D" w14:textId="77777777" w:rsidR="00CD60C2" w:rsidRPr="00F34274" w:rsidRDefault="00CD60C2" w:rsidP="00491364">
            <w:pPr>
              <w:numPr>
                <w:ilvl w:val="0"/>
                <w:numId w:val="3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szCs w:val="24"/>
              </w:rPr>
            </w:pPr>
            <w:r w:rsidRPr="00F34274">
              <w:rPr>
                <w:rFonts w:eastAsia="Arial" w:cs="Arial"/>
                <w:color w:val="1D1D1B"/>
                <w:szCs w:val="24"/>
              </w:rPr>
              <w:t>Track record of investors working together successfully</w:t>
            </w:r>
          </w:p>
          <w:p w14:paraId="5FDE51F4" w14:textId="77777777" w:rsidR="00CD60C2" w:rsidRPr="00F34274" w:rsidRDefault="00CD60C2" w:rsidP="00491364">
            <w:pPr>
              <w:numPr>
                <w:ilvl w:val="0"/>
                <w:numId w:val="3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szCs w:val="24"/>
              </w:rPr>
            </w:pPr>
            <w:r w:rsidRPr="00F34274">
              <w:rPr>
                <w:rFonts w:eastAsia="Arial" w:cs="Arial"/>
                <w:color w:val="1D1D1B"/>
                <w:szCs w:val="24"/>
              </w:rPr>
              <w:t>Overall rate of return from investments</w:t>
            </w:r>
          </w:p>
          <w:p w14:paraId="6EFAF539" w14:textId="77777777" w:rsidR="00CD60C2" w:rsidRPr="00F34274" w:rsidRDefault="00CD60C2" w:rsidP="00491364">
            <w:pPr>
              <w:numPr>
                <w:ilvl w:val="0"/>
                <w:numId w:val="3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szCs w:val="24"/>
              </w:rPr>
            </w:pPr>
            <w:r w:rsidRPr="00F34274">
              <w:rPr>
                <w:rFonts w:eastAsia="Arial" w:cs="Arial"/>
                <w:color w:val="1D1D1B"/>
                <w:szCs w:val="24"/>
              </w:rPr>
              <w:t xml:space="preserve">Non-financial resources, </w:t>
            </w:r>
            <w:proofErr w:type="gramStart"/>
            <w:r w:rsidRPr="00F34274">
              <w:rPr>
                <w:rFonts w:eastAsia="Arial" w:cs="Arial"/>
                <w:color w:val="1D1D1B"/>
                <w:szCs w:val="24"/>
              </w:rPr>
              <w:t>skills</w:t>
            </w:r>
            <w:proofErr w:type="gramEnd"/>
            <w:r w:rsidRPr="00F34274">
              <w:rPr>
                <w:rFonts w:eastAsia="Arial" w:cs="Arial"/>
                <w:color w:val="1D1D1B"/>
                <w:szCs w:val="24"/>
              </w:rPr>
              <w:t xml:space="preserve"> and competencies  </w:t>
            </w:r>
          </w:p>
        </w:tc>
      </w:tr>
      <w:tr w:rsidR="00E5706C" w:rsidRPr="00F34274" w14:paraId="4F408DA6" w14:textId="77777777" w:rsidTr="00870D9C">
        <w:trPr>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58D4C21D" w14:textId="77777777" w:rsidR="00CD60C2" w:rsidRPr="00F34274" w:rsidRDefault="00CD60C2" w:rsidP="00A43635">
            <w:pPr>
              <w:spacing w:after="0"/>
              <w:rPr>
                <w:rFonts w:eastAsia="Arial" w:cs="Arial"/>
              </w:rPr>
            </w:pPr>
            <w:r w:rsidRPr="00F34274">
              <w:rPr>
                <w:rFonts w:eastAsia="Arial" w:cs="Arial"/>
              </w:rPr>
              <w:t>Origination</w:t>
            </w:r>
          </w:p>
        </w:tc>
        <w:tc>
          <w:tcPr>
            <w:tcW w:w="6220" w:type="dxa"/>
            <w:shd w:val="clear" w:color="auto" w:fill="auto"/>
          </w:tcPr>
          <w:p w14:paraId="7527C95E" w14:textId="77777777" w:rsidR="00CD60C2" w:rsidRPr="00F34274" w:rsidRDefault="00CD60C2" w:rsidP="00491364">
            <w:pPr>
              <w:numPr>
                <w:ilvl w:val="0"/>
                <w:numId w:val="37"/>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 xml:space="preserve">Must include detailed origination </w:t>
            </w:r>
            <w:proofErr w:type="gramStart"/>
            <w:r w:rsidRPr="00F34274">
              <w:rPr>
                <w:rFonts w:eastAsia="Arial" w:cs="Arial"/>
                <w:color w:val="1D1D1B"/>
                <w:szCs w:val="24"/>
              </w:rPr>
              <w:t>strategy</w:t>
            </w:r>
            <w:proofErr w:type="gramEnd"/>
          </w:p>
          <w:p w14:paraId="12651E80" w14:textId="77777777" w:rsidR="00CD60C2" w:rsidRPr="00F34274" w:rsidRDefault="00CD60C2" w:rsidP="00491364">
            <w:pPr>
              <w:numPr>
                <w:ilvl w:val="0"/>
                <w:numId w:val="37"/>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 xml:space="preserve">Deployment profile of commitments made under </w:t>
            </w:r>
            <w:proofErr w:type="gramStart"/>
            <w:r w:rsidRPr="00F34274">
              <w:rPr>
                <w:rFonts w:eastAsia="Arial" w:cs="Arial"/>
                <w:color w:val="1D1D1B"/>
                <w:szCs w:val="24"/>
              </w:rPr>
              <w:t>RAP</w:t>
            </w:r>
            <w:proofErr w:type="gramEnd"/>
          </w:p>
          <w:p w14:paraId="4C4FD803" w14:textId="77777777" w:rsidR="00CD60C2" w:rsidRPr="00F34274" w:rsidRDefault="00CD60C2" w:rsidP="00491364">
            <w:pPr>
              <w:numPr>
                <w:ilvl w:val="0"/>
                <w:numId w:val="37"/>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Pipeline of near-term investment opportunities</w:t>
            </w:r>
          </w:p>
          <w:p w14:paraId="2E1EB7D1" w14:textId="77777777" w:rsidR="00CD60C2" w:rsidRPr="00F34274" w:rsidRDefault="00CD60C2" w:rsidP="00491364">
            <w:pPr>
              <w:numPr>
                <w:ilvl w:val="0"/>
                <w:numId w:val="37"/>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szCs w:val="24"/>
              </w:rPr>
            </w:pPr>
            <w:r w:rsidRPr="00F34274">
              <w:rPr>
                <w:rFonts w:eastAsia="Arial" w:cs="Arial"/>
                <w:color w:val="1D1D1B"/>
                <w:szCs w:val="24"/>
              </w:rPr>
              <w:t>Approach to portfolio diversification and risk management</w:t>
            </w:r>
          </w:p>
        </w:tc>
      </w:tr>
      <w:tr w:rsidR="00650869" w:rsidRPr="00F34274" w14:paraId="4480C57E" w14:textId="77777777" w:rsidTr="0087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74D07EDF" w14:textId="77777777" w:rsidR="00CD60C2" w:rsidRPr="00F34274" w:rsidRDefault="00CD60C2" w:rsidP="00A43635">
            <w:pPr>
              <w:spacing w:after="0"/>
              <w:rPr>
                <w:rFonts w:eastAsia="Arial" w:cs="Arial"/>
              </w:rPr>
            </w:pPr>
            <w:r w:rsidRPr="00F34274">
              <w:rPr>
                <w:rFonts w:eastAsia="Arial" w:cs="Arial"/>
              </w:rPr>
              <w:t>Commercial Returns and Remuneration</w:t>
            </w:r>
          </w:p>
        </w:tc>
        <w:tc>
          <w:tcPr>
            <w:tcW w:w="6220" w:type="dxa"/>
            <w:shd w:val="clear" w:color="auto" w:fill="auto"/>
          </w:tcPr>
          <w:p w14:paraId="7DA030E9" w14:textId="77777777" w:rsidR="00CD60C2" w:rsidRPr="00F34274" w:rsidRDefault="00CD60C2" w:rsidP="00491364">
            <w:pPr>
              <w:numPr>
                <w:ilvl w:val="0"/>
                <w:numId w:val="38"/>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Evidence that investments will generate a market rate of </w:t>
            </w:r>
            <w:proofErr w:type="gramStart"/>
            <w:r w:rsidRPr="00F34274">
              <w:rPr>
                <w:rFonts w:eastAsia="Arial" w:cs="Arial"/>
                <w:color w:val="1D1D1B"/>
                <w:szCs w:val="24"/>
              </w:rPr>
              <w:t>return</w:t>
            </w:r>
            <w:proofErr w:type="gramEnd"/>
          </w:p>
          <w:p w14:paraId="05815D40" w14:textId="77777777" w:rsidR="00CD60C2" w:rsidRPr="00F34274" w:rsidRDefault="00CD60C2" w:rsidP="00491364">
            <w:pPr>
              <w:numPr>
                <w:ilvl w:val="0"/>
                <w:numId w:val="38"/>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Appropriate fees and costs associated with making </w:t>
            </w:r>
            <w:proofErr w:type="gramStart"/>
            <w:r w:rsidRPr="00F34274">
              <w:rPr>
                <w:rFonts w:eastAsia="Arial" w:cs="Arial"/>
                <w:color w:val="1D1D1B"/>
                <w:szCs w:val="24"/>
              </w:rPr>
              <w:t>investments</w:t>
            </w:r>
            <w:proofErr w:type="gramEnd"/>
          </w:p>
          <w:p w14:paraId="4EE30471" w14:textId="77777777" w:rsidR="00CD60C2" w:rsidRPr="00F34274" w:rsidRDefault="00CD60C2" w:rsidP="00491364">
            <w:pPr>
              <w:numPr>
                <w:ilvl w:val="0"/>
                <w:numId w:val="38"/>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Any proposed incentive schemes</w:t>
            </w:r>
          </w:p>
        </w:tc>
      </w:tr>
      <w:tr w:rsidR="00E5706C" w:rsidRPr="00F34274" w14:paraId="2A3C9152" w14:textId="77777777" w:rsidTr="00870D9C">
        <w:trPr>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6558FA37" w14:textId="77777777" w:rsidR="00CD60C2" w:rsidRPr="00F34274" w:rsidRDefault="00CD60C2" w:rsidP="00A43635">
            <w:pPr>
              <w:spacing w:after="0"/>
              <w:rPr>
                <w:rFonts w:eastAsia="Arial" w:cs="Arial"/>
              </w:rPr>
            </w:pPr>
            <w:r w:rsidRPr="00F34274">
              <w:rPr>
                <w:rFonts w:eastAsia="Arial" w:cs="Arial"/>
              </w:rPr>
              <w:t>Private Sector Leverage</w:t>
            </w:r>
          </w:p>
        </w:tc>
        <w:tc>
          <w:tcPr>
            <w:tcW w:w="6220" w:type="dxa"/>
            <w:shd w:val="clear" w:color="auto" w:fill="auto"/>
          </w:tcPr>
          <w:p w14:paraId="218404F2" w14:textId="77777777" w:rsidR="00CD60C2" w:rsidRPr="00F34274" w:rsidRDefault="00CD60C2" w:rsidP="00491364">
            <w:pPr>
              <w:numPr>
                <w:ilvl w:val="0"/>
                <w:numId w:val="39"/>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Evidence of investors’ ability to attract other private sector </w:t>
            </w:r>
            <w:proofErr w:type="gramStart"/>
            <w:r w:rsidRPr="00F34274">
              <w:rPr>
                <w:rFonts w:eastAsia="Arial" w:cs="Arial"/>
                <w:color w:val="1D1D1B"/>
                <w:szCs w:val="24"/>
              </w:rPr>
              <w:t>funding</w:t>
            </w:r>
            <w:proofErr w:type="gramEnd"/>
          </w:p>
          <w:p w14:paraId="60BE8025" w14:textId="77777777" w:rsidR="00CD60C2" w:rsidRPr="00F34274" w:rsidRDefault="00CD60C2" w:rsidP="00491364">
            <w:pPr>
              <w:numPr>
                <w:ilvl w:val="0"/>
                <w:numId w:val="39"/>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Mechanisms to attract and utilise funding from private investors that can attract the appropriate level and </w:t>
            </w:r>
            <w:r w:rsidRPr="00F34274">
              <w:rPr>
                <w:rFonts w:eastAsia="Arial" w:cs="Arial"/>
                <w:color w:val="1D1D1B"/>
                <w:szCs w:val="24"/>
              </w:rPr>
              <w:lastRenderedPageBreak/>
              <w:t xml:space="preserve">diversity of private sector </w:t>
            </w:r>
            <w:proofErr w:type="gramStart"/>
            <w:r w:rsidRPr="00F34274">
              <w:rPr>
                <w:rFonts w:eastAsia="Arial" w:cs="Arial"/>
                <w:color w:val="1D1D1B"/>
                <w:szCs w:val="24"/>
              </w:rPr>
              <w:t>funding</w:t>
            </w:r>
            <w:proofErr w:type="gramEnd"/>
          </w:p>
          <w:p w14:paraId="0746E92E" w14:textId="77777777" w:rsidR="00CD60C2" w:rsidRPr="00F34274" w:rsidRDefault="00CD60C2" w:rsidP="00491364">
            <w:pPr>
              <w:numPr>
                <w:ilvl w:val="0"/>
                <w:numId w:val="39"/>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Evidence of being able to source between 50-80% of each investment round from other sources</w:t>
            </w:r>
          </w:p>
        </w:tc>
      </w:tr>
      <w:tr w:rsidR="00650869" w:rsidRPr="00F34274" w14:paraId="78B30194" w14:textId="77777777" w:rsidTr="0087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42CA3CB8" w14:textId="77777777" w:rsidR="00CD60C2" w:rsidRPr="00F34274" w:rsidRDefault="00CD60C2" w:rsidP="00A43635">
            <w:pPr>
              <w:spacing w:after="0"/>
              <w:rPr>
                <w:rFonts w:eastAsia="Arial" w:cs="Arial"/>
              </w:rPr>
            </w:pPr>
            <w:r w:rsidRPr="00F34274">
              <w:rPr>
                <w:rFonts w:eastAsia="Arial" w:cs="Arial"/>
              </w:rPr>
              <w:lastRenderedPageBreak/>
              <w:t>Portfolio Management</w:t>
            </w:r>
          </w:p>
        </w:tc>
        <w:tc>
          <w:tcPr>
            <w:tcW w:w="6220" w:type="dxa"/>
            <w:shd w:val="clear" w:color="auto" w:fill="auto"/>
          </w:tcPr>
          <w:p w14:paraId="6388408C" w14:textId="77777777" w:rsidR="00CD60C2" w:rsidRPr="00F34274" w:rsidRDefault="00CD60C2" w:rsidP="00491364">
            <w:pPr>
              <w:numPr>
                <w:ilvl w:val="0"/>
                <w:numId w:val="40"/>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Description of process when making investments in small businesses</w:t>
            </w:r>
          </w:p>
          <w:p w14:paraId="7D2135AA" w14:textId="77777777" w:rsidR="00CD60C2" w:rsidRPr="00F34274" w:rsidRDefault="00CD60C2" w:rsidP="00491364">
            <w:pPr>
              <w:numPr>
                <w:ilvl w:val="0"/>
                <w:numId w:val="40"/>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Process for managing a portfolio of small businesses including descriptions of </w:t>
            </w:r>
          </w:p>
          <w:p w14:paraId="7E14AFCB" w14:textId="77777777" w:rsidR="00CD60C2" w:rsidRPr="00F34274" w:rsidRDefault="00CD60C2" w:rsidP="00491364">
            <w:pPr>
              <w:numPr>
                <w:ilvl w:val="1"/>
                <w:numId w:val="1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how the investor would facilitate an exit </w:t>
            </w:r>
          </w:p>
          <w:p w14:paraId="7AA8F475" w14:textId="77777777" w:rsidR="00CD60C2" w:rsidRPr="00F34274" w:rsidRDefault="00CD60C2" w:rsidP="00491364">
            <w:pPr>
              <w:numPr>
                <w:ilvl w:val="1"/>
                <w:numId w:val="1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support investees becoming financially </w:t>
            </w:r>
            <w:proofErr w:type="gramStart"/>
            <w:r w:rsidRPr="00F34274">
              <w:rPr>
                <w:rFonts w:eastAsia="Arial" w:cs="Arial"/>
                <w:color w:val="1D1D1B"/>
                <w:szCs w:val="24"/>
              </w:rPr>
              <w:t>distressed</w:t>
            </w:r>
            <w:proofErr w:type="gramEnd"/>
          </w:p>
          <w:p w14:paraId="3EB71421" w14:textId="77777777" w:rsidR="00CD60C2" w:rsidRPr="00F34274" w:rsidRDefault="00CD60C2" w:rsidP="00491364">
            <w:pPr>
              <w:numPr>
                <w:ilvl w:val="1"/>
                <w:numId w:val="1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make follow on </w:t>
            </w:r>
            <w:proofErr w:type="gramStart"/>
            <w:r w:rsidRPr="00F34274">
              <w:rPr>
                <w:rFonts w:eastAsia="Arial" w:cs="Arial"/>
                <w:color w:val="1D1D1B"/>
                <w:szCs w:val="24"/>
              </w:rPr>
              <w:t>investments</w:t>
            </w:r>
            <w:proofErr w:type="gramEnd"/>
          </w:p>
          <w:p w14:paraId="108C17EC" w14:textId="77777777" w:rsidR="00CD60C2" w:rsidRPr="00F34274" w:rsidRDefault="00CD60C2" w:rsidP="00491364">
            <w:pPr>
              <w:numPr>
                <w:ilvl w:val="1"/>
                <w:numId w:val="16"/>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Manage potential sale of investments on secondary </w:t>
            </w:r>
            <w:proofErr w:type="gramStart"/>
            <w:r w:rsidRPr="00F34274">
              <w:rPr>
                <w:rFonts w:eastAsia="Arial" w:cs="Arial"/>
                <w:color w:val="1D1D1B"/>
                <w:szCs w:val="24"/>
              </w:rPr>
              <w:t>markets</w:t>
            </w:r>
            <w:proofErr w:type="gramEnd"/>
          </w:p>
          <w:p w14:paraId="697E7BB8" w14:textId="77777777" w:rsidR="00CD60C2" w:rsidRPr="00F34274" w:rsidRDefault="00CD60C2" w:rsidP="00491364">
            <w:pPr>
              <w:numPr>
                <w:ilvl w:val="0"/>
                <w:numId w:val="41"/>
              </w:numPr>
              <w:spacing w:after="0"/>
              <w:contextualSpacing/>
              <w:cnfStyle w:val="000000100000" w:firstRow="0" w:lastRow="0" w:firstColumn="0" w:lastColumn="0" w:oddVBand="0" w:evenVBand="0" w:oddHBand="1" w:evenHBand="0" w:firstRowFirstColumn="0" w:firstRowLastColumn="0" w:lastRowFirstColumn="0" w:lastRowLastColumn="0"/>
              <w:rPr>
                <w:rFonts w:eastAsia="Arial" w:cs="Arial"/>
                <w:color w:val="1D1D1B"/>
                <w:szCs w:val="24"/>
              </w:rPr>
            </w:pPr>
            <w:r w:rsidRPr="00F34274">
              <w:rPr>
                <w:rFonts w:eastAsia="Arial" w:cs="Arial"/>
                <w:color w:val="1D1D1B"/>
                <w:szCs w:val="24"/>
              </w:rPr>
              <w:t>Evidence of robust monitoring processes for funded businesses and capacity to generate reports and information for British Business Investments</w:t>
            </w:r>
          </w:p>
        </w:tc>
      </w:tr>
      <w:tr w:rsidR="00E5706C" w:rsidRPr="00F34274" w14:paraId="3FEE7E35" w14:textId="77777777" w:rsidTr="00870D9C">
        <w:trPr>
          <w:trHeight w:val="300"/>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tcPr>
          <w:p w14:paraId="753500A3" w14:textId="77777777" w:rsidR="00CD60C2" w:rsidRPr="00F34274" w:rsidRDefault="00CD60C2" w:rsidP="00A43635">
            <w:pPr>
              <w:spacing w:after="0"/>
              <w:rPr>
                <w:rFonts w:eastAsia="Arial" w:cs="Arial"/>
              </w:rPr>
            </w:pPr>
            <w:r w:rsidRPr="00F34274">
              <w:rPr>
                <w:rFonts w:eastAsia="Arial" w:cs="Arial"/>
              </w:rPr>
              <w:t>Operational Structure, Legal and Regulatory</w:t>
            </w:r>
          </w:p>
        </w:tc>
        <w:tc>
          <w:tcPr>
            <w:tcW w:w="6220" w:type="dxa"/>
            <w:shd w:val="clear" w:color="auto" w:fill="auto"/>
          </w:tcPr>
          <w:p w14:paraId="0D6662A2" w14:textId="77777777" w:rsidR="00CD60C2" w:rsidRPr="00F34274" w:rsidRDefault="00CD60C2" w:rsidP="00491364">
            <w:pPr>
              <w:numPr>
                <w:ilvl w:val="0"/>
                <w:numId w:val="42"/>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Evidence of compliance with British Business Bank’s group-wide tax policy</w:t>
            </w:r>
          </w:p>
          <w:p w14:paraId="2BE2863E" w14:textId="77777777" w:rsidR="00CD60C2" w:rsidRPr="00F34274" w:rsidRDefault="00CD60C2" w:rsidP="00491364">
            <w:pPr>
              <w:numPr>
                <w:ilvl w:val="0"/>
                <w:numId w:val="42"/>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Evidence of permissions, registrations and authorisations to provide a managed </w:t>
            </w:r>
            <w:proofErr w:type="gramStart"/>
            <w:r w:rsidRPr="00F34274">
              <w:rPr>
                <w:rFonts w:eastAsia="Arial" w:cs="Arial"/>
                <w:color w:val="1D1D1B"/>
                <w:szCs w:val="24"/>
              </w:rPr>
              <w:t>solution</w:t>
            </w:r>
            <w:proofErr w:type="gramEnd"/>
          </w:p>
          <w:p w14:paraId="2C44C481" w14:textId="77777777" w:rsidR="00CD60C2" w:rsidRPr="00F34274" w:rsidRDefault="00CD60C2" w:rsidP="00491364">
            <w:pPr>
              <w:numPr>
                <w:ilvl w:val="0"/>
                <w:numId w:val="42"/>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 xml:space="preserve">Ability to carry out due diligence on other </w:t>
            </w:r>
            <w:proofErr w:type="gramStart"/>
            <w:r w:rsidRPr="00F34274">
              <w:rPr>
                <w:rFonts w:eastAsia="Arial" w:cs="Arial"/>
                <w:color w:val="1D1D1B"/>
                <w:szCs w:val="24"/>
              </w:rPr>
              <w:t>investors</w:t>
            </w:r>
            <w:proofErr w:type="gramEnd"/>
          </w:p>
          <w:p w14:paraId="65334361" w14:textId="77777777" w:rsidR="00CD60C2" w:rsidRPr="00F34274" w:rsidRDefault="00CD60C2" w:rsidP="00491364">
            <w:pPr>
              <w:numPr>
                <w:ilvl w:val="0"/>
                <w:numId w:val="42"/>
              </w:numPr>
              <w:spacing w:after="0"/>
              <w:contextualSpacing/>
              <w:cnfStyle w:val="000000000000" w:firstRow="0" w:lastRow="0" w:firstColumn="0" w:lastColumn="0" w:oddVBand="0" w:evenVBand="0" w:oddHBand="0" w:evenHBand="0" w:firstRowFirstColumn="0" w:firstRowLastColumn="0" w:lastRowFirstColumn="0" w:lastRowLastColumn="0"/>
              <w:rPr>
                <w:rFonts w:eastAsia="Arial" w:cs="Arial"/>
                <w:color w:val="1D1D1B"/>
                <w:szCs w:val="24"/>
              </w:rPr>
            </w:pPr>
            <w:r w:rsidRPr="00F34274">
              <w:rPr>
                <w:rFonts w:eastAsia="Arial" w:cs="Arial"/>
                <w:color w:val="1D1D1B"/>
                <w:szCs w:val="24"/>
              </w:rPr>
              <w:t>Compliance with GDPR and data protection laws</w:t>
            </w:r>
          </w:p>
        </w:tc>
      </w:tr>
    </w:tbl>
    <w:p w14:paraId="545F09E7" w14:textId="77777777" w:rsidR="00CD60C2" w:rsidRDefault="00CD60C2" w:rsidP="00957DB2">
      <w:pPr>
        <w:spacing w:line="264" w:lineRule="auto"/>
        <w:rPr>
          <w:rFonts w:eastAsia="Arial" w:cs="Arial"/>
          <w:i/>
          <w:color w:val="555674"/>
          <w:szCs w:val="32"/>
          <w:u w:val="single"/>
        </w:rPr>
      </w:pPr>
      <w:r w:rsidRPr="003F610D">
        <w:rPr>
          <w:rFonts w:eastAsia="Arial" w:cs="Arial"/>
          <w:i/>
          <w:color w:val="555674"/>
          <w:szCs w:val="32"/>
        </w:rPr>
        <w:t>Source:</w:t>
      </w:r>
      <w:r w:rsidRPr="005A0C36">
        <w:rPr>
          <w:rFonts w:eastAsia="Arial" w:cs="Arial"/>
          <w:color w:val="555674"/>
          <w:szCs w:val="32"/>
        </w:rPr>
        <w:t xml:space="preserve"> </w:t>
      </w:r>
      <w:hyperlink r:id="rId58" w:history="1">
        <w:r w:rsidRPr="005A0C36">
          <w:rPr>
            <w:rFonts w:eastAsia="Arial" w:cs="Arial"/>
            <w:i/>
            <w:color w:val="555674"/>
            <w:szCs w:val="32"/>
            <w:u w:val="single"/>
          </w:rPr>
          <w:t>British Business Investments – Request For Proposals for the Regional Angels Programme</w:t>
        </w:r>
      </w:hyperlink>
      <w:r w:rsidRPr="005A0C36">
        <w:rPr>
          <w:rFonts w:eastAsia="Arial" w:cs="Arial"/>
          <w:i/>
          <w:color w:val="555674"/>
          <w:szCs w:val="32"/>
          <w:u w:val="single"/>
        </w:rPr>
        <w:t>, British Business Bank</w:t>
      </w:r>
    </w:p>
    <w:p w14:paraId="1C67A6DA" w14:textId="77777777" w:rsidR="005A7B44" w:rsidRDefault="005A7B44" w:rsidP="00957DB2">
      <w:pPr>
        <w:spacing w:line="264" w:lineRule="auto"/>
        <w:rPr>
          <w:rFonts w:eastAsia="Arial" w:cs="Arial"/>
          <w:i/>
          <w:color w:val="555674"/>
          <w:szCs w:val="32"/>
          <w:u w:val="single"/>
        </w:rPr>
      </w:pPr>
    </w:p>
    <w:p w14:paraId="644E4B1A" w14:textId="77777777" w:rsidR="005A7B44" w:rsidRDefault="005A7B44" w:rsidP="00957DB2">
      <w:pPr>
        <w:spacing w:line="264" w:lineRule="auto"/>
        <w:rPr>
          <w:rFonts w:eastAsia="Arial" w:cs="Arial"/>
          <w:i/>
          <w:color w:val="555674"/>
          <w:szCs w:val="32"/>
          <w:u w:val="single"/>
        </w:rPr>
      </w:pPr>
    </w:p>
    <w:p w14:paraId="67F30FCC" w14:textId="77777777" w:rsidR="005A7B44" w:rsidRDefault="005A7B44" w:rsidP="00957DB2">
      <w:pPr>
        <w:spacing w:line="264" w:lineRule="auto"/>
        <w:rPr>
          <w:rFonts w:eastAsia="Arial" w:cs="Arial"/>
          <w:i/>
          <w:color w:val="555674"/>
          <w:szCs w:val="32"/>
          <w:u w:val="single"/>
        </w:rPr>
      </w:pPr>
    </w:p>
    <w:p w14:paraId="13E0F560" w14:textId="77777777" w:rsidR="005A7B44" w:rsidRDefault="005A7B44" w:rsidP="00957DB2">
      <w:pPr>
        <w:spacing w:line="264" w:lineRule="auto"/>
        <w:rPr>
          <w:rFonts w:eastAsia="Arial" w:cs="Arial"/>
          <w:i/>
          <w:color w:val="555674"/>
          <w:szCs w:val="32"/>
          <w:u w:val="single"/>
        </w:rPr>
      </w:pPr>
    </w:p>
    <w:p w14:paraId="4A3914CA" w14:textId="77777777" w:rsidR="005A7B44" w:rsidRDefault="005A7B44" w:rsidP="00957DB2">
      <w:pPr>
        <w:spacing w:line="264" w:lineRule="auto"/>
        <w:rPr>
          <w:rFonts w:eastAsia="Arial" w:cs="Arial"/>
          <w:i/>
          <w:color w:val="555674"/>
          <w:szCs w:val="32"/>
          <w:u w:val="single"/>
        </w:rPr>
      </w:pPr>
    </w:p>
    <w:p w14:paraId="4A1AA9D4" w14:textId="77777777" w:rsidR="00784475" w:rsidRDefault="00784475" w:rsidP="00957DB2">
      <w:pPr>
        <w:spacing w:line="264" w:lineRule="auto"/>
        <w:rPr>
          <w:rFonts w:eastAsia="Arial" w:cs="Arial"/>
          <w:i/>
          <w:color w:val="555674"/>
          <w:szCs w:val="32"/>
          <w:u w:val="single"/>
        </w:rPr>
      </w:pPr>
    </w:p>
    <w:p w14:paraId="2690136E" w14:textId="77777777" w:rsidR="005A7B44" w:rsidRPr="00F34274" w:rsidRDefault="005A7B44" w:rsidP="00957DB2">
      <w:pPr>
        <w:spacing w:line="264" w:lineRule="auto"/>
        <w:rPr>
          <w:rFonts w:eastAsia="Arial" w:cs="Arial"/>
          <w:iCs/>
          <w:color w:val="1D1D1B"/>
          <w:szCs w:val="32"/>
        </w:rPr>
      </w:pPr>
    </w:p>
    <w:p w14:paraId="3D15C436" w14:textId="77777777" w:rsidR="00A5531C" w:rsidRPr="00F34274" w:rsidRDefault="00A5531C" w:rsidP="00784475">
      <w:pPr>
        <w:pStyle w:val="Heading2"/>
      </w:pPr>
      <w:bookmarkStart w:id="251" w:name="_Toc821647445"/>
      <w:bookmarkStart w:id="252" w:name="_Toc136592089"/>
      <w:bookmarkStart w:id="253" w:name="_Toc144830590"/>
      <w:bookmarkStart w:id="254" w:name="_Toc165482246"/>
      <w:bookmarkStart w:id="255" w:name="_Toc165497211"/>
      <w:r w:rsidRPr="00F34274">
        <w:lastRenderedPageBreak/>
        <w:t xml:space="preserve">Annex C: </w:t>
      </w:r>
      <w:bookmarkEnd w:id="251"/>
      <w:r w:rsidRPr="00F34274">
        <w:t>Theory of Change</w:t>
      </w:r>
      <w:bookmarkEnd w:id="252"/>
      <w:bookmarkEnd w:id="253"/>
      <w:bookmarkEnd w:id="254"/>
      <w:bookmarkEnd w:id="255"/>
    </w:p>
    <w:p w14:paraId="07152A8E" w14:textId="77777777" w:rsidR="00A5531C" w:rsidRPr="00F34274" w:rsidRDefault="00A5531C" w:rsidP="00A5531C">
      <w:pPr>
        <w:rPr>
          <w:rFonts w:eastAsia="Arial" w:cs="Arial"/>
        </w:rPr>
      </w:pPr>
      <w:r w:rsidRPr="00F34274">
        <w:rPr>
          <w:rFonts w:eastAsia="Arial" w:cs="Arial"/>
        </w:rPr>
        <w:t xml:space="preserve">This section includes the Theory of Change which illustrates how the Programme intends to achieve outcomes over its lifecycle (and beyond), and the Data Sources which lists detailed individual indicators for each level of the </w:t>
      </w:r>
      <w:proofErr w:type="spellStart"/>
      <w:r w:rsidRPr="00F34274">
        <w:rPr>
          <w:rFonts w:eastAsia="Arial" w:cs="Arial"/>
        </w:rPr>
        <w:t>ToC</w:t>
      </w:r>
      <w:proofErr w:type="spellEnd"/>
      <w:r w:rsidRPr="00F34274">
        <w:rPr>
          <w:rFonts w:eastAsia="Arial" w:cs="Arial"/>
        </w:rPr>
        <w:t>, along with how they will be measured and analysed.</w:t>
      </w:r>
    </w:p>
    <w:p w14:paraId="520E4261"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t>C.1 Theory of Change</w:t>
      </w:r>
    </w:p>
    <w:p w14:paraId="0815774E" w14:textId="77777777" w:rsidR="00A5531C" w:rsidRPr="00F34274" w:rsidRDefault="00A5531C" w:rsidP="00A5531C">
      <w:pPr>
        <w:rPr>
          <w:rFonts w:eastAsia="Arial" w:cs="Arial"/>
        </w:rPr>
      </w:pPr>
      <w:r w:rsidRPr="00F34274">
        <w:rPr>
          <w:rFonts w:eastAsia="Arial" w:cs="Arial"/>
        </w:rPr>
        <w:t xml:space="preserve">The </w:t>
      </w:r>
      <w:proofErr w:type="spellStart"/>
      <w:r w:rsidRPr="00F34274">
        <w:rPr>
          <w:rFonts w:eastAsia="Arial" w:cs="Arial"/>
        </w:rPr>
        <w:t>ToC</w:t>
      </w:r>
      <w:proofErr w:type="spellEnd"/>
      <w:r w:rsidRPr="00F34274">
        <w:rPr>
          <w:rFonts w:eastAsia="Arial" w:cs="Arial"/>
        </w:rPr>
        <w:t xml:space="preserve"> was developed based on the RAP objectives</w:t>
      </w:r>
      <w:r w:rsidRPr="00F34274">
        <w:rPr>
          <w:rFonts w:eastAsia="Arial" w:cs="Arial"/>
          <w:b/>
          <w:bCs/>
        </w:rPr>
        <w:t xml:space="preserve">, an evidence </w:t>
      </w:r>
      <w:proofErr w:type="gramStart"/>
      <w:r w:rsidRPr="00F34274">
        <w:rPr>
          <w:rFonts w:eastAsia="Arial" w:cs="Arial"/>
          <w:b/>
          <w:bCs/>
        </w:rPr>
        <w:t>review</w:t>
      </w:r>
      <w:proofErr w:type="gramEnd"/>
      <w:r w:rsidRPr="00F34274">
        <w:rPr>
          <w:rFonts w:eastAsia="Arial" w:cs="Arial"/>
          <w:b/>
          <w:bCs/>
        </w:rPr>
        <w:t xml:space="preserve"> </w:t>
      </w:r>
      <w:r w:rsidRPr="00F34274">
        <w:rPr>
          <w:rFonts w:eastAsia="Arial" w:cs="Arial"/>
        </w:rPr>
        <w:t xml:space="preserve">and the ITT. In line with good practice, we also included the activities linked to delivery of the RAP scheme. It includes short, and longer-term outcomes, as well as outputs, inputs and activities that are likely undertaken over the policy life cycle. Furthermore, we have designed it to illustrate causal links between the Programme and the desired outcomes. </w:t>
      </w:r>
    </w:p>
    <w:p w14:paraId="3A8EACAD" w14:textId="77777777" w:rsidR="00A5531C" w:rsidRPr="00F34274" w:rsidRDefault="00A5531C" w:rsidP="00A5531C">
      <w:pPr>
        <w:rPr>
          <w:rFonts w:eastAsia="Arial" w:cs="Arial"/>
        </w:rPr>
      </w:pPr>
      <w:r w:rsidRPr="00F34274">
        <w:rPr>
          <w:rFonts w:eastAsia="Arial" w:cs="Arial"/>
        </w:rPr>
        <w:t xml:space="preserve">The </w:t>
      </w:r>
      <w:proofErr w:type="spellStart"/>
      <w:r w:rsidRPr="00F34274">
        <w:rPr>
          <w:rFonts w:eastAsia="Arial" w:cs="Arial"/>
        </w:rPr>
        <w:t>ToC</w:t>
      </w:r>
      <w:proofErr w:type="spellEnd"/>
      <w:r w:rsidRPr="00F34274">
        <w:rPr>
          <w:rFonts w:eastAsia="Arial" w:cs="Arial"/>
        </w:rPr>
        <w:t xml:space="preserve"> identifies the economic transmission channels through which we have based the evaluation. </w:t>
      </w:r>
    </w:p>
    <w:p w14:paraId="0E832B50" w14:textId="77777777" w:rsidR="00A5531C" w:rsidRPr="00F34274" w:rsidRDefault="197AFA7C" w:rsidP="00A5531C">
      <w:pPr>
        <w:rPr>
          <w:rFonts w:eastAsia="Arial" w:cs="Arial"/>
        </w:rPr>
      </w:pPr>
      <w:r w:rsidRPr="00F34274">
        <w:rPr>
          <w:rFonts w:eastAsia="Arial" w:cs="Arial"/>
        </w:rPr>
        <w:t>In addition to the Key Performance Indicators highlighted in grey, one (longer-term) outcome expected to be realised through the Programme is regional development. This is also at the heart of the Government’s levelling up agenda</w:t>
      </w:r>
      <w:r w:rsidR="00A5531C" w:rsidRPr="00F34274">
        <w:rPr>
          <w:rFonts w:eastAsia="Arial" w:cs="Arial"/>
          <w:iCs/>
          <w:vertAlign w:val="superscript"/>
        </w:rPr>
        <w:footnoteReference w:id="56"/>
      </w:r>
      <w:r w:rsidRPr="00F34274">
        <w:rPr>
          <w:rFonts w:eastAsia="Arial" w:cs="Arial"/>
          <w:iCs/>
          <w:vertAlign w:val="superscript"/>
        </w:rPr>
        <w:t>,</w:t>
      </w:r>
      <w:r w:rsidR="00A5531C" w:rsidRPr="00F34274">
        <w:rPr>
          <w:rFonts w:eastAsia="Arial" w:cs="Arial"/>
          <w:vertAlign w:val="superscript"/>
        </w:rPr>
        <w:footnoteReference w:id="57"/>
      </w:r>
      <w:r w:rsidRPr="00F34274">
        <w:rPr>
          <w:rFonts w:eastAsia="Arial" w:cs="Arial"/>
        </w:rPr>
        <w:t xml:space="preserve">. </w:t>
      </w:r>
    </w:p>
    <w:p w14:paraId="592153F5" w14:textId="77777777" w:rsidR="00A5531C" w:rsidRPr="00F34274" w:rsidRDefault="00A5531C" w:rsidP="00491364">
      <w:pPr>
        <w:numPr>
          <w:ilvl w:val="0"/>
          <w:numId w:val="43"/>
        </w:numPr>
        <w:contextualSpacing/>
        <w:rPr>
          <w:rFonts w:eastAsia="Calibri" w:cs="Arial"/>
          <w:szCs w:val="24"/>
        </w:rPr>
      </w:pPr>
      <w:r w:rsidRPr="00F34274">
        <w:rPr>
          <w:rFonts w:eastAsia="Calibri" w:cs="Arial"/>
          <w:szCs w:val="24"/>
        </w:rPr>
        <w:t>Increase regional competitiveness.</w:t>
      </w:r>
    </w:p>
    <w:p w14:paraId="6E9ECB2C" w14:textId="77777777" w:rsidR="00A5531C" w:rsidRPr="00F34274" w:rsidRDefault="00A5531C" w:rsidP="00491364">
      <w:pPr>
        <w:numPr>
          <w:ilvl w:val="0"/>
          <w:numId w:val="43"/>
        </w:numPr>
        <w:contextualSpacing/>
        <w:rPr>
          <w:rFonts w:eastAsia="Calibri" w:cs="Arial"/>
          <w:szCs w:val="24"/>
        </w:rPr>
      </w:pPr>
      <w:r w:rsidRPr="00F34274">
        <w:rPr>
          <w:rFonts w:eastAsia="Calibri" w:cs="Arial"/>
          <w:szCs w:val="24"/>
        </w:rPr>
        <w:t>Improvement in regional productivity through investment in research and development of high-growth potential firms across the UK</w:t>
      </w:r>
    </w:p>
    <w:p w14:paraId="5CE549C6" w14:textId="77777777" w:rsidR="00A5531C" w:rsidRPr="00F34274" w:rsidRDefault="00A5531C" w:rsidP="00491364">
      <w:pPr>
        <w:numPr>
          <w:ilvl w:val="0"/>
          <w:numId w:val="43"/>
        </w:numPr>
        <w:contextualSpacing/>
        <w:rPr>
          <w:rFonts w:eastAsia="Calibri" w:cs="Arial"/>
          <w:szCs w:val="24"/>
        </w:rPr>
      </w:pPr>
      <w:r w:rsidRPr="00F34274">
        <w:rPr>
          <w:rFonts w:eastAsia="Calibri" w:cs="Arial"/>
          <w:szCs w:val="24"/>
        </w:rPr>
        <w:t>Stimulate regional output and job creation where high-growth potential businesses grow and nurture new talent in regions across the UK.</w:t>
      </w:r>
    </w:p>
    <w:p w14:paraId="634C1542" w14:textId="77777777" w:rsidR="00A5531C" w:rsidRPr="00F34274" w:rsidRDefault="00A5531C" w:rsidP="00491364">
      <w:pPr>
        <w:numPr>
          <w:ilvl w:val="0"/>
          <w:numId w:val="43"/>
        </w:numPr>
        <w:contextualSpacing/>
        <w:rPr>
          <w:rFonts w:eastAsia="Calibri" w:cs="Arial"/>
          <w:szCs w:val="24"/>
        </w:rPr>
      </w:pPr>
      <w:r w:rsidRPr="00F34274">
        <w:rPr>
          <w:rFonts w:eastAsia="Calibri" w:cs="Arial"/>
          <w:szCs w:val="24"/>
        </w:rPr>
        <w:t xml:space="preserve">Creation of new or sustained business-investor networks and a dynamic ecosystem that does not require further government intervention. Investors play a key role to </w:t>
      </w:r>
    </w:p>
    <w:p w14:paraId="78D86721" w14:textId="77777777" w:rsidR="00A5531C" w:rsidRPr="00F34274" w:rsidRDefault="00A5531C" w:rsidP="00491364">
      <w:pPr>
        <w:numPr>
          <w:ilvl w:val="1"/>
          <w:numId w:val="44"/>
        </w:numPr>
        <w:rPr>
          <w:rFonts w:eastAsia="Arial" w:cs="Arial"/>
          <w:color w:val="1D1D1B"/>
          <w:szCs w:val="24"/>
        </w:rPr>
      </w:pPr>
      <w:r w:rsidRPr="00F34274">
        <w:rPr>
          <w:rFonts w:eastAsia="Arial" w:cs="Arial"/>
          <w:color w:val="1D1D1B"/>
          <w:szCs w:val="24"/>
        </w:rPr>
        <w:t>Facilitate networking between high-growth firms and those just starting up.</w:t>
      </w:r>
    </w:p>
    <w:p w14:paraId="20F95B3F" w14:textId="77777777" w:rsidR="00A5531C" w:rsidRPr="00F34274" w:rsidRDefault="00A5531C" w:rsidP="00491364">
      <w:pPr>
        <w:numPr>
          <w:ilvl w:val="1"/>
          <w:numId w:val="44"/>
        </w:numPr>
        <w:rPr>
          <w:rFonts w:eastAsia="Arial" w:cs="Arial"/>
          <w:color w:val="1D1D1B"/>
          <w:szCs w:val="24"/>
        </w:rPr>
      </w:pPr>
      <w:r w:rsidRPr="00F34274">
        <w:rPr>
          <w:rFonts w:eastAsia="Arial" w:cs="Arial"/>
          <w:color w:val="1D1D1B"/>
          <w:szCs w:val="24"/>
        </w:rPr>
        <w:t xml:space="preserve">Provide means to train and develop start-up/ scale-up firms who are new to the business world. </w:t>
      </w:r>
    </w:p>
    <w:p w14:paraId="00FFC491" w14:textId="192E35EA" w:rsidR="00CD60C2" w:rsidRPr="00F34274" w:rsidRDefault="00A5531C" w:rsidP="00A5531C">
      <w:pPr>
        <w:rPr>
          <w:rFonts w:eastAsia="Arial" w:cs="Arial"/>
        </w:rPr>
      </w:pPr>
      <w:r w:rsidRPr="00F34274">
        <w:rPr>
          <w:rFonts w:eastAsia="Arial" w:cs="Arial"/>
        </w:rPr>
        <w:lastRenderedPageBreak/>
        <w:t>Moreover, the Programme was expected to indirectly facilitate growth of firms who have some association to environmental or social causes through their business operation, supporting the global agenda on climate change. ESG is favoured by British Business Investments on investors’ portfolios.</w:t>
      </w:r>
      <w:r w:rsidR="00CD60C2" w:rsidRPr="00F34274">
        <w:rPr>
          <w:rFonts w:eastAsia="Arial" w:cs="Arial"/>
        </w:rPr>
        <w:t xml:space="preserve"> </w:t>
      </w:r>
    </w:p>
    <w:p w14:paraId="6F24982F" w14:textId="77777777" w:rsidR="00CD60C2" w:rsidRPr="00F34274" w:rsidRDefault="00CD60C2" w:rsidP="00957DB2">
      <w:pPr>
        <w:rPr>
          <w:rFonts w:eastAsia="Arial" w:cs="Arial"/>
        </w:rPr>
      </w:pPr>
    </w:p>
    <w:p w14:paraId="69EF350A" w14:textId="77777777" w:rsidR="00CD60C2" w:rsidRPr="00F34274" w:rsidRDefault="00CD60C2" w:rsidP="00957DB2">
      <w:pPr>
        <w:spacing w:line="264" w:lineRule="auto"/>
        <w:rPr>
          <w:rFonts w:eastAsia="Arial" w:cs="Arial"/>
          <w:b/>
          <w:color w:val="1D1D1B"/>
          <w:sz w:val="22"/>
        </w:rPr>
        <w:sectPr w:rsidR="00CD60C2" w:rsidRPr="00F34274" w:rsidSect="00ED2122">
          <w:pgSz w:w="11906" w:h="16838"/>
          <w:pgMar w:top="1440" w:right="1080" w:bottom="1440" w:left="1080" w:header="624" w:footer="0" w:gutter="0"/>
          <w:cols w:space="720"/>
          <w:docGrid w:linePitch="360"/>
        </w:sectPr>
      </w:pPr>
    </w:p>
    <w:p w14:paraId="3BBACADE" w14:textId="28E1912E" w:rsidR="005A7B44" w:rsidRPr="00F34274" w:rsidRDefault="00CD60C2" w:rsidP="00957DB2">
      <w:pPr>
        <w:spacing w:before="120"/>
        <w:rPr>
          <w:rFonts w:eastAsia="Arial" w:cs="Arial"/>
          <w:iCs/>
          <w:color w:val="555674"/>
          <w:szCs w:val="18"/>
        </w:rPr>
      </w:pPr>
      <w:r w:rsidRPr="00F34274">
        <w:rPr>
          <w:rFonts w:eastAsia="Arial" w:cs="Arial"/>
          <w:iCs/>
          <w:color w:val="555674"/>
          <w:szCs w:val="18"/>
        </w:rPr>
        <w:lastRenderedPageBreak/>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22</w:t>
      </w:r>
      <w:r w:rsidRPr="00F34274">
        <w:rPr>
          <w:rFonts w:eastAsia="Arial" w:cs="Arial"/>
          <w:iCs/>
          <w:color w:val="555674"/>
          <w:szCs w:val="18"/>
        </w:rPr>
        <w:fldChar w:fldCharType="end"/>
      </w:r>
      <w:r w:rsidRPr="00F34274">
        <w:rPr>
          <w:rFonts w:eastAsia="Arial" w:cs="Arial"/>
          <w:iCs/>
          <w:color w:val="555674"/>
          <w:szCs w:val="18"/>
        </w:rPr>
        <w:t>: RSM RAP Theory of Change</w:t>
      </w:r>
      <w:r w:rsidR="007A621B">
        <w:rPr>
          <w:noProof/>
        </w:rPr>
        <w:drawing>
          <wp:inline distT="0" distB="0" distL="0" distR="0" wp14:anchorId="708B5392" wp14:editId="32BAE322">
            <wp:extent cx="9777730" cy="5703468"/>
            <wp:effectExtent l="0" t="0" r="0" b="0"/>
            <wp:docPr id="32397487" name="Picture 1" descr="Figure 1 illustrates the Theory of Change and Key Performance Indicators for the Regional Angels Programme. It shows how the programme addresses market failures like high risk, informational asymmetries, and underdeveloped investment ecosystems to achieve its objectives. The figure outlines the pathway from initial inputs, such as BBB's investment, through to short- and long-term outcomes including increased funding availability and angel investment in underrepresented regions. Ultimately, the figure aims to visualise how the programme will fulfil its core objectives of enhancing early-stage equity capital, promoting angel investing in underrepresented areas, and generating market-rate retur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81" name="Picture 1" descr="Figure 1 illustrates the Theory of Change and Key Performance Indicators for the Regional Angels Programme. It shows how the programme addresses market failures like high risk, informational asymmetries, and underdeveloped investment ecosystems to achieve its objectives. The figure outlines the pathway from initial inputs, such as BBB's investment, through to short- and long-term outcomes including increased funding availability and angel investment in underrepresented regions. Ultimately, the figure aims to visualise how the programme will fulfil its core objectives of enhancing early-stage equity capital, promoting angel investing in underrepresented areas, and generating market-rate returns.&#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7730" cy="5703468"/>
                    </a:xfrm>
                    <a:prstGeom prst="rect">
                      <a:avLst/>
                    </a:prstGeom>
                    <a:noFill/>
                  </pic:spPr>
                </pic:pic>
              </a:graphicData>
            </a:graphic>
          </wp:inline>
        </w:drawing>
      </w:r>
    </w:p>
    <w:p w14:paraId="65CFBF59" w14:textId="6D81880F" w:rsidR="00CD60C2" w:rsidRPr="00F34274" w:rsidDel="00E33AE6" w:rsidRDefault="00CD60C2" w:rsidP="005A7B44">
      <w:pPr>
        <w:rPr>
          <w:rFonts w:eastAsia="Arial" w:cs="Arial"/>
        </w:rPr>
        <w:sectPr w:rsidR="00CD60C2" w:rsidRPr="00F34274" w:rsidDel="00E33AE6" w:rsidSect="00ED2122">
          <w:headerReference w:type="even" r:id="rId59"/>
          <w:headerReference w:type="default" r:id="rId60"/>
          <w:headerReference w:type="first" r:id="rId61"/>
          <w:pgSz w:w="16838" w:h="11906" w:orient="landscape"/>
          <w:pgMar w:top="720" w:right="720" w:bottom="720" w:left="720" w:header="624" w:footer="510" w:gutter="0"/>
          <w:cols w:space="708"/>
          <w:docGrid w:linePitch="360"/>
        </w:sectPr>
      </w:pPr>
    </w:p>
    <w:p w14:paraId="5AB03CE4"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lastRenderedPageBreak/>
        <w:t xml:space="preserve">C.2 Evidence Sources </w:t>
      </w:r>
    </w:p>
    <w:p w14:paraId="361CE400" w14:textId="77777777" w:rsidR="00A5531C" w:rsidRPr="00F34274" w:rsidRDefault="00A5531C" w:rsidP="00A5531C">
      <w:pPr>
        <w:rPr>
          <w:rFonts w:eastAsia="Arial" w:cs="Arial"/>
        </w:rPr>
      </w:pPr>
      <w:r w:rsidRPr="00F34274">
        <w:rPr>
          <w:rFonts w:eastAsia="Arial" w:cs="Arial"/>
        </w:rPr>
        <w:t xml:space="preserve">The </w:t>
      </w:r>
      <w:proofErr w:type="spellStart"/>
      <w:r w:rsidRPr="00F34274">
        <w:rPr>
          <w:rFonts w:eastAsia="Arial" w:cs="Arial"/>
        </w:rPr>
        <w:t>ToC</w:t>
      </w:r>
      <w:proofErr w:type="spellEnd"/>
      <w:r w:rsidRPr="00F34274">
        <w:rPr>
          <w:rFonts w:eastAsia="Arial" w:cs="Arial"/>
        </w:rPr>
        <w:t xml:space="preserve"> used to develop indicators which will measure and assess performance against the </w:t>
      </w:r>
      <w:proofErr w:type="spellStart"/>
      <w:r w:rsidRPr="00F34274">
        <w:rPr>
          <w:rFonts w:eastAsia="Arial" w:cs="Arial"/>
        </w:rPr>
        <w:t>ToC</w:t>
      </w:r>
      <w:proofErr w:type="spellEnd"/>
      <w:r w:rsidRPr="00F34274">
        <w:rPr>
          <w:rFonts w:eastAsia="Arial" w:cs="Arial"/>
        </w:rPr>
        <w:t xml:space="preserve"> depending on the quality of the data and research tool outputs. In line with good practice, an evaluation approach was designed that has, for most indicators, at least two sources. This approach provided a robust evidence base which allows for triangulation of data sources and a combination of analytical techniques, including:</w:t>
      </w:r>
    </w:p>
    <w:p w14:paraId="0D63A06E" w14:textId="6B4D8B3D" w:rsidR="00A5531C" w:rsidRPr="00F34274" w:rsidRDefault="00A5531C" w:rsidP="00491364">
      <w:pPr>
        <w:numPr>
          <w:ilvl w:val="0"/>
          <w:numId w:val="45"/>
        </w:numPr>
        <w:rPr>
          <w:rFonts w:eastAsia="SimHei" w:cs="Arial"/>
          <w:color w:val="1D1D1B"/>
          <w:sz w:val="22"/>
        </w:rPr>
      </w:pPr>
      <w:r w:rsidRPr="00F34274">
        <w:rPr>
          <w:rFonts w:eastAsia="Arial" w:cs="Arial"/>
          <w:b/>
          <w:bCs/>
          <w:color w:val="1D1D1B"/>
          <w:szCs w:val="24"/>
        </w:rPr>
        <w:t xml:space="preserve">Management Information (MI) data </w:t>
      </w:r>
      <w:r w:rsidRPr="00F34274">
        <w:rPr>
          <w:rFonts w:eastAsia="Arial" w:cs="Arial"/>
          <w:color w:val="1D1D1B"/>
          <w:szCs w:val="24"/>
        </w:rPr>
        <w:t xml:space="preserve">– used to obtain descriptive statistics of the RAP funded firms and inform the portfolio analysis which details an overview of characteristics of firms such as gender and ethnicity distribution, sector, and magnitude of turnover and </w:t>
      </w:r>
      <w:r w:rsidR="005A7B44" w:rsidRPr="00F34274">
        <w:rPr>
          <w:rFonts w:eastAsia="Arial" w:cs="Arial"/>
          <w:color w:val="1D1D1B"/>
          <w:szCs w:val="24"/>
        </w:rPr>
        <w:t>employees.</w:t>
      </w:r>
      <w:r w:rsidRPr="00F34274">
        <w:rPr>
          <w:rFonts w:eastAsia="Arial" w:cs="Arial"/>
          <w:color w:val="1D1D1B"/>
          <w:szCs w:val="24"/>
        </w:rPr>
        <w:t xml:space="preserve"> </w:t>
      </w:r>
    </w:p>
    <w:p w14:paraId="420E59ED" w14:textId="77777777" w:rsidR="00A5531C" w:rsidRPr="00F34274" w:rsidRDefault="197AFA7C" w:rsidP="00491364">
      <w:pPr>
        <w:numPr>
          <w:ilvl w:val="0"/>
          <w:numId w:val="45"/>
        </w:numPr>
        <w:rPr>
          <w:rFonts w:eastAsia="Arial" w:cs="Arial"/>
          <w:color w:val="1D1D1B"/>
          <w:szCs w:val="24"/>
        </w:rPr>
      </w:pPr>
      <w:r w:rsidRPr="00F34274">
        <w:rPr>
          <w:rFonts w:eastAsia="Arial" w:cs="Arial"/>
          <w:b/>
          <w:bCs/>
          <w:color w:val="1D1D1B"/>
          <w:szCs w:val="24"/>
        </w:rPr>
        <w:t>Secondary data sources</w:t>
      </w:r>
      <w:r w:rsidRPr="00F34274">
        <w:rPr>
          <w:rFonts w:eastAsia="Arial" w:cs="Arial"/>
          <w:color w:val="1D1D1B"/>
          <w:szCs w:val="24"/>
        </w:rPr>
        <w:t xml:space="preserve"> – IDBR</w:t>
      </w:r>
      <w:r w:rsidR="00A5531C" w:rsidRPr="00F34274">
        <w:rPr>
          <w:rFonts w:eastAsia="Arial" w:cs="Arial"/>
          <w:color w:val="1D1D1B"/>
          <w:szCs w:val="24"/>
          <w:vertAlign w:val="superscript"/>
        </w:rPr>
        <w:footnoteReference w:id="58"/>
      </w:r>
      <w:r w:rsidRPr="00F34274">
        <w:rPr>
          <w:rFonts w:eastAsia="Arial" w:cs="Arial"/>
          <w:color w:val="1D1D1B"/>
          <w:szCs w:val="24"/>
        </w:rPr>
        <w:t xml:space="preserve"> and </w:t>
      </w:r>
      <w:proofErr w:type="spellStart"/>
      <w:r w:rsidRPr="00F34274">
        <w:rPr>
          <w:rFonts w:eastAsia="Arial" w:cs="Arial"/>
          <w:color w:val="1D1D1B"/>
          <w:szCs w:val="24"/>
        </w:rPr>
        <w:t>Beauhurst</w:t>
      </w:r>
      <w:proofErr w:type="spellEnd"/>
      <w:r w:rsidR="00A5531C" w:rsidRPr="00F34274">
        <w:rPr>
          <w:rFonts w:eastAsia="Arial" w:cs="Arial"/>
          <w:color w:val="1D1D1B"/>
          <w:szCs w:val="24"/>
          <w:vertAlign w:val="superscript"/>
        </w:rPr>
        <w:footnoteReference w:id="59"/>
      </w:r>
      <w:r w:rsidRPr="00F34274">
        <w:rPr>
          <w:rFonts w:eastAsia="Arial" w:cs="Arial"/>
          <w:color w:val="1D1D1B"/>
          <w:szCs w:val="24"/>
        </w:rPr>
        <w:t xml:space="preserve"> database was used as the main secondary data sources. The former allowed us to complete a high degree of matching on RAP funded firms’ characteristics whilst the latter contained detailed equity information that was validated through primary research tools and MI data provided by the British Business Bank. </w:t>
      </w:r>
      <w:r>
        <w:rPr>
          <w:rFonts w:eastAsia="Arial" w:cs="Arial"/>
          <w:color w:val="1D1D1B"/>
          <w:szCs w:val="24"/>
        </w:rPr>
        <w:t>Other</w:t>
      </w:r>
      <w:r w:rsidRPr="00F34274">
        <w:rPr>
          <w:rFonts w:eastAsia="Arial" w:cs="Arial"/>
          <w:color w:val="1D1D1B"/>
          <w:szCs w:val="24"/>
        </w:rPr>
        <w:t xml:space="preserve"> data sources such as </w:t>
      </w:r>
      <w:r>
        <w:rPr>
          <w:rFonts w:eastAsia="Arial" w:cs="Arial"/>
          <w:color w:val="1D1D1B"/>
          <w:szCs w:val="24"/>
        </w:rPr>
        <w:t xml:space="preserve">the RSM internal platform </w:t>
      </w:r>
      <w:r w:rsidRPr="00F34274">
        <w:rPr>
          <w:rFonts w:eastAsia="Arial" w:cs="Arial"/>
          <w:color w:val="1D1D1B"/>
          <w:szCs w:val="24"/>
        </w:rPr>
        <w:t xml:space="preserve">Tracker </w:t>
      </w:r>
      <w:r>
        <w:rPr>
          <w:rFonts w:eastAsia="Arial" w:cs="Arial"/>
          <w:color w:val="1D1D1B"/>
          <w:szCs w:val="24"/>
        </w:rPr>
        <w:t>as well as</w:t>
      </w:r>
      <w:r w:rsidRPr="00F34274">
        <w:rPr>
          <w:rFonts w:eastAsia="Arial" w:cs="Arial"/>
          <w:color w:val="1D1D1B"/>
          <w:szCs w:val="24"/>
        </w:rPr>
        <w:t xml:space="preserve"> Orbis</w:t>
      </w:r>
      <w:r>
        <w:rPr>
          <w:rFonts w:eastAsia="Arial" w:cs="Arial"/>
          <w:color w:val="1D1D1B"/>
          <w:szCs w:val="24"/>
        </w:rPr>
        <w:t xml:space="preserve"> by Bureau Van Dijk</w:t>
      </w:r>
      <w:r w:rsidR="00A5531C">
        <w:rPr>
          <w:rStyle w:val="FootnoteReference"/>
          <w:rFonts w:eastAsia="Arial" w:cs="Arial"/>
          <w:color w:val="1D1D1B"/>
          <w:szCs w:val="24"/>
        </w:rPr>
        <w:footnoteReference w:id="60"/>
      </w:r>
      <w:r w:rsidRPr="00F34274">
        <w:rPr>
          <w:rFonts w:eastAsia="Arial" w:cs="Arial"/>
          <w:color w:val="1D1D1B"/>
          <w:szCs w:val="24"/>
        </w:rPr>
        <w:t>, supplemented by Companies House data were used for further matching/linking purposes.</w:t>
      </w:r>
    </w:p>
    <w:p w14:paraId="3B9CBB41" w14:textId="77777777" w:rsidR="00A5531C" w:rsidRPr="00F34274" w:rsidRDefault="00A5531C" w:rsidP="00491364">
      <w:pPr>
        <w:numPr>
          <w:ilvl w:val="0"/>
          <w:numId w:val="45"/>
        </w:numPr>
        <w:rPr>
          <w:rFonts w:eastAsia="Arial" w:cs="Arial"/>
          <w:color w:val="1D1D1B"/>
          <w:szCs w:val="24"/>
        </w:rPr>
      </w:pPr>
      <w:r w:rsidRPr="00F34274">
        <w:rPr>
          <w:rFonts w:eastAsia="Arial" w:cs="Arial"/>
          <w:b/>
          <w:bCs/>
          <w:color w:val="1D1D1B"/>
          <w:szCs w:val="24"/>
        </w:rPr>
        <w:t xml:space="preserve">Econometric modelling </w:t>
      </w:r>
      <w:r w:rsidRPr="00F34274">
        <w:rPr>
          <w:rFonts w:eastAsia="Arial" w:cs="Arial"/>
          <w:color w:val="1D1D1B"/>
          <w:szCs w:val="24"/>
        </w:rPr>
        <w:t xml:space="preserve">– given the data analysis completed to date, we proposed a difference-in-difference modelling approach identified as the most appropriate quasi-experimental evaluation method. The pre-filtered funded and counterfactual samples are 351 and 415 firms respectively. To build our counterfactual, a sample from </w:t>
      </w:r>
      <w:proofErr w:type="spellStart"/>
      <w:r w:rsidRPr="00F34274">
        <w:rPr>
          <w:rFonts w:eastAsia="Arial" w:cs="Arial"/>
          <w:color w:val="1D1D1B"/>
          <w:szCs w:val="24"/>
        </w:rPr>
        <w:t>Beauhurst</w:t>
      </w:r>
      <w:proofErr w:type="spellEnd"/>
      <w:r w:rsidRPr="00F34274">
        <w:rPr>
          <w:rFonts w:eastAsia="Arial" w:cs="Arial"/>
          <w:color w:val="1D1D1B"/>
          <w:szCs w:val="24"/>
        </w:rPr>
        <w:t xml:space="preserve"> has was drawn down for those firms that did not receive funding in the UK, however, have comparable characteristics to RAP funded firms such as a) company stage of evolution at the time of funding, b) type of investors providing funding, c) other company’s characteristics such as turnover and range of employees.</w:t>
      </w:r>
    </w:p>
    <w:p w14:paraId="06C88482" w14:textId="77777777" w:rsidR="00A5531C" w:rsidRPr="00F34274" w:rsidRDefault="00A5531C" w:rsidP="00A5531C">
      <w:pPr>
        <w:spacing w:line="264" w:lineRule="auto"/>
        <w:rPr>
          <w:rFonts w:eastAsia="Arial" w:cs="Arial"/>
          <w:color w:val="1D1D1B"/>
          <w:szCs w:val="24"/>
        </w:rPr>
      </w:pPr>
      <w:r w:rsidRPr="00F34274">
        <w:rPr>
          <w:rFonts w:eastAsia="Arial" w:cs="Arial"/>
          <w:color w:val="1D1D1B"/>
          <w:szCs w:val="24"/>
        </w:rPr>
        <w:t xml:space="preserve">The primary sources below were used to explore the process evaluation of the RAP scheme as well as plug any data gaps that emerge. This mix methods approach allowed us to explore the themes identified in the </w:t>
      </w:r>
      <w:proofErr w:type="spellStart"/>
      <w:r w:rsidRPr="00F34274">
        <w:rPr>
          <w:rFonts w:eastAsia="Arial" w:cs="Arial"/>
          <w:color w:val="1D1D1B"/>
          <w:szCs w:val="24"/>
        </w:rPr>
        <w:t>ToC</w:t>
      </w:r>
      <w:proofErr w:type="spellEnd"/>
      <w:r w:rsidRPr="00F34274">
        <w:rPr>
          <w:rFonts w:eastAsia="Arial" w:cs="Arial"/>
          <w:color w:val="1D1D1B"/>
          <w:szCs w:val="24"/>
        </w:rPr>
        <w:t>.</w:t>
      </w:r>
    </w:p>
    <w:p w14:paraId="4351968D" w14:textId="5590252D" w:rsidR="00CD60C2" w:rsidRPr="00F34274" w:rsidRDefault="00A5531C" w:rsidP="00491364">
      <w:pPr>
        <w:numPr>
          <w:ilvl w:val="0"/>
          <w:numId w:val="45"/>
        </w:numPr>
        <w:spacing w:line="264" w:lineRule="auto"/>
        <w:rPr>
          <w:rFonts w:eastAsia="Arial" w:cs="Arial"/>
          <w:color w:val="1D1D1B"/>
          <w:szCs w:val="24"/>
        </w:rPr>
      </w:pPr>
      <w:r w:rsidRPr="00F34274">
        <w:rPr>
          <w:rFonts w:eastAsia="Arial" w:cs="Arial"/>
          <w:b/>
          <w:bCs/>
          <w:color w:val="1D1D1B"/>
          <w:szCs w:val="24"/>
        </w:rPr>
        <w:lastRenderedPageBreak/>
        <w:t>Firm surveys</w:t>
      </w:r>
      <w:r w:rsidRPr="00F34274">
        <w:rPr>
          <w:rFonts w:eastAsia="Arial" w:cs="Arial"/>
          <w:color w:val="1D1D1B"/>
          <w:szCs w:val="24"/>
        </w:rPr>
        <w:t xml:space="preserve"> (pilot and full) – funded and counterfactual </w:t>
      </w:r>
      <w:proofErr w:type="gramStart"/>
      <w:r w:rsidRPr="00F34274">
        <w:rPr>
          <w:rFonts w:eastAsia="Arial" w:cs="Arial"/>
          <w:color w:val="1D1D1B"/>
          <w:szCs w:val="24"/>
        </w:rPr>
        <w:t>group;</w:t>
      </w:r>
      <w:proofErr w:type="gramEnd"/>
    </w:p>
    <w:p w14:paraId="288396CE" w14:textId="77777777" w:rsidR="00A5531C" w:rsidRPr="00F34274" w:rsidRDefault="00A5531C" w:rsidP="00491364">
      <w:pPr>
        <w:numPr>
          <w:ilvl w:val="0"/>
          <w:numId w:val="45"/>
        </w:numPr>
        <w:spacing w:line="264" w:lineRule="auto"/>
        <w:rPr>
          <w:rFonts w:eastAsia="Arial" w:cs="Arial"/>
          <w:color w:val="1D1D1B"/>
          <w:szCs w:val="24"/>
        </w:rPr>
      </w:pPr>
      <w:r w:rsidRPr="00F34274">
        <w:rPr>
          <w:rFonts w:eastAsia="Arial" w:cs="Arial"/>
          <w:b/>
          <w:color w:val="1D1D1B"/>
          <w:szCs w:val="24"/>
        </w:rPr>
        <w:t>Partner interviews</w:t>
      </w:r>
      <w:r w:rsidRPr="00F34274">
        <w:rPr>
          <w:rFonts w:eastAsia="Arial" w:cs="Arial"/>
          <w:color w:val="1D1D1B"/>
          <w:szCs w:val="24"/>
        </w:rPr>
        <w:t xml:space="preserve"> – RAP supported and non-applicant counterfactual group</w:t>
      </w:r>
      <w:proofErr w:type="gramStart"/>
      <w:r w:rsidRPr="00F34274">
        <w:rPr>
          <w:rFonts w:eastAsia="Arial" w:cs="Arial"/>
          <w:color w:val="1D1D1B"/>
          <w:szCs w:val="24"/>
        </w:rPr>
        <w:t>);</w:t>
      </w:r>
      <w:proofErr w:type="gramEnd"/>
    </w:p>
    <w:p w14:paraId="5B3D2630" w14:textId="77777777" w:rsidR="00A5531C" w:rsidRPr="00F34274" w:rsidRDefault="00A5531C" w:rsidP="00491364">
      <w:pPr>
        <w:numPr>
          <w:ilvl w:val="0"/>
          <w:numId w:val="45"/>
        </w:numPr>
        <w:spacing w:line="264" w:lineRule="auto"/>
        <w:rPr>
          <w:rFonts w:eastAsia="Arial" w:cs="Arial"/>
          <w:color w:val="1D1D1B"/>
          <w:szCs w:val="24"/>
        </w:rPr>
      </w:pPr>
      <w:r w:rsidRPr="00F34274">
        <w:rPr>
          <w:rFonts w:eastAsia="Arial" w:cs="Arial"/>
          <w:b/>
          <w:color w:val="1D1D1B"/>
          <w:szCs w:val="24"/>
        </w:rPr>
        <w:t xml:space="preserve">Stakeholder </w:t>
      </w:r>
      <w:proofErr w:type="gramStart"/>
      <w:r w:rsidRPr="00F34274">
        <w:rPr>
          <w:rFonts w:eastAsia="Arial" w:cs="Arial"/>
          <w:b/>
          <w:color w:val="1D1D1B"/>
          <w:szCs w:val="24"/>
        </w:rPr>
        <w:t>interviews</w:t>
      </w:r>
      <w:r w:rsidRPr="00F34274">
        <w:rPr>
          <w:rFonts w:eastAsia="Arial" w:cs="Arial"/>
          <w:color w:val="1D1D1B"/>
          <w:szCs w:val="24"/>
        </w:rPr>
        <w:t>;</w:t>
      </w:r>
      <w:proofErr w:type="gramEnd"/>
    </w:p>
    <w:p w14:paraId="53EEF8F8" w14:textId="77777777" w:rsidR="00A5531C" w:rsidRPr="00F34274" w:rsidRDefault="00A5531C" w:rsidP="00491364">
      <w:pPr>
        <w:numPr>
          <w:ilvl w:val="0"/>
          <w:numId w:val="45"/>
        </w:numPr>
        <w:spacing w:line="264" w:lineRule="auto"/>
        <w:rPr>
          <w:rFonts w:eastAsia="SimHei" w:cs="Arial"/>
          <w:color w:val="1D1D1B"/>
          <w:sz w:val="22"/>
        </w:rPr>
      </w:pPr>
      <w:r w:rsidRPr="00F34274">
        <w:rPr>
          <w:rFonts w:eastAsia="Arial" w:cs="Arial"/>
          <w:b/>
          <w:color w:val="1D1D1B"/>
          <w:szCs w:val="24"/>
        </w:rPr>
        <w:t xml:space="preserve">Case </w:t>
      </w:r>
      <w:proofErr w:type="gramStart"/>
      <w:r w:rsidRPr="00F34274">
        <w:rPr>
          <w:rFonts w:eastAsia="Arial" w:cs="Arial"/>
          <w:b/>
          <w:color w:val="1D1D1B"/>
          <w:szCs w:val="24"/>
        </w:rPr>
        <w:t>studies</w:t>
      </w:r>
      <w:r w:rsidRPr="00F34274">
        <w:rPr>
          <w:rFonts w:eastAsia="Arial" w:cs="Arial"/>
          <w:color w:val="1D1D1B"/>
          <w:szCs w:val="24"/>
        </w:rPr>
        <w:t>;</w:t>
      </w:r>
      <w:proofErr w:type="gramEnd"/>
    </w:p>
    <w:p w14:paraId="11D233C3" w14:textId="77777777" w:rsidR="00A5531C" w:rsidRPr="00F34274" w:rsidRDefault="00A5531C" w:rsidP="00491364">
      <w:pPr>
        <w:numPr>
          <w:ilvl w:val="0"/>
          <w:numId w:val="45"/>
        </w:numPr>
        <w:spacing w:line="264" w:lineRule="auto"/>
        <w:rPr>
          <w:rFonts w:eastAsia="Arial" w:cs="Arial"/>
          <w:color w:val="1D1D1B"/>
          <w:sz w:val="22"/>
        </w:rPr>
      </w:pPr>
      <w:r w:rsidRPr="00F34274">
        <w:rPr>
          <w:rFonts w:eastAsia="Arial" w:cs="Arial"/>
          <w:b/>
          <w:color w:val="1D1D1B"/>
          <w:szCs w:val="24"/>
        </w:rPr>
        <w:t>Contribut</w:t>
      </w:r>
      <w:r w:rsidRPr="00F34274">
        <w:rPr>
          <w:rFonts w:eastAsia="SimHei" w:cs="Arial"/>
          <w:b/>
          <w:color w:val="1D1D1B"/>
          <w:szCs w:val="24"/>
        </w:rPr>
        <w:t>ion analysis</w:t>
      </w:r>
      <w:r w:rsidRPr="00F34274">
        <w:rPr>
          <w:rFonts w:eastAsia="SimHei" w:cs="Arial"/>
          <w:color w:val="1D1D1B"/>
          <w:sz w:val="22"/>
        </w:rPr>
        <w:t>.</w:t>
      </w:r>
    </w:p>
    <w:p w14:paraId="0CE40976" w14:textId="4818885F" w:rsidR="00CD60C2" w:rsidRPr="00F34274" w:rsidRDefault="00A5531C" w:rsidP="00A5531C">
      <w:pPr>
        <w:spacing w:line="264" w:lineRule="auto"/>
        <w:rPr>
          <w:rFonts w:eastAsia="Arial" w:cs="Arial"/>
          <w:color w:val="1D1D1B"/>
          <w:szCs w:val="24"/>
        </w:rPr>
      </w:pPr>
      <w:r w:rsidRPr="00F34274">
        <w:rPr>
          <w:rFonts w:eastAsia="Arial" w:cs="Arial"/>
          <w:color w:val="1D1D1B"/>
          <w:szCs w:val="24"/>
        </w:rPr>
        <w:t>The table below summarises the data sources and indicators used to inform the final evaluation.</w:t>
      </w:r>
    </w:p>
    <w:p w14:paraId="234BB3D2" w14:textId="649C63F0" w:rsidR="00CD60C2" w:rsidRPr="00F34274" w:rsidRDefault="003C06F0" w:rsidP="003C06F0">
      <w:pPr>
        <w:pStyle w:val="Caption"/>
        <w:rPr>
          <w:rFonts w:eastAsia="Arial" w:cs="Arial"/>
          <w:iCs w:val="0"/>
        </w:rPr>
      </w:pPr>
      <w:r>
        <w:t xml:space="preserve">Table </w:t>
      </w:r>
      <w:r w:rsidR="002728D8">
        <w:fldChar w:fldCharType="begin"/>
      </w:r>
      <w:r w:rsidR="002728D8">
        <w:instrText xml:space="preserve"> SEQ Table \* ARABIC </w:instrText>
      </w:r>
      <w:r w:rsidR="002728D8">
        <w:fldChar w:fldCharType="separate"/>
      </w:r>
      <w:r w:rsidR="00BC412E">
        <w:rPr>
          <w:noProof/>
        </w:rPr>
        <w:t>10</w:t>
      </w:r>
      <w:r w:rsidR="002728D8">
        <w:rPr>
          <w:noProof/>
        </w:rPr>
        <w:fldChar w:fldCharType="end"/>
      </w:r>
      <w:r>
        <w:t xml:space="preserve">: </w:t>
      </w:r>
      <w:r w:rsidRPr="00617F81">
        <w:t xml:space="preserve">Data and Analytical approaches to investigating themes within the </w:t>
      </w:r>
      <w:proofErr w:type="spellStart"/>
      <w:r w:rsidRPr="00617F81">
        <w:t>ToC</w:t>
      </w:r>
      <w:proofErr w:type="spellEnd"/>
      <w:r w:rsidRPr="00617F81">
        <w:t xml:space="preserve"> and accompanying data </w:t>
      </w:r>
      <w:proofErr w:type="gramStart"/>
      <w:r w:rsidRPr="00617F81">
        <w:t>sources</w:t>
      </w:r>
      <w:proofErr w:type="gramEnd"/>
    </w:p>
    <w:tbl>
      <w:tblPr>
        <w:tblStyle w:val="GridTable4-Accent21"/>
        <w:tblW w:w="0" w:type="auto"/>
        <w:tblBorders>
          <w:top w:val="none" w:sz="0" w:space="0" w:color="auto"/>
          <w:left w:val="none" w:sz="0" w:space="0" w:color="auto"/>
          <w:bottom w:val="none" w:sz="0" w:space="0" w:color="auto"/>
          <w:right w:val="none" w:sz="0" w:space="0" w:color="auto"/>
          <w:insideH w:val="single" w:sz="4" w:space="0" w:color="142855" w:themeColor="text2"/>
          <w:insideV w:val="none" w:sz="0" w:space="0" w:color="auto"/>
        </w:tblBorders>
        <w:tblLook w:val="04A0" w:firstRow="1" w:lastRow="0" w:firstColumn="1" w:lastColumn="0" w:noHBand="0" w:noVBand="1"/>
      </w:tblPr>
      <w:tblGrid>
        <w:gridCol w:w="2268"/>
        <w:gridCol w:w="2127"/>
        <w:gridCol w:w="2796"/>
        <w:gridCol w:w="2555"/>
      </w:tblGrid>
      <w:tr w:rsidR="00690670" w:rsidRPr="00F34274" w14:paraId="07E70E7B" w14:textId="77777777" w:rsidTr="00313B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855" w:themeColor="text2"/>
              <w:left w:val="nil"/>
              <w:bottom w:val="single" w:sz="4" w:space="0" w:color="142855" w:themeColor="text2"/>
            </w:tcBorders>
            <w:shd w:val="clear" w:color="auto" w:fill="auto"/>
          </w:tcPr>
          <w:p w14:paraId="680690AE" w14:textId="77777777" w:rsidR="00690670" w:rsidRPr="00682F20" w:rsidRDefault="00690670" w:rsidP="00313B64">
            <w:pPr>
              <w:spacing w:after="0"/>
              <w:rPr>
                <w:rFonts w:eastAsia="Arial" w:cs="Arial"/>
                <w:color w:val="142855"/>
              </w:rPr>
            </w:pPr>
            <w:r w:rsidRPr="00682F20">
              <w:rPr>
                <w:rFonts w:eastAsia="Arial" w:cs="Arial"/>
                <w:color w:val="142855"/>
              </w:rPr>
              <w:t xml:space="preserve">Indicator </w:t>
            </w:r>
          </w:p>
        </w:tc>
        <w:tc>
          <w:tcPr>
            <w:tcW w:w="2127" w:type="dxa"/>
            <w:tcBorders>
              <w:top w:val="single" w:sz="4" w:space="0" w:color="142855" w:themeColor="text2"/>
              <w:bottom w:val="single" w:sz="4" w:space="0" w:color="142855" w:themeColor="text2"/>
            </w:tcBorders>
            <w:shd w:val="clear" w:color="auto" w:fill="auto"/>
          </w:tcPr>
          <w:p w14:paraId="5EE95E2B" w14:textId="77777777" w:rsidR="00690670" w:rsidRPr="00682F20" w:rsidRDefault="00690670" w:rsidP="00313B64">
            <w:pPr>
              <w:spacing w:after="0"/>
              <w:cnfStyle w:val="100000000000" w:firstRow="1" w:lastRow="0" w:firstColumn="0" w:lastColumn="0" w:oddVBand="0" w:evenVBand="0" w:oddHBand="0" w:evenHBand="0" w:firstRowFirstColumn="0" w:firstRowLastColumn="0" w:lastRowFirstColumn="0" w:lastRowLastColumn="0"/>
              <w:rPr>
                <w:rFonts w:eastAsia="Arial" w:cs="Arial"/>
                <w:color w:val="142855"/>
              </w:rPr>
            </w:pPr>
            <w:proofErr w:type="spellStart"/>
            <w:r w:rsidRPr="00682F20">
              <w:rPr>
                <w:rFonts w:eastAsia="Arial" w:cs="Arial"/>
                <w:color w:val="142855"/>
              </w:rPr>
              <w:t>ToC</w:t>
            </w:r>
            <w:proofErr w:type="spellEnd"/>
            <w:r w:rsidRPr="00682F20">
              <w:rPr>
                <w:rFonts w:eastAsia="Arial" w:cs="Arial"/>
                <w:color w:val="142855"/>
              </w:rPr>
              <w:t xml:space="preserve"> Statement </w:t>
            </w:r>
          </w:p>
        </w:tc>
        <w:tc>
          <w:tcPr>
            <w:tcW w:w="2796" w:type="dxa"/>
            <w:tcBorders>
              <w:top w:val="single" w:sz="4" w:space="0" w:color="142855" w:themeColor="text2"/>
              <w:bottom w:val="single" w:sz="4" w:space="0" w:color="142855" w:themeColor="text2"/>
            </w:tcBorders>
            <w:shd w:val="clear" w:color="auto" w:fill="auto"/>
          </w:tcPr>
          <w:p w14:paraId="39CE743C" w14:textId="77777777" w:rsidR="00690670" w:rsidRPr="00682F20" w:rsidRDefault="00690670" w:rsidP="00313B64">
            <w:pPr>
              <w:spacing w:after="0"/>
              <w:cnfStyle w:val="100000000000" w:firstRow="1" w:lastRow="0" w:firstColumn="0" w:lastColumn="0" w:oddVBand="0" w:evenVBand="0" w:oddHBand="0" w:evenHBand="0" w:firstRowFirstColumn="0" w:firstRowLastColumn="0" w:lastRowFirstColumn="0" w:lastRowLastColumn="0"/>
              <w:rPr>
                <w:rFonts w:eastAsia="Arial" w:cs="Arial"/>
                <w:color w:val="142855"/>
              </w:rPr>
            </w:pPr>
            <w:r w:rsidRPr="00682F20">
              <w:rPr>
                <w:rFonts w:eastAsia="Arial" w:cs="Arial"/>
                <w:color w:val="142855"/>
              </w:rPr>
              <w:t xml:space="preserve">Evidence / Data Source(s) </w:t>
            </w:r>
          </w:p>
        </w:tc>
        <w:tc>
          <w:tcPr>
            <w:tcW w:w="2555" w:type="dxa"/>
            <w:tcBorders>
              <w:top w:val="single" w:sz="4" w:space="0" w:color="142855" w:themeColor="text2"/>
              <w:bottom w:val="single" w:sz="4" w:space="0" w:color="142855" w:themeColor="text2"/>
              <w:right w:val="nil"/>
            </w:tcBorders>
            <w:shd w:val="clear" w:color="auto" w:fill="auto"/>
          </w:tcPr>
          <w:p w14:paraId="404DE8C1" w14:textId="77777777" w:rsidR="00690670" w:rsidRPr="00682F20" w:rsidRDefault="00690670" w:rsidP="00313B64">
            <w:pPr>
              <w:spacing w:after="0"/>
              <w:cnfStyle w:val="100000000000" w:firstRow="1" w:lastRow="0" w:firstColumn="0" w:lastColumn="0" w:oddVBand="0" w:evenVBand="0" w:oddHBand="0" w:evenHBand="0" w:firstRowFirstColumn="0" w:firstRowLastColumn="0" w:lastRowFirstColumn="0" w:lastRowLastColumn="0"/>
              <w:rPr>
                <w:rFonts w:eastAsia="Arial" w:cs="Arial"/>
                <w:color w:val="142855"/>
              </w:rPr>
            </w:pPr>
            <w:r w:rsidRPr="00682F20">
              <w:rPr>
                <w:rFonts w:eastAsia="Arial" w:cs="Arial"/>
                <w:color w:val="142855"/>
              </w:rPr>
              <w:t xml:space="preserve">Analysis Approach </w:t>
            </w:r>
          </w:p>
        </w:tc>
      </w:tr>
      <w:tr w:rsidR="00690670" w:rsidRPr="00F34274" w14:paraId="4726E43D"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855" w:themeColor="text2"/>
              <w:bottom w:val="single" w:sz="4" w:space="0" w:color="142855" w:themeColor="text2"/>
            </w:tcBorders>
            <w:shd w:val="clear" w:color="auto" w:fill="auto"/>
          </w:tcPr>
          <w:p w14:paraId="46233A68" w14:textId="77777777" w:rsidR="00690670" w:rsidRPr="00F34274" w:rsidRDefault="00690670" w:rsidP="00313B64">
            <w:pPr>
              <w:spacing w:after="0"/>
              <w:rPr>
                <w:rFonts w:eastAsia="Arial" w:cs="Arial"/>
              </w:rPr>
            </w:pPr>
            <w:r w:rsidRPr="00F34274">
              <w:rPr>
                <w:rFonts w:eastAsia="Arial" w:cs="Arial"/>
              </w:rPr>
              <w:t xml:space="preserve">Outputs </w:t>
            </w:r>
          </w:p>
        </w:tc>
        <w:tc>
          <w:tcPr>
            <w:tcW w:w="2127" w:type="dxa"/>
            <w:tcBorders>
              <w:top w:val="single" w:sz="4" w:space="0" w:color="142855" w:themeColor="text2"/>
              <w:bottom w:val="single" w:sz="4" w:space="0" w:color="142855" w:themeColor="text2"/>
            </w:tcBorders>
            <w:shd w:val="clear" w:color="auto" w:fill="auto"/>
          </w:tcPr>
          <w:p w14:paraId="50848AB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b/>
                <w:bCs/>
                <w:color w:val="FFFFFF"/>
              </w:rPr>
              <w:t xml:space="preserve"> </w:t>
            </w:r>
          </w:p>
        </w:tc>
        <w:tc>
          <w:tcPr>
            <w:tcW w:w="2796" w:type="dxa"/>
            <w:tcBorders>
              <w:top w:val="single" w:sz="4" w:space="0" w:color="142855" w:themeColor="text2"/>
              <w:bottom w:val="single" w:sz="4" w:space="0" w:color="142855" w:themeColor="text2"/>
            </w:tcBorders>
            <w:shd w:val="clear" w:color="auto" w:fill="auto"/>
          </w:tcPr>
          <w:p w14:paraId="07C952CA"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b/>
                <w:bCs/>
                <w:color w:val="FFFFFF"/>
              </w:rPr>
              <w:t xml:space="preserve"> </w:t>
            </w:r>
          </w:p>
        </w:tc>
        <w:tc>
          <w:tcPr>
            <w:tcW w:w="2555" w:type="dxa"/>
            <w:tcBorders>
              <w:top w:val="single" w:sz="4" w:space="0" w:color="142855" w:themeColor="text2"/>
              <w:bottom w:val="single" w:sz="4" w:space="0" w:color="142855" w:themeColor="text2"/>
            </w:tcBorders>
            <w:shd w:val="clear" w:color="auto" w:fill="auto"/>
          </w:tcPr>
          <w:p w14:paraId="5179C27C"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b/>
                <w:bCs/>
                <w:color w:val="FFFFFF"/>
              </w:rPr>
              <w:t xml:space="preserve"> </w:t>
            </w:r>
          </w:p>
        </w:tc>
      </w:tr>
      <w:tr w:rsidR="00690670" w:rsidRPr="00F34274" w14:paraId="0800BA91"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855" w:themeColor="text2"/>
            </w:tcBorders>
            <w:shd w:val="clear" w:color="auto" w:fill="auto"/>
          </w:tcPr>
          <w:p w14:paraId="3A0EE628" w14:textId="77777777" w:rsidR="00690670" w:rsidRPr="00F34274" w:rsidRDefault="00690670" w:rsidP="00313B64">
            <w:pPr>
              <w:spacing w:after="0"/>
              <w:rPr>
                <w:rFonts w:eastAsia="Arial" w:cs="Arial"/>
              </w:rPr>
            </w:pPr>
            <w:r w:rsidRPr="00F34274">
              <w:rPr>
                <w:rFonts w:eastAsia="Arial" w:cs="Arial"/>
              </w:rPr>
              <w:t xml:space="preserve">Requirement to fund </w:t>
            </w:r>
            <w:proofErr w:type="gramStart"/>
            <w:r w:rsidRPr="00F34274">
              <w:rPr>
                <w:rFonts w:eastAsia="Arial" w:cs="Arial"/>
              </w:rPr>
              <w:t>regionally</w:t>
            </w:r>
            <w:proofErr w:type="gramEnd"/>
          </w:p>
          <w:p w14:paraId="68A058E2" w14:textId="77777777" w:rsidR="00690670" w:rsidRPr="00F34274" w:rsidRDefault="00690670" w:rsidP="00313B64">
            <w:pPr>
              <w:spacing w:after="0"/>
              <w:rPr>
                <w:rFonts w:eastAsia="Arial" w:cs="Arial"/>
              </w:rPr>
            </w:pPr>
            <w:r w:rsidRPr="00F34274">
              <w:rPr>
                <w:rFonts w:eastAsia="Arial" w:cs="Arial"/>
              </w:rPr>
              <w:t>Increased awareness of investment opportunities for early-stage businesses</w:t>
            </w:r>
          </w:p>
        </w:tc>
        <w:tc>
          <w:tcPr>
            <w:tcW w:w="2127" w:type="dxa"/>
            <w:tcBorders>
              <w:top w:val="single" w:sz="4" w:space="0" w:color="142855" w:themeColor="text2"/>
            </w:tcBorders>
            <w:shd w:val="clear" w:color="auto" w:fill="auto"/>
          </w:tcPr>
          <w:p w14:paraId="6A7EB376"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Outputs 1 and 2</w:t>
            </w:r>
          </w:p>
        </w:tc>
        <w:tc>
          <w:tcPr>
            <w:tcW w:w="2796" w:type="dxa"/>
            <w:tcBorders>
              <w:top w:val="single" w:sz="4" w:space="0" w:color="142855" w:themeColor="text2"/>
            </w:tcBorders>
            <w:shd w:val="clear" w:color="auto" w:fill="auto"/>
          </w:tcPr>
          <w:p w14:paraId="19B79C26"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Surveys (pilot and full) with funded firms</w:t>
            </w:r>
            <w:r w:rsidRPr="00F34274">
              <w:rPr>
                <w:rFonts w:eastAsia="Arial" w:cs="Arial"/>
                <w:color w:val="881798"/>
              </w:rPr>
              <w:t xml:space="preserve"> </w:t>
            </w:r>
            <w:r w:rsidRPr="00F34274">
              <w:rPr>
                <w:rFonts w:eastAsia="Arial" w:cs="Arial"/>
              </w:rPr>
              <w:t xml:space="preserve">to capture context of funding in their local region and the difference the funding made for them. </w:t>
            </w:r>
          </w:p>
          <w:p w14:paraId="33EE0EF5"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Management and monitoring data to capture company background information (geography, sector, size, demographics) and other relevant monitoring data. </w:t>
            </w:r>
          </w:p>
          <w:p w14:paraId="4EC0ACD6"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Secondary data sources such as the IDBR and </w:t>
            </w:r>
            <w:proofErr w:type="spellStart"/>
            <w:r w:rsidRPr="00F34274">
              <w:rPr>
                <w:rFonts w:eastAsia="Arial" w:cs="Arial"/>
              </w:rPr>
              <w:t>Beauhurst</w:t>
            </w:r>
            <w:proofErr w:type="spellEnd"/>
            <w:r w:rsidRPr="00F34274">
              <w:rPr>
                <w:rFonts w:eastAsia="Arial" w:cs="Arial"/>
              </w:rPr>
              <w:t xml:space="preserve"> database to supplement for matching/linking purposes  </w:t>
            </w:r>
          </w:p>
        </w:tc>
        <w:tc>
          <w:tcPr>
            <w:tcW w:w="2555" w:type="dxa"/>
            <w:tcBorders>
              <w:top w:val="single" w:sz="4" w:space="0" w:color="142855" w:themeColor="text2"/>
            </w:tcBorders>
            <w:shd w:val="clear" w:color="auto" w:fill="auto"/>
          </w:tcPr>
          <w:p w14:paraId="50B373CB"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Analysis statistics of regional spread of funded businesses</w:t>
            </w:r>
          </w:p>
          <w:p w14:paraId="0F6E1BB9"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Comparison of </w:t>
            </w:r>
            <w:proofErr w:type="gramStart"/>
            <w:r w:rsidRPr="00F34274">
              <w:rPr>
                <w:rFonts w:eastAsia="Arial" w:cs="Arial"/>
              </w:rPr>
              <w:t>firms</w:t>
            </w:r>
            <w:proofErr w:type="gramEnd"/>
            <w:r w:rsidRPr="00F34274">
              <w:rPr>
                <w:rFonts w:eastAsia="Arial" w:cs="Arial"/>
              </w:rPr>
              <w:t xml:space="preserve"> counterfactual survey data on awareness/availability of investment opportunities </w:t>
            </w:r>
          </w:p>
          <w:p w14:paraId="0E2A4E0B"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Case Studies outlining individual experience of funded businesses   </w:t>
            </w:r>
          </w:p>
        </w:tc>
      </w:tr>
      <w:tr w:rsidR="00690670" w:rsidRPr="00F34274" w14:paraId="484D119A"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F01F37E" w14:textId="77777777" w:rsidR="00690670" w:rsidRPr="00F34274" w:rsidRDefault="00690670" w:rsidP="00313B64">
            <w:pPr>
              <w:spacing w:after="0"/>
              <w:rPr>
                <w:rFonts w:eastAsia="Arial" w:cs="Arial"/>
              </w:rPr>
            </w:pPr>
            <w:r w:rsidRPr="00F34274">
              <w:rPr>
                <w:rFonts w:eastAsia="Arial" w:cs="Arial"/>
              </w:rPr>
              <w:t xml:space="preserve">Investors allocating finance as agreed under scheme </w:t>
            </w:r>
            <w:proofErr w:type="gramStart"/>
            <w:r w:rsidRPr="00F34274">
              <w:rPr>
                <w:rFonts w:eastAsia="Arial" w:cs="Arial"/>
              </w:rPr>
              <w:t>objectives</w:t>
            </w:r>
            <w:proofErr w:type="gramEnd"/>
            <w:r w:rsidRPr="00F34274">
              <w:rPr>
                <w:rFonts w:eastAsia="Arial" w:cs="Arial"/>
              </w:rPr>
              <w:t xml:space="preserve"> </w:t>
            </w:r>
          </w:p>
          <w:p w14:paraId="28E6DFB3" w14:textId="77777777" w:rsidR="00690670" w:rsidRPr="00F34274" w:rsidRDefault="00690670" w:rsidP="00313B64">
            <w:pPr>
              <w:spacing w:after="0"/>
              <w:rPr>
                <w:rFonts w:eastAsia="Arial" w:cs="Arial"/>
              </w:rPr>
            </w:pPr>
            <w:r w:rsidRPr="00F34274">
              <w:rPr>
                <w:rFonts w:eastAsia="Arial" w:cs="Arial"/>
              </w:rPr>
              <w:lastRenderedPageBreak/>
              <w:t xml:space="preserve">Number of investors / size of deals </w:t>
            </w:r>
          </w:p>
        </w:tc>
        <w:tc>
          <w:tcPr>
            <w:tcW w:w="2127" w:type="dxa"/>
            <w:shd w:val="clear" w:color="auto" w:fill="auto"/>
          </w:tcPr>
          <w:p w14:paraId="3C208EF9"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Outputs 1 and 3 </w:t>
            </w:r>
          </w:p>
        </w:tc>
        <w:tc>
          <w:tcPr>
            <w:tcW w:w="2796" w:type="dxa"/>
            <w:shd w:val="clear" w:color="auto" w:fill="auto"/>
          </w:tcPr>
          <w:p w14:paraId="4819C218"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MI data on size and number of deals and profile of investors funded through RAP. </w:t>
            </w:r>
          </w:p>
          <w:p w14:paraId="1F37F22E" w14:textId="4D19695D"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Investor interviews asked more about issues arising during the application, approvals, </w:t>
            </w:r>
            <w:r w:rsidR="005A7B44" w:rsidRPr="00F34274">
              <w:rPr>
                <w:rFonts w:eastAsia="Arial" w:cs="Arial"/>
              </w:rPr>
              <w:t>rollout,</w:t>
            </w:r>
            <w:r w:rsidRPr="00F34274">
              <w:rPr>
                <w:rFonts w:eastAsia="Arial" w:cs="Arial"/>
              </w:rPr>
              <w:t xml:space="preserve"> and monitoring processes.</w:t>
            </w:r>
          </w:p>
        </w:tc>
        <w:tc>
          <w:tcPr>
            <w:tcW w:w="2555" w:type="dxa"/>
            <w:shd w:val="clear" w:color="auto" w:fill="auto"/>
          </w:tcPr>
          <w:p w14:paraId="405291EC" w14:textId="7889BDF2"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Analysis of investor interviews on questions related to RAP funding </w:t>
            </w:r>
            <w:r w:rsidR="005A7B44" w:rsidRPr="00F34274">
              <w:rPr>
                <w:rFonts w:eastAsia="Arial" w:cs="Arial"/>
              </w:rPr>
              <w:t>allocation.</w:t>
            </w:r>
            <w:r w:rsidRPr="00F34274">
              <w:rPr>
                <w:rFonts w:eastAsia="Arial" w:cs="Arial"/>
              </w:rPr>
              <w:t xml:space="preserve">  </w:t>
            </w:r>
          </w:p>
          <w:p w14:paraId="3AB4E1F4"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Analysis of statistics on profile of businesses funded compared against counterfactual firms, disaggregated by region, size of investment, etc.</w:t>
            </w:r>
          </w:p>
        </w:tc>
      </w:tr>
      <w:tr w:rsidR="00690670" w:rsidRPr="00F34274" w14:paraId="6A122206"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FA9111E" w14:textId="77777777" w:rsidR="00690670" w:rsidRPr="00F34274" w:rsidRDefault="00690670" w:rsidP="00313B64">
            <w:pPr>
              <w:spacing w:after="0"/>
              <w:rPr>
                <w:rFonts w:eastAsia="Arial" w:cs="Arial"/>
              </w:rPr>
            </w:pPr>
            <w:r w:rsidRPr="00F34274">
              <w:rPr>
                <w:rFonts w:eastAsia="Arial" w:cs="Arial"/>
              </w:rPr>
              <w:lastRenderedPageBreak/>
              <w:t xml:space="preserve">Investors positive experience of RAP </w:t>
            </w:r>
          </w:p>
        </w:tc>
        <w:tc>
          <w:tcPr>
            <w:tcW w:w="2127" w:type="dxa"/>
            <w:shd w:val="clear" w:color="auto" w:fill="auto"/>
          </w:tcPr>
          <w:p w14:paraId="24029360"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Output 3 </w:t>
            </w:r>
          </w:p>
        </w:tc>
        <w:tc>
          <w:tcPr>
            <w:tcW w:w="2796" w:type="dxa"/>
            <w:shd w:val="clear" w:color="auto" w:fill="auto"/>
          </w:tcPr>
          <w:p w14:paraId="11DC9DCC"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Investor interviews asked more about issues arising during the application, approvals, </w:t>
            </w:r>
            <w:proofErr w:type="gramStart"/>
            <w:r w:rsidRPr="00F34274">
              <w:rPr>
                <w:rFonts w:eastAsia="Arial" w:cs="Arial"/>
              </w:rPr>
              <w:t>rollout</w:t>
            </w:r>
            <w:proofErr w:type="gramEnd"/>
            <w:r w:rsidRPr="00F34274">
              <w:rPr>
                <w:rFonts w:eastAsia="Arial" w:cs="Arial"/>
              </w:rPr>
              <w:t xml:space="preserve"> and monitoring processes.</w:t>
            </w:r>
          </w:p>
          <w:p w14:paraId="579E5F5E"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Investors interview questions to understand enablers, barriers, and issues encountered. </w:t>
            </w:r>
          </w:p>
        </w:tc>
        <w:tc>
          <w:tcPr>
            <w:tcW w:w="2555" w:type="dxa"/>
            <w:shd w:val="clear" w:color="auto" w:fill="auto"/>
          </w:tcPr>
          <w:p w14:paraId="71BD8531"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Qualitative analysis of interviews</w:t>
            </w:r>
          </w:p>
          <w:p w14:paraId="0EABA629"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Triangulation of qualitative evidence from investors on Programme design and experiences of different aspects (design, application, monitoring, etc.)</w:t>
            </w:r>
          </w:p>
        </w:tc>
      </w:tr>
      <w:tr w:rsidR="00690670" w:rsidRPr="00F34274" w14:paraId="3AECFD02" w14:textId="77777777" w:rsidTr="00313B64">
        <w:trPr>
          <w:cnfStyle w:val="000000100000" w:firstRow="0" w:lastRow="0" w:firstColumn="0" w:lastColumn="0" w:oddVBand="0" w:evenVBand="0" w:oddHBand="1" w:evenHBand="0" w:firstRowFirstColumn="0" w:firstRowLastColumn="0" w:lastRowFirstColumn="0" w:lastRowLastColumn="0"/>
          <w:trHeight w:val="495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B023AF" w14:textId="77777777" w:rsidR="00690670" w:rsidRPr="00F34274" w:rsidRDefault="00690670" w:rsidP="00313B64">
            <w:pPr>
              <w:spacing w:after="0"/>
              <w:rPr>
                <w:rFonts w:eastAsia="Arial" w:cs="Arial"/>
              </w:rPr>
            </w:pPr>
            <w:r w:rsidRPr="00F34274">
              <w:rPr>
                <w:rFonts w:eastAsia="Arial" w:cs="Arial"/>
              </w:rPr>
              <w:t>firms’ satisfaction with support from investors</w:t>
            </w:r>
          </w:p>
          <w:p w14:paraId="0455D2CF" w14:textId="77777777" w:rsidR="00690670" w:rsidRPr="00F34274" w:rsidRDefault="00690670" w:rsidP="00313B64">
            <w:pPr>
              <w:spacing w:after="0"/>
              <w:rPr>
                <w:rFonts w:eastAsia="Arial" w:cs="Arial"/>
              </w:rPr>
            </w:pPr>
            <w:r w:rsidRPr="00F34274">
              <w:rPr>
                <w:rFonts w:eastAsia="Arial" w:cs="Arial"/>
              </w:rPr>
              <w:t xml:space="preserve">Requirement of </w:t>
            </w:r>
            <w:r>
              <w:rPr>
                <w:rFonts w:eastAsia="Arial" w:cs="Arial"/>
              </w:rPr>
              <w:t>a</w:t>
            </w:r>
            <w:r w:rsidRPr="00F34274">
              <w:rPr>
                <w:rFonts w:eastAsia="Arial" w:cs="Arial"/>
              </w:rPr>
              <w:t xml:space="preserve">ngel investors to provide a managed solution </w:t>
            </w:r>
          </w:p>
        </w:tc>
        <w:tc>
          <w:tcPr>
            <w:tcW w:w="2127" w:type="dxa"/>
            <w:shd w:val="clear" w:color="auto" w:fill="auto"/>
          </w:tcPr>
          <w:p w14:paraId="6B8507B1"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Output 4</w:t>
            </w:r>
          </w:p>
        </w:tc>
        <w:tc>
          <w:tcPr>
            <w:tcW w:w="2796" w:type="dxa"/>
            <w:shd w:val="clear" w:color="auto" w:fill="auto"/>
          </w:tcPr>
          <w:p w14:paraId="69850FDA"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Firm survey questions on satisfaction with financial and non-financial support from investors.</w:t>
            </w:r>
          </w:p>
          <w:p w14:paraId="30BE1675"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Key stakeholder interview questions to understand enablers, barriers, and issues encountered in managing a portfolio of investments.</w:t>
            </w:r>
          </w:p>
        </w:tc>
        <w:tc>
          <w:tcPr>
            <w:tcW w:w="2555" w:type="dxa"/>
            <w:shd w:val="clear" w:color="auto" w:fill="auto"/>
          </w:tcPr>
          <w:p w14:paraId="07704E7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Quantitative analysis of survey results</w:t>
            </w:r>
          </w:p>
          <w:p w14:paraId="7A7DE08C"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Triangulation of satisfaction scores across different demographic filters i.e., region, investment size, etc.</w:t>
            </w:r>
          </w:p>
          <w:p w14:paraId="4A1C4E19"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Qualitative analysis of interviews</w:t>
            </w:r>
          </w:p>
        </w:tc>
      </w:tr>
      <w:tr w:rsidR="00690670" w:rsidRPr="00F34274" w14:paraId="600A239D"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tcPr>
          <w:p w14:paraId="30B30D18" w14:textId="77777777" w:rsidR="00690670" w:rsidRPr="00F34274" w:rsidRDefault="00690670" w:rsidP="00313B64">
            <w:pPr>
              <w:spacing w:after="0"/>
              <w:rPr>
                <w:rFonts w:eastAsia="Arial" w:cs="Arial"/>
              </w:rPr>
            </w:pPr>
            <w:r w:rsidRPr="00F34274">
              <w:rPr>
                <w:rFonts w:eastAsia="Arial" w:cs="Arial"/>
              </w:rPr>
              <w:t xml:space="preserve">Short Term Outcomes </w:t>
            </w:r>
          </w:p>
        </w:tc>
      </w:tr>
      <w:tr w:rsidR="00690670" w:rsidRPr="00F34274" w14:paraId="161EC65A" w14:textId="77777777" w:rsidTr="00313B6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0052C55" w14:textId="77777777" w:rsidR="00690670" w:rsidRPr="00F34274" w:rsidRDefault="00690670" w:rsidP="00313B64">
            <w:pPr>
              <w:spacing w:after="0"/>
              <w:rPr>
                <w:rFonts w:eastAsia="Arial" w:cs="Arial"/>
              </w:rPr>
            </w:pPr>
            <w:r w:rsidRPr="00F34274">
              <w:rPr>
                <w:rFonts w:eastAsia="Arial" w:cs="Arial"/>
              </w:rPr>
              <w:t xml:space="preserve">Regional business survival rates increase </w:t>
            </w:r>
            <w:proofErr w:type="gramStart"/>
            <w:r w:rsidRPr="00F34274">
              <w:rPr>
                <w:rFonts w:eastAsia="Arial" w:cs="Arial"/>
              </w:rPr>
              <w:t>as a result of</w:t>
            </w:r>
            <w:proofErr w:type="gramEnd"/>
            <w:r w:rsidRPr="00F34274">
              <w:rPr>
                <w:rFonts w:eastAsia="Arial" w:cs="Arial"/>
              </w:rPr>
              <w:t xml:space="preserve"> additional funding provided </w:t>
            </w:r>
            <w:r w:rsidRPr="00F34274">
              <w:rPr>
                <w:rFonts w:eastAsia="Arial" w:cs="Arial"/>
              </w:rPr>
              <w:lastRenderedPageBreak/>
              <w:t xml:space="preserve">by the RAP scheme </w:t>
            </w:r>
          </w:p>
        </w:tc>
        <w:tc>
          <w:tcPr>
            <w:tcW w:w="2127" w:type="dxa"/>
            <w:shd w:val="clear" w:color="auto" w:fill="auto"/>
          </w:tcPr>
          <w:p w14:paraId="61827ABD"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ST Outcomes 1, 2, 4, 5 &amp; 6 </w:t>
            </w:r>
          </w:p>
        </w:tc>
        <w:tc>
          <w:tcPr>
            <w:tcW w:w="2796" w:type="dxa"/>
            <w:shd w:val="clear" w:color="auto" w:fill="auto"/>
          </w:tcPr>
          <w:p w14:paraId="65AB97E6"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firm survey and counterfactual survey questions on how investor support is used by businesses. </w:t>
            </w:r>
          </w:p>
          <w:p w14:paraId="02EF4832"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Monitoring and management information (Company House Status) and commercial databases such as </w:t>
            </w:r>
            <w:proofErr w:type="spellStart"/>
            <w:r w:rsidRPr="00F34274">
              <w:rPr>
                <w:rFonts w:eastAsia="Arial" w:cs="Arial"/>
              </w:rPr>
              <w:t>Beauhurst</w:t>
            </w:r>
            <w:proofErr w:type="spellEnd"/>
            <w:r w:rsidRPr="00F34274">
              <w:rPr>
                <w:rFonts w:eastAsia="Arial" w:cs="Arial"/>
              </w:rPr>
              <w:t xml:space="preserve"> for both firms funded by RAP and firms in the counterfactual group. </w:t>
            </w:r>
          </w:p>
          <w:p w14:paraId="30B16062"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Macro-economic data, focusing on business statistics. </w:t>
            </w:r>
          </w:p>
        </w:tc>
        <w:tc>
          <w:tcPr>
            <w:tcW w:w="2555" w:type="dxa"/>
            <w:shd w:val="clear" w:color="auto" w:fill="auto"/>
          </w:tcPr>
          <w:p w14:paraId="1FCB6E9E" w14:textId="227E57ED"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Descriptive statistics of firms funded through RAP and business closures in counterfactual group. </w:t>
            </w:r>
            <w:r w:rsidRPr="00F34274">
              <w:rPr>
                <w:rFonts w:eastAsia="Arial" w:cs="Arial"/>
              </w:rPr>
              <w:lastRenderedPageBreak/>
              <w:t xml:space="preserve">KPIs currently available are likely too </w:t>
            </w:r>
            <w:r w:rsidR="005A7B44" w:rsidRPr="00F34274">
              <w:rPr>
                <w:rFonts w:eastAsia="Arial" w:cs="Arial"/>
              </w:rPr>
              <w:t>early stage</w:t>
            </w:r>
            <w:r w:rsidRPr="00F34274">
              <w:rPr>
                <w:rFonts w:eastAsia="Arial" w:cs="Arial"/>
              </w:rPr>
              <w:t xml:space="preserve"> to show any impact on survival rates. Qualitative analysis used to assess impact on survival rates.</w:t>
            </w:r>
          </w:p>
          <w:p w14:paraId="5A5F53CD"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Contribution analysis of evidence on contribution statement explored extent to which RAP prevented business closures. </w:t>
            </w:r>
          </w:p>
        </w:tc>
      </w:tr>
      <w:tr w:rsidR="00690670" w:rsidRPr="00F34274" w14:paraId="247C6BB8"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5AC2D3C" w14:textId="77777777" w:rsidR="00690670" w:rsidRPr="00F34274" w:rsidRDefault="00690670" w:rsidP="00313B64">
            <w:pPr>
              <w:spacing w:after="0"/>
              <w:rPr>
                <w:rFonts w:eastAsia="Arial" w:cs="Arial"/>
              </w:rPr>
            </w:pPr>
            <w:r w:rsidRPr="00F34274">
              <w:rPr>
                <w:rFonts w:eastAsia="Arial" w:cs="Arial"/>
              </w:rPr>
              <w:lastRenderedPageBreak/>
              <w:t xml:space="preserve">Wider benefits experienced by firms (training, access to business expertise) </w:t>
            </w:r>
          </w:p>
        </w:tc>
        <w:tc>
          <w:tcPr>
            <w:tcW w:w="2127" w:type="dxa"/>
            <w:shd w:val="clear" w:color="auto" w:fill="auto"/>
          </w:tcPr>
          <w:p w14:paraId="295015AA"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ST Outcomes 3 and 4</w:t>
            </w:r>
          </w:p>
        </w:tc>
        <w:tc>
          <w:tcPr>
            <w:tcW w:w="2796" w:type="dxa"/>
            <w:shd w:val="clear" w:color="auto" w:fill="auto"/>
          </w:tcPr>
          <w:p w14:paraId="005BDD73"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Firm survey questions on satisfaction with non-financial support from investors and how RAP funding was used.</w:t>
            </w:r>
          </w:p>
          <w:p w14:paraId="5F4B2B37"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Investors / Stakeholders (Trade associations) interview questions on overall impact of RAP funding and portfolio management.</w:t>
            </w:r>
          </w:p>
        </w:tc>
        <w:tc>
          <w:tcPr>
            <w:tcW w:w="2555" w:type="dxa"/>
            <w:shd w:val="clear" w:color="auto" w:fill="auto"/>
          </w:tcPr>
          <w:p w14:paraId="61C5BDCA"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Quantitative analysis of survey data on satisfaction levels of firms with support from </w:t>
            </w:r>
            <w:r>
              <w:rPr>
                <w:rFonts w:eastAsia="Arial" w:cs="Arial"/>
              </w:rPr>
              <w:t>a</w:t>
            </w:r>
            <w:r w:rsidRPr="00F34274">
              <w:rPr>
                <w:rFonts w:eastAsia="Arial" w:cs="Arial"/>
              </w:rPr>
              <w:t>ngel investors.</w:t>
            </w:r>
          </w:p>
          <w:p w14:paraId="7A0ECA51"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Analysis of firm representative interviews on wider benefits of Programme </w:t>
            </w:r>
          </w:p>
          <w:p w14:paraId="247480C3"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Triangulation with qualitative interview data from </w:t>
            </w:r>
            <w:r>
              <w:rPr>
                <w:rFonts w:eastAsia="Arial" w:cs="Arial"/>
              </w:rPr>
              <w:t>a</w:t>
            </w:r>
            <w:r w:rsidRPr="00F34274">
              <w:rPr>
                <w:rFonts w:eastAsia="Arial" w:cs="Arial"/>
              </w:rPr>
              <w:t xml:space="preserve">ngel investors and business associations.  </w:t>
            </w:r>
          </w:p>
        </w:tc>
      </w:tr>
      <w:tr w:rsidR="00690670" w:rsidRPr="00F34274" w14:paraId="0694A7BF"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3D3222" w14:textId="77777777" w:rsidR="00690670" w:rsidRPr="00F34274" w:rsidRDefault="00690670" w:rsidP="00313B64">
            <w:pPr>
              <w:spacing w:after="0"/>
              <w:rPr>
                <w:rFonts w:eastAsia="Arial" w:cs="Arial"/>
              </w:rPr>
            </w:pPr>
            <w:r w:rsidRPr="00F34274">
              <w:rPr>
                <w:rFonts w:eastAsia="Arial" w:cs="Arial"/>
              </w:rPr>
              <w:t xml:space="preserve">Increased awareness of funding opportunities and the early-stage development of a funding ecosystem in underfunded </w:t>
            </w:r>
            <w:r w:rsidRPr="00F34274">
              <w:rPr>
                <w:rFonts w:eastAsia="Arial" w:cs="Arial"/>
              </w:rPr>
              <w:lastRenderedPageBreak/>
              <w:t>regions</w:t>
            </w:r>
          </w:p>
        </w:tc>
        <w:tc>
          <w:tcPr>
            <w:tcW w:w="2127" w:type="dxa"/>
            <w:shd w:val="clear" w:color="auto" w:fill="auto"/>
          </w:tcPr>
          <w:p w14:paraId="4AB91659"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ST Outcomes 1 and 6</w:t>
            </w:r>
          </w:p>
        </w:tc>
        <w:tc>
          <w:tcPr>
            <w:tcW w:w="2796" w:type="dxa"/>
            <w:shd w:val="clear" w:color="auto" w:fill="auto"/>
          </w:tcPr>
          <w:p w14:paraId="399B1F9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Firm survey and counterfactual survey questions on their awareness of any other available ‘early- stage’ support, whether it was used or not, and why.</w:t>
            </w:r>
          </w:p>
          <w:p w14:paraId="5C25F874" w14:textId="77777777" w:rsidR="00690670"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Policy Stakeholders </w:t>
            </w:r>
            <w:r w:rsidRPr="00F34274">
              <w:rPr>
                <w:rFonts w:eastAsia="Arial" w:cs="Arial"/>
              </w:rPr>
              <w:lastRenderedPageBreak/>
              <w:t>interview questions on ability to source funding from other private investors and how funding was used by funded businesses.</w:t>
            </w:r>
          </w:p>
          <w:p w14:paraId="0F1698E1" w14:textId="161A21F1"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c>
          <w:tcPr>
            <w:tcW w:w="2555" w:type="dxa"/>
            <w:shd w:val="clear" w:color="auto" w:fill="auto"/>
          </w:tcPr>
          <w:p w14:paraId="70F3A0BD" w14:textId="5D47943B"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Quantitative analysis of firm and counterfactual survey data to establish increased awareness of early-stage funding </w:t>
            </w:r>
            <w:r w:rsidR="005A7B44" w:rsidRPr="00F34274">
              <w:rPr>
                <w:rFonts w:eastAsia="Arial" w:cs="Arial"/>
              </w:rPr>
              <w:t>options.</w:t>
            </w:r>
          </w:p>
          <w:p w14:paraId="4D6A6AEB"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Contribution analysis- assessment of the </w:t>
            </w:r>
            <w:r w:rsidRPr="00F34274">
              <w:rPr>
                <w:rFonts w:eastAsia="Arial" w:cs="Arial"/>
              </w:rPr>
              <w:lastRenderedPageBreak/>
              <w:t xml:space="preserve">extent to which RAP contributing to any increased awareness of other supports </w:t>
            </w:r>
          </w:p>
        </w:tc>
      </w:tr>
      <w:tr w:rsidR="00690670" w:rsidRPr="00F34274" w14:paraId="1BD25651"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tcPr>
          <w:p w14:paraId="0FF3ECDB" w14:textId="77777777" w:rsidR="00690670" w:rsidRPr="00F34274" w:rsidRDefault="00690670" w:rsidP="00313B64">
            <w:pPr>
              <w:spacing w:after="0"/>
              <w:rPr>
                <w:rFonts w:eastAsia="Arial" w:cs="Arial"/>
              </w:rPr>
            </w:pPr>
            <w:r w:rsidRPr="00F34274">
              <w:rPr>
                <w:rFonts w:eastAsia="Arial" w:cs="Arial"/>
              </w:rPr>
              <w:lastRenderedPageBreak/>
              <w:t xml:space="preserve">Longer Term Outcomes </w:t>
            </w:r>
            <w:r>
              <w:rPr>
                <w:rFonts w:eastAsia="Arial" w:cs="Arial"/>
              </w:rPr>
              <w:t>and Impacts</w:t>
            </w:r>
          </w:p>
        </w:tc>
      </w:tr>
      <w:tr w:rsidR="00690670" w:rsidRPr="00F34274" w14:paraId="290EAD5A"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F462336" w14:textId="77777777" w:rsidR="00690670" w:rsidRPr="00F34274" w:rsidRDefault="00690670" w:rsidP="00313B64">
            <w:pPr>
              <w:spacing w:after="0"/>
              <w:rPr>
                <w:rFonts w:eastAsia="Arial" w:cs="Arial"/>
              </w:rPr>
            </w:pPr>
            <w:r w:rsidRPr="00F34274">
              <w:rPr>
                <w:rFonts w:eastAsia="Arial" w:cs="Arial"/>
              </w:rPr>
              <w:t xml:space="preserve">Less demand for schemes like RAP due to the development of a functioning </w:t>
            </w:r>
            <w:r>
              <w:rPr>
                <w:rFonts w:eastAsia="Arial" w:cs="Arial"/>
              </w:rPr>
              <w:t>a</w:t>
            </w:r>
            <w:r w:rsidRPr="00F34274">
              <w:rPr>
                <w:rFonts w:eastAsia="Arial" w:cs="Arial"/>
              </w:rPr>
              <w:t>ngel funding ecosystem in underrepresented regions</w:t>
            </w:r>
          </w:p>
        </w:tc>
        <w:tc>
          <w:tcPr>
            <w:tcW w:w="2127" w:type="dxa"/>
            <w:shd w:val="clear" w:color="auto" w:fill="auto"/>
          </w:tcPr>
          <w:p w14:paraId="70C1BAE3"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LT Outcome 3, 4 and 10</w:t>
            </w:r>
          </w:p>
        </w:tc>
        <w:tc>
          <w:tcPr>
            <w:tcW w:w="2796" w:type="dxa"/>
            <w:shd w:val="clear" w:color="auto" w:fill="auto"/>
          </w:tcPr>
          <w:p w14:paraId="532B827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firm survey questions on legacy of RAP.</w:t>
            </w:r>
          </w:p>
          <w:p w14:paraId="4737D2C9"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Investors / Stakeholders (Trade associations) interview questions on legacy of RAP.</w:t>
            </w:r>
          </w:p>
          <w:p w14:paraId="439E4987"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MI data on size of deals and number and profile of investors funded through RAP including firm-level financial statements where needed.</w:t>
            </w:r>
          </w:p>
          <w:p w14:paraId="2A779816" w14:textId="35CDB558"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Macro-economic data: ONS, IDBR, Orbis to assess financial indicators and relevant KPIs</w:t>
            </w:r>
            <w:r w:rsidR="00F837F7" w:rsidRPr="00F34274">
              <w:rPr>
                <w:rFonts w:eastAsia="Arial" w:cs="Arial"/>
              </w:rPr>
              <w:t xml:space="preserve">. </w:t>
            </w:r>
          </w:p>
        </w:tc>
        <w:tc>
          <w:tcPr>
            <w:tcW w:w="2555" w:type="dxa"/>
            <w:shd w:val="clear" w:color="auto" w:fill="auto"/>
          </w:tcPr>
          <w:p w14:paraId="491247E1"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Case Studies of businesses funded through RAP in underfunded areas showing multiple funding rounds and those that are participating in fewer Government schemes in the more recent years for funding purposes.</w:t>
            </w:r>
          </w:p>
          <w:p w14:paraId="5D5C4BF1" w14:textId="2D313F08"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Descriptive statistics of returns on investment, follow-on funding and reach of RAP funding in UK regions. KPIs currently available are likely too </w:t>
            </w:r>
            <w:r w:rsidR="005A7B44" w:rsidRPr="00F34274">
              <w:rPr>
                <w:rFonts w:eastAsia="Arial" w:cs="Arial"/>
              </w:rPr>
              <w:t>early stage</w:t>
            </w:r>
            <w:r w:rsidRPr="00F34274">
              <w:rPr>
                <w:rFonts w:eastAsia="Arial" w:cs="Arial"/>
              </w:rPr>
              <w:t xml:space="preserve"> to show any impact in closing the demand gap. Qualitative analysis used to assess the impact of changes in investment demand and supply.</w:t>
            </w:r>
          </w:p>
          <w:p w14:paraId="38DA4826"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Contribution analysis triangulating evidence </w:t>
            </w:r>
            <w:r w:rsidRPr="00F34274">
              <w:rPr>
                <w:rFonts w:eastAsia="Arial" w:cs="Arial"/>
              </w:rPr>
              <w:lastRenderedPageBreak/>
              <w:t xml:space="preserve">around regional impact of RAP and extent to which it prevented businesses from closing </w:t>
            </w:r>
          </w:p>
        </w:tc>
      </w:tr>
      <w:tr w:rsidR="00690670" w:rsidRPr="00F34274" w14:paraId="18BE902E"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31D1D7A" w14:textId="77777777" w:rsidR="00690670" w:rsidRPr="00F34274" w:rsidRDefault="00690670" w:rsidP="00313B64">
            <w:pPr>
              <w:spacing w:after="0"/>
              <w:rPr>
                <w:rFonts w:eastAsia="Arial" w:cs="Arial"/>
              </w:rPr>
            </w:pPr>
            <w:r w:rsidRPr="00F34274">
              <w:rPr>
                <w:rFonts w:eastAsia="Arial" w:cs="Arial"/>
              </w:rPr>
              <w:lastRenderedPageBreak/>
              <w:t>Generate a market rate of return for British Business Bank/ British Business Investments</w:t>
            </w:r>
          </w:p>
        </w:tc>
        <w:tc>
          <w:tcPr>
            <w:tcW w:w="2127" w:type="dxa"/>
            <w:shd w:val="clear" w:color="auto" w:fill="auto"/>
          </w:tcPr>
          <w:p w14:paraId="7F00AB9B"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LT Outcome 1 </w:t>
            </w:r>
          </w:p>
        </w:tc>
        <w:tc>
          <w:tcPr>
            <w:tcW w:w="2796" w:type="dxa"/>
            <w:shd w:val="clear" w:color="auto" w:fill="auto"/>
          </w:tcPr>
          <w:p w14:paraId="57C454CA"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Firm survey and counterfactual survey questions on rate of return and financial information.</w:t>
            </w:r>
          </w:p>
          <w:p w14:paraId="21F5B069"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r w:rsidRPr="00F34274">
              <w:rPr>
                <w:rFonts w:eastAsia="Arial" w:cs="Arial"/>
              </w:rPr>
              <w:t xml:space="preserve">, Capital IQ, Companies House, Pitchbook, Zephyr to assess pre- and post-investment activity. </w:t>
            </w:r>
          </w:p>
          <w:p w14:paraId="697D7C9E"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Investor interviews to understand the focus/conditions of any follow-on investment raised. </w:t>
            </w:r>
          </w:p>
        </w:tc>
        <w:tc>
          <w:tcPr>
            <w:tcW w:w="2555" w:type="dxa"/>
            <w:shd w:val="clear" w:color="auto" w:fill="auto"/>
          </w:tcPr>
          <w:p w14:paraId="0E229663"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Descriptive statistics on average rate of return across all RAP investments and disaggregated by region, type of organisation, etc. </w:t>
            </w:r>
          </w:p>
          <w:p w14:paraId="5FF01766"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c</w:t>
            </w:r>
            <w:r w:rsidRPr="00F34274">
              <w:rPr>
                <w:rFonts w:eastAsia="Arial" w:cs="Arial"/>
              </w:rPr>
              <w:t xml:space="preserve">ase studies of </w:t>
            </w:r>
            <w:r>
              <w:rPr>
                <w:rFonts w:eastAsia="Arial" w:cs="Arial"/>
              </w:rPr>
              <w:t>a</w:t>
            </w:r>
            <w:r w:rsidRPr="00F34274">
              <w:rPr>
                <w:rFonts w:eastAsia="Arial" w:cs="Arial"/>
              </w:rPr>
              <w:t>ngel investors with successful rate of return on their investments</w:t>
            </w:r>
          </w:p>
        </w:tc>
      </w:tr>
      <w:tr w:rsidR="00690670" w:rsidRPr="00F34274" w14:paraId="29B1BBAD"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1ADEC4E" w14:textId="77777777" w:rsidR="00690670" w:rsidRPr="00F34274" w:rsidRDefault="00690670" w:rsidP="00313B64">
            <w:pPr>
              <w:spacing w:after="0"/>
              <w:rPr>
                <w:rFonts w:eastAsia="Arial" w:cs="Arial"/>
              </w:rPr>
            </w:pPr>
            <w:r w:rsidRPr="00F34274">
              <w:rPr>
                <w:rFonts w:eastAsia="Arial" w:cs="Arial"/>
              </w:rPr>
              <w:t xml:space="preserve">Increased regional productivity </w:t>
            </w:r>
            <w:proofErr w:type="gramStart"/>
            <w:r w:rsidRPr="00F34274">
              <w:rPr>
                <w:rFonts w:eastAsia="Arial" w:cs="Arial"/>
              </w:rPr>
              <w:t>gains</w:t>
            </w:r>
            <w:proofErr w:type="gramEnd"/>
          </w:p>
          <w:p w14:paraId="684F63FF" w14:textId="77777777" w:rsidR="00690670" w:rsidRPr="00F34274" w:rsidRDefault="00690670" w:rsidP="00313B64">
            <w:pPr>
              <w:spacing w:after="0"/>
              <w:rPr>
                <w:rFonts w:eastAsia="Arial" w:cs="Arial"/>
              </w:rPr>
            </w:pPr>
            <w:r w:rsidRPr="00F34274">
              <w:rPr>
                <w:rFonts w:eastAsia="Arial" w:cs="Arial"/>
              </w:rPr>
              <w:t>Increased regional employment opportunities</w:t>
            </w:r>
          </w:p>
        </w:tc>
        <w:tc>
          <w:tcPr>
            <w:tcW w:w="2127" w:type="dxa"/>
            <w:shd w:val="clear" w:color="auto" w:fill="auto"/>
          </w:tcPr>
          <w:p w14:paraId="48BC0A8C"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LT Outcomes 6-8</w:t>
            </w:r>
          </w:p>
        </w:tc>
        <w:tc>
          <w:tcPr>
            <w:tcW w:w="2796" w:type="dxa"/>
            <w:shd w:val="clear" w:color="auto" w:fill="auto"/>
          </w:tcPr>
          <w:p w14:paraId="70ED7FB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firm survey and counterfactual survey questions on rate of return and financial and employment information.</w:t>
            </w:r>
          </w:p>
          <w:p w14:paraId="6248732E"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Investor interviews to assess changes in regional productivity. </w:t>
            </w:r>
          </w:p>
          <w:p w14:paraId="10778973"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MI data on size of deals and number and profile of investors funded through RAP including firm-level financial statements where needed.</w:t>
            </w:r>
          </w:p>
          <w:p w14:paraId="54E0BD2B"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r w:rsidRPr="00F34274">
              <w:rPr>
                <w:rFonts w:eastAsia="Arial" w:cs="Arial"/>
              </w:rPr>
              <w:t xml:space="preserve">, Capital IQ, Companies House, Pitchbook, Zephyr to </w:t>
            </w:r>
            <w:r w:rsidRPr="00F34274">
              <w:rPr>
                <w:rFonts w:eastAsia="Arial" w:cs="Arial"/>
              </w:rPr>
              <w:lastRenderedPageBreak/>
              <w:t xml:space="preserve">assess pre- and post-investment activity. </w:t>
            </w:r>
          </w:p>
        </w:tc>
        <w:tc>
          <w:tcPr>
            <w:tcW w:w="2555" w:type="dxa"/>
            <w:shd w:val="clear" w:color="auto" w:fill="auto"/>
          </w:tcPr>
          <w:p w14:paraId="4CC603E5"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 xml:space="preserve">Analysis of employment created regionally by funded companies compared to sample of not funded companies, data permitting. </w:t>
            </w:r>
          </w:p>
          <w:p w14:paraId="639049E5"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Econometric modelling of key economic KPIs, such as turnover. </w:t>
            </w:r>
          </w:p>
          <w:p w14:paraId="316FD10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Qualitative analysis of firm and counterfactual surveys responses, and investor interviews from the business impact section. </w:t>
            </w:r>
          </w:p>
        </w:tc>
      </w:tr>
      <w:tr w:rsidR="00690670" w:rsidRPr="00F34274" w14:paraId="1E93FCFE"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279AB0D" w14:textId="77777777" w:rsidR="00690670" w:rsidRPr="00F34274" w:rsidRDefault="00690670" w:rsidP="00313B64">
            <w:pPr>
              <w:spacing w:after="0"/>
              <w:rPr>
                <w:rFonts w:eastAsia="Arial" w:cs="Arial"/>
              </w:rPr>
            </w:pPr>
            <w:r w:rsidRPr="00F34274">
              <w:rPr>
                <w:rFonts w:eastAsia="Arial" w:cs="Arial"/>
              </w:rPr>
              <w:t xml:space="preserve">Increase in internationally competitive goods and services from regions outside of London and the </w:t>
            </w:r>
            <w:proofErr w:type="gramStart"/>
            <w:r w:rsidRPr="00F34274">
              <w:rPr>
                <w:rFonts w:eastAsia="Arial" w:cs="Arial"/>
              </w:rPr>
              <w:t>South East</w:t>
            </w:r>
            <w:proofErr w:type="gramEnd"/>
          </w:p>
        </w:tc>
        <w:tc>
          <w:tcPr>
            <w:tcW w:w="2127" w:type="dxa"/>
            <w:shd w:val="clear" w:color="auto" w:fill="auto"/>
          </w:tcPr>
          <w:p w14:paraId="30A3C4FA"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LT Outcome 7 and 8</w:t>
            </w:r>
          </w:p>
        </w:tc>
        <w:tc>
          <w:tcPr>
            <w:tcW w:w="2796" w:type="dxa"/>
            <w:shd w:val="clear" w:color="auto" w:fill="auto"/>
          </w:tcPr>
          <w:p w14:paraId="15C86797"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HMRC (Overseas Trade Statistics), </w:t>
            </w:r>
            <w:proofErr w:type="spellStart"/>
            <w:r w:rsidRPr="00F34274">
              <w:rPr>
                <w:rFonts w:eastAsia="Arial" w:cs="Arial"/>
              </w:rPr>
              <w:t>Beauhurst</w:t>
            </w:r>
            <w:proofErr w:type="spellEnd"/>
            <w:r w:rsidRPr="00F34274">
              <w:rPr>
                <w:rFonts w:eastAsia="Arial" w:cs="Arial"/>
              </w:rPr>
              <w:t xml:space="preserve"> and (potentially) Companies House.</w:t>
            </w:r>
          </w:p>
        </w:tc>
        <w:tc>
          <w:tcPr>
            <w:tcW w:w="2555" w:type="dxa"/>
            <w:shd w:val="clear" w:color="auto" w:fill="auto"/>
          </w:tcPr>
          <w:p w14:paraId="443ACB3F"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Descriptive statistics on HMRC (Overseas Trade Statistics) and potentially other secondary data sources (given data availability) to assess the absolute change in regional international trade.  </w:t>
            </w:r>
          </w:p>
        </w:tc>
      </w:tr>
      <w:tr w:rsidR="00690670" w:rsidRPr="00F34274" w14:paraId="52BB7B6B" w14:textId="77777777" w:rsidTr="00313B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5D4C3B" w14:textId="77777777" w:rsidR="00690670" w:rsidRPr="00F34274" w:rsidRDefault="00690670" w:rsidP="00313B64">
            <w:pPr>
              <w:spacing w:after="0"/>
              <w:rPr>
                <w:rFonts w:eastAsia="Arial" w:cs="Arial"/>
              </w:rPr>
            </w:pPr>
            <w:r w:rsidRPr="00F34274">
              <w:rPr>
                <w:rFonts w:eastAsia="Arial" w:cs="Arial"/>
              </w:rPr>
              <w:t>Regional improvements in environmental and social technologies</w:t>
            </w:r>
          </w:p>
        </w:tc>
        <w:tc>
          <w:tcPr>
            <w:tcW w:w="2127" w:type="dxa"/>
            <w:shd w:val="clear" w:color="auto" w:fill="auto"/>
          </w:tcPr>
          <w:p w14:paraId="4C423080"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LT Outcome 9</w:t>
            </w:r>
          </w:p>
        </w:tc>
        <w:tc>
          <w:tcPr>
            <w:tcW w:w="2796" w:type="dxa"/>
            <w:shd w:val="clear" w:color="auto" w:fill="auto"/>
          </w:tcPr>
          <w:p w14:paraId="224B79C4"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Firm survey and counterfactual survey questions on how investor support is used by businesses.</w:t>
            </w:r>
          </w:p>
          <w:p w14:paraId="448B10D2"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r w:rsidRPr="00F34274">
              <w:rPr>
                <w:rFonts w:eastAsia="Arial" w:cs="Arial"/>
              </w:rPr>
              <w:t xml:space="preserve"> and Companies House. </w:t>
            </w:r>
          </w:p>
          <w:p w14:paraId="2611201B"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Investor interviews questions on how funded firms used their funding and overall impact of RAP.</w:t>
            </w:r>
          </w:p>
        </w:tc>
        <w:tc>
          <w:tcPr>
            <w:tcW w:w="2555" w:type="dxa"/>
            <w:shd w:val="clear" w:color="auto" w:fill="auto"/>
          </w:tcPr>
          <w:p w14:paraId="7A098126"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Analysis of survey data and public data sources to assess wider levels of R&amp;D investment across different sectors and geographies.</w:t>
            </w:r>
          </w:p>
          <w:p w14:paraId="59AC8ABC"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Qualitative analysis of investor interviews where questions were asked around investment strategies.  </w:t>
            </w:r>
          </w:p>
          <w:p w14:paraId="4B5338EB" w14:textId="77777777" w:rsidR="00690670" w:rsidRPr="00F34274" w:rsidRDefault="00690670" w:rsidP="00313B64">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690670" w:rsidRPr="00F34274" w14:paraId="54A1A042" w14:textId="77777777" w:rsidTr="00313B64">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D7A8EDC" w14:textId="77777777" w:rsidR="00690670" w:rsidRPr="00F34274" w:rsidRDefault="00690670" w:rsidP="00313B64">
            <w:pPr>
              <w:spacing w:after="0"/>
              <w:rPr>
                <w:rFonts w:eastAsia="Arial" w:cs="Arial"/>
              </w:rPr>
            </w:pPr>
            <w:r w:rsidRPr="00F34274">
              <w:rPr>
                <w:rFonts w:eastAsia="Arial" w:cs="Arial"/>
              </w:rPr>
              <w:t xml:space="preserve">Increase of professionalism of Angel investing across the UK </w:t>
            </w:r>
          </w:p>
        </w:tc>
        <w:tc>
          <w:tcPr>
            <w:tcW w:w="2127" w:type="dxa"/>
            <w:shd w:val="clear" w:color="auto" w:fill="auto"/>
          </w:tcPr>
          <w:p w14:paraId="61C789B4"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LT Outcome 2 - 4</w:t>
            </w:r>
          </w:p>
        </w:tc>
        <w:tc>
          <w:tcPr>
            <w:tcW w:w="2796" w:type="dxa"/>
            <w:shd w:val="clear" w:color="auto" w:fill="auto"/>
          </w:tcPr>
          <w:p w14:paraId="3EFA9AED"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Firm survey and counterfactual survey questions on companies’ views of </w:t>
            </w:r>
            <w:r>
              <w:rPr>
                <w:rFonts w:eastAsia="Arial" w:cs="Arial"/>
              </w:rPr>
              <w:t>a</w:t>
            </w:r>
            <w:r w:rsidRPr="00F34274">
              <w:rPr>
                <w:rFonts w:eastAsia="Arial" w:cs="Arial"/>
              </w:rPr>
              <w:t>ngel investors.</w:t>
            </w:r>
          </w:p>
          <w:p w14:paraId="2F165C73"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Stakeholder interview questions on overall impact of RAP.</w:t>
            </w:r>
          </w:p>
        </w:tc>
        <w:tc>
          <w:tcPr>
            <w:tcW w:w="2555" w:type="dxa"/>
            <w:shd w:val="clear" w:color="auto" w:fill="auto"/>
          </w:tcPr>
          <w:p w14:paraId="07E58644"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Descriptive statistics around Angel investment in underfunded regions and of co-investment from other private sources.</w:t>
            </w:r>
          </w:p>
          <w:p w14:paraId="0B5C940E"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Quantitative analysis of survey data on firms’ experience with investors.</w:t>
            </w:r>
          </w:p>
          <w:p w14:paraId="79A89D25" w14:textId="77777777" w:rsidR="00690670" w:rsidRPr="00F34274" w:rsidRDefault="00690670" w:rsidP="00313B64">
            <w:pPr>
              <w:spacing w:after="0"/>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Contribution analysis triangulating </w:t>
            </w:r>
            <w:r w:rsidRPr="00F34274">
              <w:rPr>
                <w:rFonts w:eastAsia="Arial" w:cs="Arial"/>
              </w:rPr>
              <w:lastRenderedPageBreak/>
              <w:t xml:space="preserve">quantitative and qualitative data from interviews to show contribution of RAP to increasing professionalism of </w:t>
            </w:r>
            <w:r>
              <w:rPr>
                <w:rFonts w:eastAsia="Arial" w:cs="Arial"/>
              </w:rPr>
              <w:t>a</w:t>
            </w:r>
            <w:r w:rsidRPr="00F34274">
              <w:rPr>
                <w:rFonts w:eastAsia="Arial" w:cs="Arial"/>
              </w:rPr>
              <w:t>ngel investing.</w:t>
            </w:r>
          </w:p>
        </w:tc>
      </w:tr>
    </w:tbl>
    <w:p w14:paraId="21888377" w14:textId="77777777" w:rsidR="00CD60C2" w:rsidRDefault="00CD60C2" w:rsidP="00957DB2">
      <w:pPr>
        <w:rPr>
          <w:rFonts w:eastAsia="Arial" w:cs="Arial"/>
        </w:rPr>
      </w:pPr>
    </w:p>
    <w:p w14:paraId="0CDE4F71" w14:textId="77777777" w:rsidR="00A5531C" w:rsidRDefault="00A5531C" w:rsidP="00957DB2">
      <w:pPr>
        <w:rPr>
          <w:rFonts w:eastAsia="Arial" w:cs="Arial"/>
        </w:rPr>
      </w:pPr>
    </w:p>
    <w:p w14:paraId="4E0F96F6" w14:textId="77777777" w:rsidR="00A5531C" w:rsidRDefault="00A5531C" w:rsidP="00957DB2">
      <w:pPr>
        <w:rPr>
          <w:rFonts w:eastAsia="Arial" w:cs="Arial"/>
        </w:rPr>
      </w:pPr>
    </w:p>
    <w:p w14:paraId="7BA45A62" w14:textId="77777777" w:rsidR="00A5531C" w:rsidRDefault="00A5531C" w:rsidP="00957DB2">
      <w:pPr>
        <w:rPr>
          <w:rFonts w:eastAsia="Arial" w:cs="Arial"/>
        </w:rPr>
      </w:pPr>
    </w:p>
    <w:p w14:paraId="69819919" w14:textId="77777777" w:rsidR="00A5531C" w:rsidRDefault="00A5531C" w:rsidP="00957DB2">
      <w:pPr>
        <w:rPr>
          <w:rFonts w:eastAsia="Arial" w:cs="Arial"/>
        </w:rPr>
      </w:pPr>
    </w:p>
    <w:p w14:paraId="4324CF78" w14:textId="77777777" w:rsidR="00A5531C" w:rsidRDefault="00A5531C" w:rsidP="00957DB2">
      <w:pPr>
        <w:rPr>
          <w:rFonts w:eastAsia="Arial" w:cs="Arial"/>
        </w:rPr>
      </w:pPr>
    </w:p>
    <w:p w14:paraId="6CE60966" w14:textId="77777777" w:rsidR="00A5531C" w:rsidRDefault="00A5531C" w:rsidP="00957DB2">
      <w:pPr>
        <w:rPr>
          <w:rFonts w:eastAsia="Arial" w:cs="Arial"/>
        </w:rPr>
      </w:pPr>
    </w:p>
    <w:p w14:paraId="4536EF9E" w14:textId="77777777" w:rsidR="00A5531C" w:rsidRDefault="00A5531C" w:rsidP="00957DB2">
      <w:pPr>
        <w:rPr>
          <w:rFonts w:eastAsia="Arial" w:cs="Arial"/>
        </w:rPr>
      </w:pPr>
    </w:p>
    <w:p w14:paraId="781057F9" w14:textId="77777777" w:rsidR="00A5531C" w:rsidRDefault="00A5531C" w:rsidP="00957DB2">
      <w:pPr>
        <w:rPr>
          <w:rFonts w:eastAsia="Arial" w:cs="Arial"/>
        </w:rPr>
      </w:pPr>
    </w:p>
    <w:p w14:paraId="66DA55D8" w14:textId="77777777" w:rsidR="00A5531C" w:rsidRDefault="00A5531C" w:rsidP="00957DB2">
      <w:pPr>
        <w:rPr>
          <w:rFonts w:eastAsia="Arial" w:cs="Arial"/>
        </w:rPr>
      </w:pPr>
    </w:p>
    <w:p w14:paraId="5C1F90BB" w14:textId="77777777" w:rsidR="005A7B44" w:rsidRDefault="005A7B44" w:rsidP="00957DB2">
      <w:pPr>
        <w:rPr>
          <w:rFonts w:eastAsia="Arial" w:cs="Arial"/>
        </w:rPr>
      </w:pPr>
    </w:p>
    <w:p w14:paraId="29AA78C6" w14:textId="77777777" w:rsidR="005A7B44" w:rsidRDefault="005A7B44" w:rsidP="00957DB2">
      <w:pPr>
        <w:rPr>
          <w:rFonts w:eastAsia="Arial" w:cs="Arial"/>
        </w:rPr>
      </w:pPr>
    </w:p>
    <w:p w14:paraId="4275417E" w14:textId="77777777" w:rsidR="005A7B44" w:rsidRDefault="005A7B44" w:rsidP="00957DB2">
      <w:pPr>
        <w:rPr>
          <w:rFonts w:eastAsia="Arial" w:cs="Arial"/>
        </w:rPr>
      </w:pPr>
    </w:p>
    <w:p w14:paraId="73C284BD" w14:textId="77777777" w:rsidR="005A7B44" w:rsidRDefault="005A7B44" w:rsidP="00957DB2">
      <w:pPr>
        <w:rPr>
          <w:rFonts w:eastAsia="Arial" w:cs="Arial"/>
        </w:rPr>
      </w:pPr>
    </w:p>
    <w:p w14:paraId="22A0C102" w14:textId="77777777" w:rsidR="00784475" w:rsidRPr="00F34274" w:rsidRDefault="00784475" w:rsidP="00957DB2">
      <w:pPr>
        <w:rPr>
          <w:rFonts w:eastAsia="Arial" w:cs="Arial"/>
        </w:rPr>
      </w:pPr>
    </w:p>
    <w:p w14:paraId="33043FD7" w14:textId="77777777" w:rsidR="00A5531C" w:rsidRPr="00F34274" w:rsidRDefault="00A5531C" w:rsidP="00784475">
      <w:pPr>
        <w:pStyle w:val="Heading2"/>
        <w:rPr>
          <w:color w:val="142855"/>
        </w:rPr>
      </w:pPr>
      <w:bookmarkStart w:id="256" w:name="_Toc136592090"/>
      <w:bookmarkStart w:id="257" w:name="_Toc144830591"/>
      <w:bookmarkStart w:id="258" w:name="_Toc165482247"/>
      <w:bookmarkStart w:id="259" w:name="_Toc165497212"/>
      <w:bookmarkStart w:id="260" w:name="_Toc2132354985"/>
      <w:r w:rsidRPr="30446D7F">
        <w:lastRenderedPageBreak/>
        <w:t xml:space="preserve">Annex D: Regional Angels Programme funded firms Management Information (MI) data </w:t>
      </w:r>
      <w:proofErr w:type="gramStart"/>
      <w:r w:rsidRPr="30446D7F">
        <w:t>analysis</w:t>
      </w:r>
      <w:bookmarkEnd w:id="256"/>
      <w:bookmarkEnd w:id="257"/>
      <w:bookmarkEnd w:id="258"/>
      <w:bookmarkEnd w:id="259"/>
      <w:proofErr w:type="gramEnd"/>
    </w:p>
    <w:p w14:paraId="4511FC4A"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t>D.1 Introduction</w:t>
      </w:r>
    </w:p>
    <w:p w14:paraId="5E086CE9" w14:textId="77777777" w:rsidR="00A5531C" w:rsidRPr="00F34274" w:rsidRDefault="00A5531C" w:rsidP="00A5531C">
      <w:pPr>
        <w:spacing w:after="160"/>
        <w:rPr>
          <w:rFonts w:eastAsia="Arial" w:cs="Arial"/>
        </w:rPr>
      </w:pPr>
      <w:r w:rsidRPr="00F34274">
        <w:rPr>
          <w:rFonts w:eastAsia="Arial" w:cs="Arial"/>
        </w:rPr>
        <w:t xml:space="preserve">Analysing the portfolio companies that have received funding through the RAP contributes to the impact analysis, as well as feeding into the development of sample filters required for the counterfactual and firm surveys, and the linking to other databases containing secondary data such as the IDBR. Throughout this section, we provide key insights on the financial and non-financial characteristics of the RAP portfolio companies. Some of the characteristics we’ll be looking to include may cover stave of evolution; industry, sector; geography etc. This insight can also be used to drive forward the report’s economic narrative, in terms of the direct contribution of the RAP to the UK economy, especially the regional distribution of RAP funding as per the Programme regional component. </w:t>
      </w:r>
    </w:p>
    <w:p w14:paraId="0447122C"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t>D.2 Investment stage at the time of funding</w:t>
      </w:r>
    </w:p>
    <w:p w14:paraId="6F2C3D73" w14:textId="3590C833" w:rsidR="00CD60C2" w:rsidRPr="00F34274" w:rsidRDefault="00A5531C" w:rsidP="00A5531C">
      <w:pPr>
        <w:rPr>
          <w:rFonts w:eastAsia="Arial" w:cs="Arial"/>
        </w:rPr>
      </w:pPr>
      <w:r w:rsidRPr="00F34274">
        <w:rPr>
          <w:rFonts w:eastAsia="Arial" w:cs="Arial"/>
        </w:rPr>
        <w:t xml:space="preserve">The figures below demonstrate the successful alignment of RAP funding with the intended target businesses. </w:t>
      </w:r>
      <w:proofErr w:type="gramStart"/>
      <w:r w:rsidRPr="00F34274">
        <w:rPr>
          <w:rFonts w:eastAsia="Arial" w:cs="Arial"/>
        </w:rPr>
        <w:t>The majority of</w:t>
      </w:r>
      <w:proofErr w:type="gramEnd"/>
      <w:r w:rsidRPr="00F34274">
        <w:rPr>
          <w:rFonts w:eastAsia="Arial" w:cs="Arial"/>
        </w:rPr>
        <w:t xml:space="preserve"> the funded companies are early businesses, as envisioned by the Programme.</w:t>
      </w:r>
    </w:p>
    <w:p w14:paraId="0F3E52A0" w14:textId="3F2E4EC7" w:rsidR="00CD60C2" w:rsidRPr="00F34274" w:rsidRDefault="00CD60C2" w:rsidP="00957DB2">
      <w:pPr>
        <w:spacing w:before="120"/>
        <w:rPr>
          <w:rFonts w:eastAsia="Arial" w:cs="Arial"/>
          <w:i/>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23</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Number of RAP funded firms by </w:t>
      </w:r>
      <w:r w:rsidR="00241752">
        <w:rPr>
          <w:rFonts w:eastAsia="Arial" w:cs="Arial"/>
          <w:iCs/>
          <w:color w:val="555674"/>
          <w:szCs w:val="18"/>
        </w:rPr>
        <w:t>i</w:t>
      </w:r>
      <w:r w:rsidRPr="00F34274">
        <w:rPr>
          <w:rFonts w:eastAsia="Arial" w:cs="Arial"/>
          <w:iCs/>
          <w:color w:val="555674"/>
          <w:szCs w:val="18"/>
        </w:rPr>
        <w:t xml:space="preserve">nvestment </w:t>
      </w:r>
      <w:proofErr w:type="gramStart"/>
      <w:r w:rsidR="00241752">
        <w:rPr>
          <w:rFonts w:eastAsia="Arial" w:cs="Arial"/>
          <w:iCs/>
          <w:color w:val="555674"/>
          <w:szCs w:val="18"/>
        </w:rPr>
        <w:t>s</w:t>
      </w:r>
      <w:r w:rsidRPr="00F34274">
        <w:rPr>
          <w:rFonts w:eastAsia="Arial" w:cs="Arial"/>
          <w:iCs/>
          <w:color w:val="555674"/>
          <w:szCs w:val="18"/>
        </w:rPr>
        <w:t>tage</w:t>
      </w:r>
      <w:proofErr w:type="gramEnd"/>
    </w:p>
    <w:p w14:paraId="64F482B0" w14:textId="0ECD99F2" w:rsidR="00CD60C2" w:rsidRPr="00F34274" w:rsidRDefault="00690670" w:rsidP="00957DB2">
      <w:pPr>
        <w:rPr>
          <w:rFonts w:eastAsia="Arial" w:cs="Arial"/>
          <w:noProof/>
        </w:rPr>
      </w:pPr>
      <w:r>
        <w:rPr>
          <w:rFonts w:eastAsia="Arial" w:cs="Arial"/>
          <w:noProof/>
        </w:rPr>
        <w:drawing>
          <wp:inline distT="0" distB="0" distL="0" distR="0" wp14:anchorId="58BFA18C" wp14:editId="2C8609CC">
            <wp:extent cx="5676900" cy="2714625"/>
            <wp:effectExtent l="0" t="0" r="0" b="9525"/>
            <wp:docPr id="302" name="Picture 302" descr="Figure 23 is a horizontal bar graph depicting the number of RAP funded firms by Investment Stage. The y-axis lists different investment stages in descending order: Start-up, Early Stage, Expansion/Growth Capital, Later Stage VC, Seed, and Bridge Financing. The x-axis measures the number of firms, ranging from 0 to 180.&#10;&#10;&quot;Start-up&quot; stage has the highest number of firms with 171.&#10;&quot;Early Stage&quot; firms are represented with 120 firms.&#10;&quot;Expansion/Growth Capital&quot; has a count at 36 firms.&#10;&quot;Later Stage VC&quot; is depicted with 24 firms.&#10;&quot;Seed&quot; stage firms are represented with a count of 20.&#10;&quot;Bridge Financing&quot; has the least representation with only 1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Figure 23 is a horizontal bar graph depicting the number of RAP funded firms by Investment Stage. The y-axis lists different investment stages in descending order: Start-up, Early Stage, Expansion/Growth Capital, Later Stage VC, Seed, and Bridge Financing. The x-axis measures the number of firms, ranging from 0 to 180.&#10;&#10;&quot;Start-up&quot; stage has the highest number of firms with 171.&#10;&quot;Early Stage&quot; firms are represented with 120 firms.&#10;&quot;Expansion/Growth Capital&quot; has a count at 36 firms.&#10;&quot;Later Stage VC&quot; is depicted with 24 firms.&#10;&quot;Seed&quot; stage firms are represented with a count of 20.&#10;&quot;Bridge Financing&quot; has the least representation with only 1 fir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677994" cy="2715148"/>
                    </a:xfrm>
                    <a:prstGeom prst="rect">
                      <a:avLst/>
                    </a:prstGeom>
                  </pic:spPr>
                </pic:pic>
              </a:graphicData>
            </a:graphic>
          </wp:inline>
        </w:drawing>
      </w:r>
    </w:p>
    <w:p w14:paraId="3884F802" w14:textId="457AEACD" w:rsidR="00690670" w:rsidRPr="005A7B44" w:rsidRDefault="00CD60C2" w:rsidP="005A7B44">
      <w:pPr>
        <w:rPr>
          <w:rFonts w:eastAsia="Arial" w:cs="Arial"/>
        </w:rPr>
      </w:pPr>
      <w:r w:rsidRPr="005A0C36">
        <w:rPr>
          <w:rFonts w:eastAsia="Arial" w:cs="Arial"/>
          <w:i/>
          <w:color w:val="555674"/>
        </w:rPr>
        <w:t>Source: British Business Bank data provided to RSM (November 2022), n = 372 firms</w:t>
      </w:r>
    </w:p>
    <w:p w14:paraId="14AE5E9C" w14:textId="52C2C0B2" w:rsidR="00CD60C2" w:rsidRPr="00F34274" w:rsidRDefault="00CD60C2" w:rsidP="00957DB2">
      <w:pPr>
        <w:spacing w:before="120"/>
        <w:rPr>
          <w:rFonts w:eastAsia="Arial" w:cs="Arial"/>
          <w:i/>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24</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Number of RAP funded firms by </w:t>
      </w:r>
      <w:r w:rsidR="00241752">
        <w:rPr>
          <w:rFonts w:eastAsia="Arial" w:cs="Arial"/>
          <w:iCs/>
          <w:color w:val="555674"/>
          <w:szCs w:val="18"/>
        </w:rPr>
        <w:t>i</w:t>
      </w:r>
      <w:r w:rsidRPr="00F34274">
        <w:rPr>
          <w:rFonts w:eastAsia="Arial" w:cs="Arial"/>
          <w:iCs/>
          <w:color w:val="555674"/>
          <w:szCs w:val="18"/>
        </w:rPr>
        <w:t xml:space="preserve">nvestment </w:t>
      </w:r>
      <w:r w:rsidR="00241752">
        <w:rPr>
          <w:rFonts w:eastAsia="Arial" w:cs="Arial"/>
          <w:iCs/>
          <w:color w:val="555674"/>
          <w:szCs w:val="18"/>
        </w:rPr>
        <w:t>s</w:t>
      </w:r>
      <w:r w:rsidRPr="00F34274">
        <w:rPr>
          <w:rFonts w:eastAsia="Arial" w:cs="Arial"/>
          <w:iCs/>
          <w:color w:val="555674"/>
          <w:szCs w:val="18"/>
        </w:rPr>
        <w:t xml:space="preserve">tage per </w:t>
      </w:r>
      <w:proofErr w:type="gramStart"/>
      <w:r w:rsidR="00241752">
        <w:rPr>
          <w:rFonts w:eastAsia="Arial" w:cs="Arial"/>
          <w:iCs/>
          <w:color w:val="555674"/>
          <w:szCs w:val="18"/>
        </w:rPr>
        <w:t>r</w:t>
      </w:r>
      <w:r w:rsidRPr="00F34274">
        <w:rPr>
          <w:rFonts w:eastAsia="Arial" w:cs="Arial"/>
          <w:iCs/>
          <w:color w:val="555674"/>
          <w:szCs w:val="18"/>
        </w:rPr>
        <w:t>egion</w:t>
      </w:r>
      <w:proofErr w:type="gramEnd"/>
    </w:p>
    <w:p w14:paraId="00703F9F" w14:textId="00979DED" w:rsidR="00CD60C2" w:rsidRPr="00F34274" w:rsidRDefault="00690670" w:rsidP="00957DB2">
      <w:pPr>
        <w:rPr>
          <w:rFonts w:eastAsia="Arial" w:cs="Arial"/>
        </w:rPr>
      </w:pPr>
      <w:r>
        <w:rPr>
          <w:rFonts w:eastAsia="Arial" w:cs="Arial"/>
          <w:noProof/>
        </w:rPr>
        <w:lastRenderedPageBreak/>
        <w:drawing>
          <wp:inline distT="0" distB="0" distL="0" distR="0" wp14:anchorId="1347980B" wp14:editId="219E90E1">
            <wp:extent cx="6238874" cy="3200400"/>
            <wp:effectExtent l="0" t="0" r="0" b="0"/>
            <wp:docPr id="6" name="Picture 6" descr="Figure 24 is a stacked horizontal bar graph displaying the number of RAP funded firms by Investment Stage per Region. From top to bottom on the y-axis, the regions are listed as Yorkshire and the Humber, West Midlands, Wales, South West, South East, Scotland, Northern Ireland, North West, North East, London, East of England, and East Midlands. The x-axis, ranging from 0 to 140, represents the number of firms.&#10;&#10;Each region's bar is segmented by colour to represent different investment stages: Bridge Financing (pink), Early Stage (dark blue), Expansion/Growth Capital (light blue), Later Stage VC (green), Seed (purple), and Start-up (teal).&#10;&#10;East Midlands has 2 firms in Bridge Financing and 5 in Early Stage.&#10;East of England has a total of 20 firms across different stages with the highest in Start-up.&#10;London shows a significant concentration in Start-up with 76 firms, along with representation across other stages.&#10;North East has modest numbers across the board, with Early Stage and Start-up at 3 each.&#10;North West, Northern Ireland, and Scotland show a diverse spread across different stages.&#10;South East and South West have the majority of their firms in Start-up.&#10;Wales and West Midlands have firms mainly in Bridge Financing and Start-up.&#10;Yorkshire and the Humber has 7 firms in Start-up and a few in other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4 is a stacked horizontal bar graph displaying the number of RAP funded firms by Investment Stage per Region. From top to bottom on the y-axis, the regions are listed as Yorkshire and the Humber, West Midlands, Wales, South West, South East, Scotland, Northern Ireland, North West, North East, London, East of England, and East Midlands. The x-axis, ranging from 0 to 140, represents the number of firms.&#10;&#10;Each region's bar is segmented by colour to represent different investment stages: Bridge Financing (pink), Early Stage (dark blue), Expansion/Growth Capital (light blue), Later Stage VC (green), Seed (purple), and Start-up (teal).&#10;&#10;East Midlands has 2 firms in Bridge Financing and 5 in Early Stage.&#10;East of England has a total of 20 firms across different stages with the highest in Start-up.&#10;London shows a significant concentration in Start-up with 76 firms, along with representation across other stages.&#10;North East has modest numbers across the board, with Early Stage and Start-up at 3 each.&#10;North West, Northern Ireland, and Scotland show a diverse spread across different stages.&#10;South East and South West have the majority of their firms in Start-up.&#10;Wales and West Midlands have firms mainly in Bridge Financing and Start-up.&#10;Yorkshire and the Humber has 7 firms in Start-up and a few in other stages."/>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242031" cy="3202020"/>
                    </a:xfrm>
                    <a:prstGeom prst="rect">
                      <a:avLst/>
                    </a:prstGeom>
                  </pic:spPr>
                </pic:pic>
              </a:graphicData>
            </a:graphic>
          </wp:inline>
        </w:drawing>
      </w:r>
      <w:r w:rsidR="00CD60C2" w:rsidRPr="00F34274">
        <w:rPr>
          <w:rFonts w:eastAsia="Arial" w:cs="Arial"/>
          <w:noProof/>
        </w:rPr>
        <w:t xml:space="preserve"> </w:t>
      </w:r>
    </w:p>
    <w:p w14:paraId="6D456C09" w14:textId="77777777" w:rsidR="00CD60C2" w:rsidRPr="00F34274" w:rsidRDefault="00CD60C2" w:rsidP="00957DB2">
      <w:pPr>
        <w:rPr>
          <w:rFonts w:eastAsia="Arial" w:cs="Arial"/>
        </w:rPr>
      </w:pPr>
      <w:r w:rsidRPr="005A0C36">
        <w:rPr>
          <w:rFonts w:eastAsia="Arial" w:cs="Arial"/>
          <w:i/>
          <w:color w:val="555674"/>
        </w:rPr>
        <w:t>Source: British Business Bank data provided to RSM (November 2022), n = 372 firms</w:t>
      </w:r>
    </w:p>
    <w:p w14:paraId="0A37BD89"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t>D.3 Turnover and employees count of funded firms</w:t>
      </w:r>
    </w:p>
    <w:p w14:paraId="60001400" w14:textId="77777777" w:rsidR="00A5531C" w:rsidRDefault="00A5531C" w:rsidP="00A5531C">
      <w:pPr>
        <w:rPr>
          <w:rFonts w:eastAsia="Arial" w:cs="Arial"/>
        </w:rPr>
      </w:pPr>
      <w:r w:rsidRPr="00F34274">
        <w:rPr>
          <w:rFonts w:eastAsia="Arial" w:cs="Arial"/>
        </w:rPr>
        <w:t xml:space="preserve">There’s a rather higher concentration of firm turnover recorded in regions in and around Greater London and the </w:t>
      </w:r>
      <w:proofErr w:type="gramStart"/>
      <w:r w:rsidRPr="00F34274">
        <w:rPr>
          <w:rFonts w:eastAsia="Arial" w:cs="Arial"/>
        </w:rPr>
        <w:t>North West</w:t>
      </w:r>
      <w:proofErr w:type="gramEnd"/>
      <w:r w:rsidRPr="00F34274">
        <w:rPr>
          <w:rFonts w:eastAsia="Arial" w:cs="Arial"/>
        </w:rPr>
        <w:t xml:space="preserve"> of England. More work still needs to be done to further the Programme’s aim of increasing the amount of early-stage equity capital that is available to small businesses throughout the UK. Apart from the four regions that recorded the highest turnover, nearly all other regions appear to be trending similarly.</w:t>
      </w:r>
    </w:p>
    <w:p w14:paraId="358D887D" w14:textId="77777777" w:rsidR="00A5531C" w:rsidRDefault="00A5531C" w:rsidP="00A5531C">
      <w:pPr>
        <w:rPr>
          <w:rFonts w:eastAsia="Arial" w:cs="Arial"/>
        </w:rPr>
      </w:pPr>
    </w:p>
    <w:p w14:paraId="266C1AFA" w14:textId="77777777" w:rsidR="00A5531C" w:rsidRDefault="00A5531C" w:rsidP="00A5531C">
      <w:pPr>
        <w:rPr>
          <w:rFonts w:eastAsia="Arial" w:cs="Arial"/>
        </w:rPr>
      </w:pPr>
    </w:p>
    <w:p w14:paraId="03A77AB9" w14:textId="77777777" w:rsidR="00690670" w:rsidRDefault="00690670" w:rsidP="00A5531C">
      <w:pPr>
        <w:rPr>
          <w:rFonts w:eastAsia="Arial" w:cs="Arial"/>
        </w:rPr>
      </w:pPr>
    </w:p>
    <w:p w14:paraId="518B3FA8" w14:textId="77777777" w:rsidR="00A5531C" w:rsidRDefault="00A5531C" w:rsidP="00A5531C">
      <w:pPr>
        <w:rPr>
          <w:rFonts w:eastAsia="Arial" w:cs="Arial"/>
        </w:rPr>
      </w:pPr>
    </w:p>
    <w:p w14:paraId="72101DCD" w14:textId="77777777" w:rsidR="00A5531C" w:rsidRDefault="00A5531C" w:rsidP="00A5531C">
      <w:pPr>
        <w:rPr>
          <w:rFonts w:eastAsia="Arial" w:cs="Arial"/>
        </w:rPr>
      </w:pPr>
    </w:p>
    <w:p w14:paraId="0D0F6B1E" w14:textId="77777777" w:rsidR="00A5531C" w:rsidRDefault="00A5531C" w:rsidP="00A5531C">
      <w:pPr>
        <w:rPr>
          <w:rFonts w:eastAsia="Arial" w:cs="Arial"/>
        </w:rPr>
      </w:pPr>
    </w:p>
    <w:p w14:paraId="2BE0F8AF" w14:textId="6F5438AE" w:rsidR="00CD60C2" w:rsidRPr="00F34274" w:rsidRDefault="00CD60C2" w:rsidP="00A5531C">
      <w:pPr>
        <w:rPr>
          <w:rFonts w:eastAsia="Arial" w:cs="Arial"/>
        </w:rPr>
      </w:pPr>
      <w:r w:rsidRPr="00F34274">
        <w:rPr>
          <w:rFonts w:eastAsia="Arial" w:cs="Arial"/>
        </w:rPr>
        <w:t xml:space="preserve"> </w:t>
      </w:r>
    </w:p>
    <w:p w14:paraId="75978159" w14:textId="77777777" w:rsidR="00F837F7" w:rsidRDefault="00F837F7" w:rsidP="00957DB2">
      <w:pPr>
        <w:spacing w:before="120"/>
        <w:rPr>
          <w:rFonts w:eastAsia="Arial" w:cs="Arial"/>
          <w:iCs/>
          <w:color w:val="555674"/>
          <w:szCs w:val="18"/>
        </w:rPr>
      </w:pPr>
    </w:p>
    <w:p w14:paraId="70172F3C" w14:textId="5FE99807" w:rsidR="009006A1" w:rsidRDefault="00CD60C2" w:rsidP="00957DB2">
      <w:pPr>
        <w:spacing w:before="120"/>
        <w:rPr>
          <w:rFonts w:eastAsia="Arial" w:cs="Arial"/>
          <w:iCs/>
          <w:color w:val="555674"/>
          <w:szCs w:val="18"/>
        </w:rPr>
      </w:pPr>
      <w:r w:rsidRPr="00F34274">
        <w:rPr>
          <w:rFonts w:eastAsia="Arial" w:cs="Arial"/>
          <w:iCs/>
          <w:color w:val="555674"/>
          <w:szCs w:val="18"/>
        </w:rPr>
        <w:lastRenderedPageBreak/>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25</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Turnover concentration of RAP funded firms (GBP)</w:t>
      </w:r>
    </w:p>
    <w:p w14:paraId="32C46B4F" w14:textId="53924BBD" w:rsidR="009006A1" w:rsidRDefault="00690670" w:rsidP="00957DB2">
      <w:pPr>
        <w:spacing w:before="120"/>
        <w:rPr>
          <w:rFonts w:eastAsia="Arial" w:cs="Arial"/>
          <w:iCs/>
          <w:color w:val="555674"/>
          <w:szCs w:val="18"/>
        </w:rPr>
      </w:pPr>
      <w:r>
        <w:rPr>
          <w:rFonts w:eastAsia="Arial" w:cs="Arial"/>
          <w:iCs/>
          <w:noProof/>
          <w:color w:val="555674"/>
          <w:szCs w:val="18"/>
        </w:rPr>
        <w:drawing>
          <wp:inline distT="0" distB="0" distL="0" distR="0" wp14:anchorId="26BE439B" wp14:editId="4109254C">
            <wp:extent cx="5886450" cy="2819400"/>
            <wp:effectExtent l="0" t="0" r="0" b="0"/>
            <wp:docPr id="10" name="Picture 10" descr="Figure 25 is a horizontal bar graph representing the turnover concentration of RAP funded firms in GBP. The y-axis lists various UK regions in descending order from top to bottom, starting with London and ending with East Midlands. The x-axis is a numerical scale indicating turnover amounts, ranging from 0 to £70 million.&#10;&#10;London leads with a turnover of £58,415,706.96.&#10;The North West follows with a turnover of £51,986,083.02.&#10;Northern Ireland has a turnover of £21,014,686.&#10;Scotland's turnover is £18,856,570.51.&#10;Yorkshire and the Humber show a turnover of £6,334,429.&#10;Wales has a turnover of £5,893,548.&#10;The South West reports a turnover of £3,903,220.5.&#10;The South East shows £3,307,786.3.&#10;The West Midlands presents a turnover of £3,866,894.&#10;The North East indicates a turnover of £2,141,784.&#10;The East of England has £3,246,612.45.&#10;The East Midlands reflects the lowest turnover on the graph at £78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5 is a horizontal bar graph representing the turnover concentration of RAP funded firms in GBP. The y-axis lists various UK regions in descending order from top to bottom, starting with London and ending with East Midlands. The x-axis is a numerical scale indicating turnover amounts, ranging from 0 to £70 million.&#10;&#10;London leads with a turnover of £58,415,706.96.&#10;The North West follows with a turnover of £51,986,083.02.&#10;Northern Ireland has a turnover of £21,014,686.&#10;Scotland's turnover is £18,856,570.51.&#10;Yorkshire and the Humber show a turnover of £6,334,429.&#10;Wales has a turnover of £5,893,548.&#10;The South West reports a turnover of £3,903,220.5.&#10;The South East shows £3,307,786.3.&#10;The West Midlands presents a turnover of £3,866,894.&#10;The North East indicates a turnover of £2,141,784.&#10;The East of England has £3,246,612.45.&#10;The East Midlands reflects the lowest turnover on the graph at £789,423."/>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887231" cy="2819774"/>
                    </a:xfrm>
                    <a:prstGeom prst="rect">
                      <a:avLst/>
                    </a:prstGeom>
                  </pic:spPr>
                </pic:pic>
              </a:graphicData>
            </a:graphic>
          </wp:inline>
        </w:drawing>
      </w:r>
    </w:p>
    <w:p w14:paraId="70B127BD" w14:textId="07B116D9" w:rsidR="00CD60C2" w:rsidRPr="00F34274" w:rsidRDefault="00CD60C2" w:rsidP="00957DB2">
      <w:pPr>
        <w:spacing w:before="120"/>
        <w:rPr>
          <w:rFonts w:eastAsia="Arial" w:cs="Arial"/>
          <w:iCs/>
          <w:color w:val="555674"/>
          <w:szCs w:val="18"/>
        </w:rPr>
      </w:pPr>
      <w:r w:rsidRPr="005A0C36">
        <w:rPr>
          <w:rFonts w:eastAsia="Arial" w:cs="Arial"/>
          <w:i/>
          <w:color w:val="555674"/>
          <w:szCs w:val="18"/>
        </w:rPr>
        <w:t>Source: British Business Bank data provided to RSM (November 2022), n = 372</w:t>
      </w:r>
    </w:p>
    <w:p w14:paraId="574E7984" w14:textId="5E57B14D" w:rsidR="00CD60C2" w:rsidRPr="00F34274" w:rsidRDefault="00CD60C2" w:rsidP="00957DB2">
      <w:pPr>
        <w:spacing w:before="120"/>
        <w:rPr>
          <w:rFonts w:eastAsia="Arial" w:cs="Arial"/>
          <w:i/>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26</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Number of firms per </w:t>
      </w:r>
      <w:proofErr w:type="gramStart"/>
      <w:r w:rsidR="00241752">
        <w:rPr>
          <w:rFonts w:eastAsia="Arial" w:cs="Arial"/>
          <w:iCs/>
          <w:color w:val="555674"/>
          <w:szCs w:val="18"/>
        </w:rPr>
        <w:t>r</w:t>
      </w:r>
      <w:r w:rsidRPr="00F34274">
        <w:rPr>
          <w:rFonts w:eastAsia="Arial" w:cs="Arial"/>
          <w:iCs/>
          <w:color w:val="555674"/>
          <w:szCs w:val="18"/>
        </w:rPr>
        <w:t>egion</w:t>
      </w:r>
      <w:proofErr w:type="gramEnd"/>
    </w:p>
    <w:p w14:paraId="7BA36FF5" w14:textId="2E7065CF" w:rsidR="00A47F5C" w:rsidRDefault="00690670" w:rsidP="00957DB2">
      <w:pPr>
        <w:rPr>
          <w:rFonts w:eastAsia="Arial" w:cs="Arial"/>
          <w:i/>
          <w:iCs/>
        </w:rPr>
      </w:pPr>
      <w:r>
        <w:rPr>
          <w:rFonts w:eastAsia="Arial" w:cs="Arial"/>
          <w:i/>
          <w:iCs/>
          <w:noProof/>
        </w:rPr>
        <w:drawing>
          <wp:inline distT="0" distB="0" distL="0" distR="0" wp14:anchorId="180922E6" wp14:editId="032694C8">
            <wp:extent cx="6085507" cy="3114675"/>
            <wp:effectExtent l="0" t="0" r="0" b="0"/>
            <wp:docPr id="11" name="Picture 11" descr="Figure 26 is a horizontal bar graph that illustrates the number of firms per region in the UK. The y-axis lists the regions in descending order starting with London at the top and ending with East Midlands at the bottom. The x-axis represents the number of firms, with a scale ranging from 0 to 140.&#10;&#10;London has the highest number of firms at 123.&#10;Northern Ireland follows with 46 firms.&#10;The North West has 38 firms.&#10;Both Scotland and the South East are represented with 29 firms each.&#10;The South West has 27 firms.&#10;Wales is home to 16 firms.&#10;The West Midlands has 14 firms.&#10;Yorkshire and the Humber are represented by 13 firms.&#10;The North East has 9 firms.&#10;The East of England shows 21 firms.&#10;The East Midlands has the fewest firms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6 is a horizontal bar graph that illustrates the number of firms per region in the UK. The y-axis lists the regions in descending order starting with London at the top and ending with East Midlands at the bottom. The x-axis represents the number of firms, with a scale ranging from 0 to 140.&#10;&#10;London has the highest number of firms at 123.&#10;Northern Ireland follows with 46 firms.&#10;The North West has 38 firms.&#10;Both Scotland and the South East are represented with 29 firms each.&#10;The South West has 27 firms.&#10;Wales is home to 16 firms.&#10;The West Midlands has 14 firms.&#10;Yorkshire and the Humber are represented by 13 firms.&#10;The North East has 9 firms.&#10;The East of England shows 21 firms.&#10;The East Midlands has the fewest firms at 7."/>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100319" cy="3122256"/>
                    </a:xfrm>
                    <a:prstGeom prst="rect">
                      <a:avLst/>
                    </a:prstGeom>
                  </pic:spPr>
                </pic:pic>
              </a:graphicData>
            </a:graphic>
          </wp:inline>
        </w:drawing>
      </w:r>
    </w:p>
    <w:p w14:paraId="7898A088" w14:textId="3842F450" w:rsidR="00CD60C2" w:rsidRPr="00F34274" w:rsidRDefault="00CD60C2" w:rsidP="00957DB2">
      <w:pPr>
        <w:rPr>
          <w:rFonts w:eastAsia="Arial" w:cs="Arial"/>
        </w:rPr>
      </w:pPr>
      <w:r w:rsidRPr="005A0C36">
        <w:rPr>
          <w:rFonts w:eastAsia="Arial" w:cs="Arial"/>
          <w:i/>
          <w:color w:val="555674"/>
        </w:rPr>
        <w:t>Source: British Business Bank data provided to RSM (November 2022), n = 372</w:t>
      </w:r>
    </w:p>
    <w:p w14:paraId="12536A9C" w14:textId="3B43B5CF" w:rsidR="00CD60C2" w:rsidRPr="00F34274" w:rsidRDefault="00A5531C" w:rsidP="00957DB2">
      <w:pPr>
        <w:rPr>
          <w:rFonts w:eastAsia="Arial" w:cs="Arial"/>
        </w:rPr>
      </w:pPr>
      <w:r w:rsidRPr="00F34274">
        <w:rPr>
          <w:rFonts w:eastAsia="Arial" w:cs="Arial"/>
        </w:rPr>
        <w:t xml:space="preserve">The average turnover and employees count per region shown in the figures below provides a different picture of the size of firms supported through the Programme when compared to the national trend above. They reveal higher productivity per firm in regions such as the </w:t>
      </w:r>
      <w:proofErr w:type="gramStart"/>
      <w:r w:rsidRPr="00F34274">
        <w:rPr>
          <w:rFonts w:eastAsia="Arial" w:cs="Arial"/>
        </w:rPr>
        <w:lastRenderedPageBreak/>
        <w:t>North West</w:t>
      </w:r>
      <w:proofErr w:type="gramEnd"/>
      <w:r w:rsidRPr="00F34274">
        <w:rPr>
          <w:rFonts w:eastAsia="Arial" w:cs="Arial"/>
        </w:rPr>
        <w:t>, Scotland, and Northern Ireland, where RAP appears to support larger individual firms in these regions.</w:t>
      </w:r>
      <w:r w:rsidR="00CD60C2" w:rsidRPr="00F34274">
        <w:rPr>
          <w:rFonts w:eastAsia="Arial" w:cs="Arial"/>
        </w:rPr>
        <w:t xml:space="preserve"> </w:t>
      </w:r>
    </w:p>
    <w:p w14:paraId="61087FEC" w14:textId="717ED84A" w:rsidR="00CD60C2" w:rsidRDefault="00CD60C2" w:rsidP="00957DB2">
      <w:pPr>
        <w:spacing w:before="120"/>
        <w:rPr>
          <w:rFonts w:eastAsia="Arial" w:cs="Arial"/>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27</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Average per firm turnover per region (GBP)</w:t>
      </w:r>
    </w:p>
    <w:p w14:paraId="0F4A248C" w14:textId="2E5929C7" w:rsidR="00690670" w:rsidRPr="00F34274" w:rsidRDefault="00690670" w:rsidP="00957DB2">
      <w:pPr>
        <w:spacing w:before="120"/>
        <w:rPr>
          <w:rFonts w:eastAsia="Arial" w:cs="Arial"/>
          <w:i/>
          <w:color w:val="555674"/>
          <w:szCs w:val="18"/>
        </w:rPr>
      </w:pPr>
      <w:r>
        <w:rPr>
          <w:rFonts w:eastAsia="Arial" w:cs="Arial"/>
          <w:i/>
          <w:noProof/>
          <w:color w:val="555674"/>
          <w:szCs w:val="18"/>
        </w:rPr>
        <w:drawing>
          <wp:inline distT="0" distB="0" distL="0" distR="0" wp14:anchorId="2DA47197" wp14:editId="3F458E2E">
            <wp:extent cx="5981700" cy="2686050"/>
            <wp:effectExtent l="0" t="0" r="0" b="0"/>
            <wp:docPr id="308" name="Picture 308" descr="Figure 27 is a vertical bar graph depicting the average per firm turnover per region in the UK, measured in millions of GBP. Each bar represents a different UK region, with the length corresponding to the average turnover for firms in that area.&#10;&#10;The North West leads with the highest average turnover per firm at £1,368,054.82.&#10;Northern Ireland follows with an average turnover of £677,893.10.&#10;Scotland has a similar average turnover at £673,448.95.&#10;Yorkshire and the Humber show an average turnover of £487,263.77.&#10;London's average per firm turnover stands at £482,774.44.&#10;Wales reports an average turnover of £420,967.71.&#10;The North East's average turnover is £237,976.00.&#10;The West Midlands has an average turnover of £276,206.71.&#10;The South West and East of England have close average turnovers of £162,634.19 and £162,330.62, respectively.&#10;The South East shows an average turnover of £114,061.60.&#10;The East Midlands has the lowest average turnover per firm at £112,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Figure 27 is a vertical bar graph depicting the average per firm turnover per region in the UK, measured in millions of GBP. Each bar represents a different UK region, with the length corresponding to the average turnover for firms in that area.&#10;&#10;The North West leads with the highest average turnover per firm at £1,368,054.82.&#10;Northern Ireland follows with an average turnover of £677,893.10.&#10;Scotland has a similar average turnover at £673,448.95.&#10;Yorkshire and the Humber show an average turnover of £487,263.77.&#10;London's average per firm turnover stands at £482,774.44.&#10;Wales reports an average turnover of £420,967.71.&#10;The North East's average turnover is £237,976.00.&#10;The West Midlands has an average turnover of £276,206.71.&#10;The South West and East of England have close average turnovers of £162,634.19 and £162,330.62, respectively.&#10;The South East shows an average turnover of £114,061.60.&#10;The East Midlands has the lowest average turnover per firm at £112,774.7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982979" cy="2686624"/>
                    </a:xfrm>
                    <a:prstGeom prst="rect">
                      <a:avLst/>
                    </a:prstGeom>
                  </pic:spPr>
                </pic:pic>
              </a:graphicData>
            </a:graphic>
          </wp:inline>
        </w:drawing>
      </w:r>
    </w:p>
    <w:p w14:paraId="1E207566" w14:textId="0D6D6B42" w:rsidR="00CD60C2" w:rsidRPr="00F34274" w:rsidRDefault="00CD60C2" w:rsidP="00957DB2">
      <w:pPr>
        <w:rPr>
          <w:rFonts w:eastAsia="Arial" w:cs="Arial"/>
        </w:rPr>
      </w:pPr>
      <w:r w:rsidRPr="005A0C36">
        <w:rPr>
          <w:rFonts w:eastAsia="Arial" w:cs="Arial"/>
          <w:i/>
          <w:color w:val="555674"/>
        </w:rPr>
        <w:t>Source: British Business Bank data provided to RSM (November 2022), n = 372</w:t>
      </w:r>
    </w:p>
    <w:p w14:paraId="093F4627" w14:textId="581BCE9B" w:rsidR="00CD60C2" w:rsidRPr="00F34274" w:rsidRDefault="00CD60C2" w:rsidP="00957DB2">
      <w:pPr>
        <w:spacing w:before="120"/>
        <w:rPr>
          <w:rFonts w:eastAsia="Arial" w:cs="Arial"/>
          <w:i/>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28</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Average number of employees per firm per </w:t>
      </w:r>
      <w:proofErr w:type="gramStart"/>
      <w:r w:rsidRPr="00F34274">
        <w:rPr>
          <w:rFonts w:eastAsia="Arial" w:cs="Arial"/>
          <w:iCs/>
          <w:color w:val="555674"/>
          <w:szCs w:val="18"/>
        </w:rPr>
        <w:t>region</w:t>
      </w:r>
      <w:proofErr w:type="gramEnd"/>
    </w:p>
    <w:p w14:paraId="5B73010F" w14:textId="44C6D0E6" w:rsidR="00CD60C2" w:rsidRPr="00F34274" w:rsidRDefault="00690670" w:rsidP="00957DB2">
      <w:pPr>
        <w:spacing w:line="264" w:lineRule="auto"/>
        <w:rPr>
          <w:rFonts w:eastAsia="Arial" w:cs="Arial"/>
          <w:b/>
          <w:color w:val="1D1D1B"/>
          <w:sz w:val="22"/>
        </w:rPr>
      </w:pPr>
      <w:r>
        <w:rPr>
          <w:rFonts w:eastAsia="Arial" w:cs="Arial"/>
          <w:b/>
          <w:noProof/>
          <w:color w:val="1D1D1B"/>
          <w:sz w:val="22"/>
        </w:rPr>
        <w:drawing>
          <wp:inline distT="0" distB="0" distL="0" distR="0" wp14:anchorId="4FA96521" wp14:editId="784D64F3">
            <wp:extent cx="5934075" cy="2879090"/>
            <wp:effectExtent l="0" t="0" r="9525" b="0"/>
            <wp:docPr id="16" name="Picture 16" descr="Figure 28 is a vertical bar graph that illustrates the average number of employees per firm in different regions of the UK. Each bar represents a region, and the height of the bar indicates the average number of employees.&#10;&#10;North West (England) has the highest average number of employees at 24.19 per firm.&#10;Wales follows with an average of 21.07 employees per firm.&#10;Scotland's average number of employees is 19.2 per firm.&#10;Northern Ireland averages 16 employees per firm.&#10;London has an average of 14.52 employees per firm.&#10;The North East (England) has an average of 12.38 employees per firm.&#10;Yorkshire and the Humber average 12.09 employees per firm.&#10;The East of England has an average of 8.25 employees per firm.&#10;The East Midlands (England) shows an average of 7.75 employees per firm.&#10;The South West (England) has an average of 5.86 employees per firm.&#10;West Midlands (England) has a similar average of 5.27 employees per firm.&#10;The South East (England) has the lowest average with 5.26 employees per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8 is a vertical bar graph that illustrates the average number of employees per firm in different regions of the UK. Each bar represents a region, and the height of the bar indicates the average number of employees.&#10;&#10;North West (England) has the highest average number of employees at 24.19 per firm.&#10;Wales follows with an average of 21.07 employees per firm.&#10;Scotland's average number of employees is 19.2 per firm.&#10;Northern Ireland averages 16 employees per firm.&#10;London has an average of 14.52 employees per firm.&#10;The North East (England) has an average of 12.38 employees per firm.&#10;Yorkshire and the Humber average 12.09 employees per firm.&#10;The East of England has an average of 8.25 employees per firm.&#10;The East Midlands (England) shows an average of 7.75 employees per firm.&#10;The South West (England) has an average of 5.86 employees per firm.&#10;West Midlands (England) has a similar average of 5.27 employees per firm.&#10;The South East (England) has the lowest average with 5.26 employees per firm."/>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934489" cy="2879291"/>
                    </a:xfrm>
                    <a:prstGeom prst="rect">
                      <a:avLst/>
                    </a:prstGeom>
                  </pic:spPr>
                </pic:pic>
              </a:graphicData>
            </a:graphic>
          </wp:inline>
        </w:drawing>
      </w:r>
    </w:p>
    <w:p w14:paraId="65FC93CF" w14:textId="77777777" w:rsidR="00CD60C2" w:rsidRPr="00F34274" w:rsidRDefault="00CD60C2" w:rsidP="00957DB2">
      <w:pPr>
        <w:rPr>
          <w:rFonts w:eastAsia="Arial" w:cs="Arial"/>
        </w:rPr>
      </w:pPr>
      <w:r w:rsidRPr="005A0C36">
        <w:rPr>
          <w:rFonts w:eastAsia="Arial" w:cs="Arial"/>
          <w:i/>
          <w:color w:val="555674"/>
        </w:rPr>
        <w:t>Source: British Business Bank data provided to RSM (November 2022), n = 372</w:t>
      </w:r>
    </w:p>
    <w:p w14:paraId="25BF539A" w14:textId="5E0251C3" w:rsidR="00CD60C2" w:rsidRPr="00F34274" w:rsidRDefault="00A5531C" w:rsidP="00957DB2">
      <w:pPr>
        <w:rPr>
          <w:rFonts w:eastAsia="Arial" w:cs="Arial"/>
        </w:rPr>
      </w:pPr>
      <w:r w:rsidRPr="00F34274">
        <w:rPr>
          <w:rFonts w:eastAsia="Arial" w:cs="Arial"/>
          <w:szCs w:val="24"/>
        </w:rPr>
        <w:t xml:space="preserve">Median figures below for turnover and employees </w:t>
      </w:r>
      <w:r w:rsidRPr="00F34274">
        <w:rPr>
          <w:rFonts w:eastAsia="Arial" w:cs="Arial"/>
        </w:rPr>
        <w:t xml:space="preserve">paints a different picture in terms of magnitude of companies that have received the funding as London has bigger outliers </w:t>
      </w:r>
      <w:r w:rsidRPr="00F34274">
        <w:rPr>
          <w:rFonts w:eastAsia="Arial" w:cs="Arial"/>
        </w:rPr>
        <w:lastRenderedPageBreak/>
        <w:t xml:space="preserve">compared to underfunded regions with a higher median turnover and </w:t>
      </w:r>
      <w:r w:rsidR="00450781" w:rsidRPr="00F34274">
        <w:rPr>
          <w:rFonts w:eastAsia="Arial" w:cs="Arial"/>
        </w:rPr>
        <w:t>employees’</w:t>
      </w:r>
      <w:r w:rsidRPr="00F34274">
        <w:rPr>
          <w:rFonts w:eastAsia="Arial" w:cs="Arial"/>
        </w:rPr>
        <w:t xml:space="preserve"> number such as Scotland, Northern Ireland, and East Midlands.</w:t>
      </w:r>
    </w:p>
    <w:p w14:paraId="37F707E6" w14:textId="513BED67" w:rsidR="00CD60C2" w:rsidRPr="00F34274" w:rsidRDefault="00CD60C2" w:rsidP="00957DB2">
      <w:pPr>
        <w:spacing w:before="120"/>
        <w:rPr>
          <w:rFonts w:eastAsia="Arial" w:cs="Arial"/>
          <w:i/>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29</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Median turnover per region (GBP)</w:t>
      </w:r>
    </w:p>
    <w:p w14:paraId="1AF6CAF0" w14:textId="1B15D979" w:rsidR="00CD60C2" w:rsidRPr="00F34274" w:rsidRDefault="00617B86" w:rsidP="25DA4BE7">
      <w:pPr>
        <w:spacing w:line="264" w:lineRule="auto"/>
        <w:rPr>
          <w:rFonts w:eastAsia="Arial" w:cs="Arial"/>
          <w:b/>
          <w:bCs/>
          <w:noProof/>
          <w:color w:val="1D1D1B"/>
          <w:sz w:val="22"/>
        </w:rPr>
      </w:pPr>
      <w:r>
        <w:rPr>
          <w:rFonts w:eastAsia="Arial" w:cs="Arial"/>
          <w:b/>
          <w:bCs/>
          <w:noProof/>
          <w:color w:val="1D1D1B"/>
          <w:sz w:val="22"/>
        </w:rPr>
        <w:drawing>
          <wp:inline distT="0" distB="0" distL="0" distR="0" wp14:anchorId="01AA343D" wp14:editId="3CCAC10E">
            <wp:extent cx="5524500" cy="2962275"/>
            <wp:effectExtent l="0" t="0" r="0" b="9525"/>
            <wp:docPr id="11495505" name="Picture 11495505" descr="Figure 29 is a horizontal bar graph displaying the median turnover per region in the UK, measured in millions of GBP. Each bar represents a different UK region, with the length of the bar corresponding to the median turnover for firms in that area.&#10;&#10;Scotland leads with the highest median turnover at £425,675.&#10;Northern Ireland follows with a median turnover of £289,000.&#10;The North East has a median turnover of £191,832.&#10;South West's median turnover stands at £120,000.&#10;Yorkshire and the Humber has a median turnover of £80,000.&#10;The North West shows a median turnover of £90,000.&#10;Wales has a median turnover of £70,117.&#10;London's median turnover is at £58,153.&#10;East of England has a notably lower median turnover at £3,072.&#10;The South East shows a median turnover of £1,008.&#10;The East Midlands has a median turnover of £111,711.5.&#10;The West Midlands reports a median turnover o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05" name="Picture 11495505" descr="Figure 29 is a horizontal bar graph displaying the median turnover per region in the UK, measured in millions of GBP. Each bar represents a different UK region, with the length of the bar corresponding to the median turnover for firms in that area.&#10;&#10;Scotland leads with the highest median turnover at £425,675.&#10;Northern Ireland follows with a median turnover of £289,000.&#10;The North East has a median turnover of £191,832.&#10;South West's median turnover stands at £120,000.&#10;Yorkshire and the Humber has a median turnover of £80,000.&#10;The North West shows a median turnover of £90,000.&#10;Wales has a median turnover of £70,117.&#10;London's median turnover is at £58,153.&#10;East of England has a notably lower median turnover at £3,072.&#10;The South East shows a median turnover of £1,008.&#10;The East Midlands has a median turnover of £111,711.5.&#10;The West Midlands reports a median turnover of £0"/>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5525153" cy="2962625"/>
                    </a:xfrm>
                    <a:prstGeom prst="rect">
                      <a:avLst/>
                    </a:prstGeom>
                  </pic:spPr>
                </pic:pic>
              </a:graphicData>
            </a:graphic>
          </wp:inline>
        </w:drawing>
      </w:r>
    </w:p>
    <w:p w14:paraId="08D41E80" w14:textId="2C907D03" w:rsidR="00CD60C2" w:rsidRDefault="00CD60C2" w:rsidP="00957DB2">
      <w:pPr>
        <w:rPr>
          <w:rFonts w:eastAsia="Arial" w:cs="Arial"/>
          <w:i/>
          <w:iCs/>
        </w:rPr>
      </w:pPr>
      <w:r w:rsidRPr="005A0C36">
        <w:rPr>
          <w:rFonts w:eastAsia="Arial" w:cs="Arial"/>
          <w:i/>
          <w:color w:val="555674"/>
        </w:rPr>
        <w:t>Source: British Business Bank data provided to RSM (November 2022), n = 372</w:t>
      </w:r>
    </w:p>
    <w:p w14:paraId="1BF87255" w14:textId="0C75469C" w:rsidR="00CD60C2" w:rsidRDefault="00CD60C2" w:rsidP="00957DB2">
      <w:pPr>
        <w:spacing w:before="120"/>
        <w:rPr>
          <w:rFonts w:eastAsia="Arial" w:cs="Arial"/>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30</w:t>
      </w:r>
      <w:r w:rsidRPr="00F34274">
        <w:rPr>
          <w:rFonts w:eastAsia="Arial" w:cs="Arial"/>
          <w:iCs/>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Median number of employees per </w:t>
      </w:r>
      <w:proofErr w:type="gramStart"/>
      <w:r w:rsidRPr="00F34274">
        <w:rPr>
          <w:rFonts w:eastAsia="Arial" w:cs="Arial"/>
          <w:iCs/>
          <w:color w:val="555674"/>
          <w:szCs w:val="18"/>
        </w:rPr>
        <w:t>region</w:t>
      </w:r>
      <w:proofErr w:type="gramEnd"/>
    </w:p>
    <w:p w14:paraId="182B4D82" w14:textId="58B5A300" w:rsidR="00690670" w:rsidRPr="00F34274" w:rsidRDefault="00690670" w:rsidP="00957DB2">
      <w:pPr>
        <w:spacing w:before="120"/>
        <w:rPr>
          <w:rFonts w:eastAsia="Arial" w:cs="Arial"/>
          <w:i/>
          <w:color w:val="555674"/>
          <w:szCs w:val="18"/>
        </w:rPr>
      </w:pPr>
      <w:r>
        <w:rPr>
          <w:rFonts w:eastAsia="Arial" w:cs="Arial"/>
          <w:noProof/>
        </w:rPr>
        <w:drawing>
          <wp:inline distT="0" distB="0" distL="0" distR="0" wp14:anchorId="4B3B28E4" wp14:editId="469B6345">
            <wp:extent cx="5524500" cy="2619375"/>
            <wp:effectExtent l="0" t="0" r="0" b="9525"/>
            <wp:docPr id="19" name="Picture 19" descr="Figure 30 is a horizontal bar graph displaying the median number of employees per firm in various UK regions. Each bar's length corresponds to the median number of employees for that region, with the y-axis listing the regions in descending order from Scotland at the top to South East at the bottom, and the x-axis representing the number of employees from 0 to 16.&#10;&#10;Scotland shows the highest median number of employees with 15 per firm.&#10;Northern Ireland follows with a median of 8.5 employees per firm.&#10;The North West has a median employee count of 8.&#10;Wales and the East Midlands both have a median of 7 employees per firm.&#10;Yorkshire and the Humber's median stands at 6 employees per firm.&#10;The North East and London both have medians slightly above the average at 5.5 and 5 respectively.&#10;The East of England and South West are both at a median of 4 employees per firm.&#10;The West Midlands has a lower median of 3 employees per firm.&#10;The South East has the smallest median number of employees at 2 per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0 is a horizontal bar graph displaying the median number of employees per firm in various UK regions. Each bar's length corresponds to the median number of employees for that region, with the y-axis listing the regions in descending order from Scotland at the top to South East at the bottom, and the x-axis representing the number of employees from 0 to 16.&#10;&#10;Scotland shows the highest median number of employees with 15 per firm.&#10;Northern Ireland follows with a median of 8.5 employees per firm.&#10;The North West has a median employee count of 8.&#10;Wales and the East Midlands both have a median of 7 employees per firm.&#10;Yorkshire and the Humber's median stands at 6 employees per firm.&#10;The North East and London both have medians slightly above the average at 5.5 and 5 respectively.&#10;The East of England and South West are both at a median of 4 employees per firm.&#10;The West Midlands has a lower median of 3 employees per firm.&#10;The South East has the smallest median number of employees at 2 per firm."/>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525607" cy="2619900"/>
                    </a:xfrm>
                    <a:prstGeom prst="rect">
                      <a:avLst/>
                    </a:prstGeom>
                  </pic:spPr>
                </pic:pic>
              </a:graphicData>
            </a:graphic>
          </wp:inline>
        </w:drawing>
      </w:r>
    </w:p>
    <w:p w14:paraId="2546DB2E" w14:textId="228207C8" w:rsidR="00CD60C2" w:rsidRPr="00F34274" w:rsidRDefault="00CD60C2" w:rsidP="00957DB2">
      <w:pPr>
        <w:rPr>
          <w:rFonts w:eastAsia="Arial" w:cs="Arial"/>
          <w:noProof/>
        </w:rPr>
      </w:pPr>
      <w:r w:rsidRPr="005A0C36">
        <w:rPr>
          <w:rFonts w:eastAsia="Arial" w:cs="Arial"/>
          <w:i/>
          <w:color w:val="555674"/>
        </w:rPr>
        <w:t>Source: British Business Bank data provided to RSM (November 2022), n = 372</w:t>
      </w:r>
    </w:p>
    <w:p w14:paraId="3EB4E5D7" w14:textId="2AF403A6"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lastRenderedPageBreak/>
        <w:t xml:space="preserve">D.4 Gender distribution of funded </w:t>
      </w:r>
      <w:r w:rsidR="00450781" w:rsidRPr="00F34274">
        <w:rPr>
          <w:rFonts w:eastAsia="SimHei" w:cs="Arial"/>
          <w:b/>
          <w:color w:val="1D1D1B"/>
        </w:rPr>
        <w:t>firms’</w:t>
      </w:r>
      <w:r w:rsidRPr="00F34274">
        <w:rPr>
          <w:rFonts w:eastAsia="SimHei" w:cs="Arial"/>
          <w:b/>
          <w:color w:val="1D1D1B"/>
        </w:rPr>
        <w:t xml:space="preserve"> directors</w:t>
      </w:r>
    </w:p>
    <w:p w14:paraId="4C6F099C" w14:textId="0931BCA8" w:rsidR="00CD60C2" w:rsidRDefault="00A5531C" w:rsidP="00A5531C">
      <w:pPr>
        <w:rPr>
          <w:rFonts w:eastAsia="Arial" w:cs="Arial"/>
        </w:rPr>
      </w:pPr>
      <w:r w:rsidRPr="30446D7F">
        <w:rPr>
          <w:rFonts w:eastAsia="Arial" w:cs="Arial"/>
        </w:rPr>
        <w:t xml:space="preserve">Firms funded by the Programme do not show a significant amount of gender diversity within their directors, with higher absolute numbers of female directors in London, which could be explained by the fact that London has a more dynamic ecosystem compared to underfunded regions in the UK. Nationally, 83% of directors in RAP funded firms are male – slightly more gender diverse when looking more granularly at London &amp; the </w:t>
      </w:r>
      <w:proofErr w:type="gramStart"/>
      <w:r w:rsidRPr="30446D7F">
        <w:rPr>
          <w:rFonts w:eastAsia="Arial" w:cs="Arial"/>
        </w:rPr>
        <w:t>South East</w:t>
      </w:r>
      <w:proofErr w:type="gramEnd"/>
      <w:r w:rsidRPr="30446D7F">
        <w:rPr>
          <w:rFonts w:eastAsia="Arial" w:cs="Arial"/>
        </w:rPr>
        <w:t xml:space="preserve"> as per </w:t>
      </w:r>
      <w:r>
        <w:rPr>
          <w:rFonts w:eastAsia="Arial" w:cs="Arial"/>
        </w:rPr>
        <w:fldChar w:fldCharType="begin"/>
      </w:r>
      <w:r>
        <w:rPr>
          <w:rFonts w:eastAsia="Arial" w:cs="Arial"/>
        </w:rPr>
        <w:instrText xml:space="preserve"> REF _Ref136599666 \h </w:instrText>
      </w:r>
      <w:r>
        <w:rPr>
          <w:rFonts w:eastAsia="Arial" w:cs="Arial"/>
        </w:rPr>
      </w:r>
      <w:r>
        <w:rPr>
          <w:rFonts w:eastAsia="Arial" w:cs="Arial"/>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31</w:t>
      </w:r>
      <w:r>
        <w:rPr>
          <w:rFonts w:eastAsia="Arial" w:cs="Arial"/>
        </w:rPr>
        <w:fldChar w:fldCharType="end"/>
      </w:r>
      <w:r>
        <w:rPr>
          <w:rFonts w:eastAsia="Arial" w:cs="Arial"/>
        </w:rPr>
        <w:t xml:space="preserve"> </w:t>
      </w:r>
      <w:proofErr w:type="spellStart"/>
      <w:r w:rsidRPr="30446D7F">
        <w:rPr>
          <w:rFonts w:eastAsia="Arial" w:cs="Arial"/>
        </w:rPr>
        <w:t>below</w:t>
      </w:r>
      <w:r w:rsidRPr="30446D7F">
        <w:rPr>
          <w:rFonts w:eastAsia="Arial" w:cs="Arial"/>
          <w:b/>
          <w:color w:val="1D1D1B" w:themeColor="text1"/>
          <w:sz w:val="22"/>
        </w:rPr>
        <w:fldChar w:fldCharType="begin"/>
      </w:r>
      <w:r w:rsidRPr="30446D7F">
        <w:rPr>
          <w:rFonts w:eastAsia="Arial" w:cs="Arial"/>
        </w:rPr>
        <w:instrText xml:space="preserve"> REF _Ref136599666 \h </w:instrText>
      </w:r>
      <w:r w:rsidRPr="30446D7F">
        <w:rPr>
          <w:rFonts w:eastAsia="Arial" w:cs="Arial"/>
          <w:b/>
          <w:color w:val="1D1D1B" w:themeColor="text1"/>
          <w:sz w:val="22"/>
        </w:rPr>
      </w:r>
      <w:r w:rsidRPr="30446D7F">
        <w:rPr>
          <w:rFonts w:eastAsia="Arial" w:cs="Arial"/>
          <w:b/>
          <w:color w:val="1D1D1B" w:themeColor="text1"/>
          <w:sz w:val="22"/>
        </w:rPr>
        <w:fldChar w:fldCharType="separate"/>
      </w:r>
      <w:r w:rsidR="00BC412E" w:rsidRPr="00F34274">
        <w:rPr>
          <w:rFonts w:eastAsia="Arial" w:cs="Arial"/>
          <w:iCs/>
          <w:color w:val="555674"/>
          <w:szCs w:val="18"/>
        </w:rPr>
        <w:t>Figure</w:t>
      </w:r>
      <w:proofErr w:type="spellEnd"/>
      <w:r w:rsidR="00BC412E" w:rsidRPr="00F34274">
        <w:rPr>
          <w:rFonts w:eastAsia="Arial" w:cs="Arial"/>
          <w:iCs/>
          <w:color w:val="555674"/>
          <w:szCs w:val="18"/>
        </w:rPr>
        <w:t xml:space="preserve"> </w:t>
      </w:r>
      <w:r w:rsidR="00BC412E">
        <w:rPr>
          <w:rFonts w:eastAsia="Arial" w:cs="Arial"/>
          <w:iCs/>
          <w:noProof/>
          <w:color w:val="555674"/>
          <w:szCs w:val="18"/>
        </w:rPr>
        <w:t>31</w:t>
      </w:r>
      <w:r w:rsidRPr="30446D7F">
        <w:rPr>
          <w:rFonts w:eastAsia="Arial" w:cs="Arial"/>
          <w:b/>
          <w:color w:val="1D1D1B" w:themeColor="text1"/>
          <w:sz w:val="22"/>
        </w:rPr>
        <w:fldChar w:fldCharType="end"/>
      </w:r>
      <w:r w:rsidR="00CD60C2" w:rsidRPr="30446D7F">
        <w:rPr>
          <w:rFonts w:eastAsia="Arial" w:cs="Arial"/>
        </w:rPr>
        <w:t>.</w:t>
      </w:r>
    </w:p>
    <w:p w14:paraId="646B4292" w14:textId="3965A146" w:rsidR="00571E59" w:rsidRDefault="00CD60C2" w:rsidP="00571E59">
      <w:pPr>
        <w:spacing w:before="120"/>
        <w:rPr>
          <w:rFonts w:eastAsia="Arial" w:cs="Arial"/>
          <w:noProof/>
        </w:rPr>
      </w:pPr>
      <w:bookmarkStart w:id="261" w:name="_Ref136599666"/>
      <w:r w:rsidRPr="00F34274">
        <w:rPr>
          <w:rFonts w:eastAsia="Arial" w:cs="Arial"/>
          <w:iCs/>
          <w:color w:val="555674"/>
          <w:szCs w:val="18"/>
        </w:rPr>
        <w:t xml:space="preserve">Figure </w:t>
      </w:r>
      <w:r w:rsidRPr="00F34274">
        <w:rPr>
          <w:rFonts w:eastAsia="Arial" w:cs="Arial"/>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color w:val="555674"/>
          <w:szCs w:val="18"/>
        </w:rPr>
        <w:fldChar w:fldCharType="separate"/>
      </w:r>
      <w:r w:rsidR="00BC412E">
        <w:rPr>
          <w:rFonts w:eastAsia="Arial" w:cs="Arial"/>
          <w:iCs/>
          <w:noProof/>
          <w:color w:val="555674"/>
          <w:szCs w:val="18"/>
        </w:rPr>
        <w:t>31</w:t>
      </w:r>
      <w:r w:rsidRPr="00F34274">
        <w:rPr>
          <w:rFonts w:eastAsia="Arial" w:cs="Arial"/>
          <w:color w:val="555674"/>
          <w:szCs w:val="18"/>
        </w:rPr>
        <w:fldChar w:fldCharType="end"/>
      </w:r>
      <w:bookmarkEnd w:id="261"/>
      <w:r w:rsidRPr="00F34274">
        <w:rPr>
          <w:rFonts w:eastAsia="Arial" w:cs="Arial"/>
          <w:color w:val="555674"/>
          <w:szCs w:val="18"/>
        </w:rPr>
        <w:t>:</w:t>
      </w:r>
      <w:r w:rsidRPr="00F34274">
        <w:rPr>
          <w:rFonts w:eastAsia="Arial" w:cs="Arial"/>
          <w:iCs/>
          <w:color w:val="555674"/>
          <w:szCs w:val="18"/>
        </w:rPr>
        <w:t xml:space="preserve"> Firms </w:t>
      </w:r>
      <w:r w:rsidR="00241752">
        <w:rPr>
          <w:rFonts w:eastAsia="Arial" w:cs="Arial"/>
          <w:iCs/>
          <w:color w:val="555674"/>
          <w:szCs w:val="18"/>
        </w:rPr>
        <w:t>d</w:t>
      </w:r>
      <w:r w:rsidRPr="00F34274">
        <w:rPr>
          <w:rFonts w:eastAsia="Arial" w:cs="Arial"/>
          <w:iCs/>
          <w:color w:val="555674"/>
          <w:szCs w:val="18"/>
        </w:rPr>
        <w:t>irectors’</w:t>
      </w:r>
      <w:r w:rsidR="00241752">
        <w:rPr>
          <w:rFonts w:eastAsia="Arial" w:cs="Arial"/>
          <w:iCs/>
          <w:color w:val="555674"/>
          <w:szCs w:val="18"/>
        </w:rPr>
        <w:t xml:space="preserve"> </w:t>
      </w:r>
      <w:r w:rsidRPr="00F34274">
        <w:rPr>
          <w:rFonts w:eastAsia="Arial" w:cs="Arial"/>
          <w:iCs/>
          <w:color w:val="555674"/>
          <w:szCs w:val="18"/>
        </w:rPr>
        <w:t xml:space="preserve">gender by </w:t>
      </w:r>
      <w:proofErr w:type="gramStart"/>
      <w:r w:rsidRPr="00F34274">
        <w:rPr>
          <w:rFonts w:eastAsia="Arial" w:cs="Arial"/>
          <w:iCs/>
          <w:color w:val="555674"/>
          <w:szCs w:val="18"/>
        </w:rPr>
        <w:t>region</w:t>
      </w:r>
      <w:proofErr w:type="gramEnd"/>
    </w:p>
    <w:p w14:paraId="20538CD5" w14:textId="0C0BEBDC" w:rsidR="00CD60C2" w:rsidRPr="00F34274" w:rsidRDefault="00571E59" w:rsidP="00571E59">
      <w:pPr>
        <w:spacing w:before="120"/>
        <w:rPr>
          <w:rFonts w:eastAsia="Arial" w:cs="Arial"/>
        </w:rPr>
      </w:pPr>
      <w:r>
        <w:rPr>
          <w:noProof/>
        </w:rPr>
        <w:drawing>
          <wp:inline distT="0" distB="0" distL="0" distR="0" wp14:anchorId="0650145E" wp14:editId="4C87B983">
            <wp:extent cx="6188710" cy="3499485"/>
            <wp:effectExtent l="0" t="0" r="0" b="0"/>
            <wp:docPr id="1415545413" name="Picture 1" descr="Figure 31 is a vertical bar graph displaying the gender distribution of firm directors by region in the UK. Each pair of bars represents one region, with male directors depicted in dark blue and female directors in light blue.&#10;&#10;London has the most significant number of male directors at 303 and the highest number of female directors at 68.&#10;Northern Ireland shows 154 male directors and 25 female directors.&#10;The North West has 128 male directors and 11 female directors.&#10;Scotland has 112 male directors and 12 female directors.&#10;The South West follows with 81 male directors and 17 female directors.&#10;The East of England has 53 male directors and 26 female directors, which is the second-highest number of female directors among the regions.&#10;Wales and the North East each have 53 and 29 male directors, respectively, with both regions having 8 female directors.&#10;The South East has 62 male directors and 20 female directors.&#10;Yorkshire and the Humber has 41 male directors and 11 female directors.&#10;The West Midlands shows a count of 32 male directors and 9 female directors.&#10;The East Midlands has the lowest numbers, with 19 male directors and 2 female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45413" name="Picture 1" descr="Figure 31 is a vertical bar graph displaying the gender distribution of firm directors by region in the UK. Each pair of bars represents one region, with male directors depicted in dark blue and female directors in light blue.&#10;&#10;London has the most significant number of male directors at 303 and the highest number of female directors at 68.&#10;Northern Ireland shows 154 male directors and 25 female directors.&#10;The North West has 128 male directors and 11 female directors.&#10;Scotland has 112 male directors and 12 female directors.&#10;The South West follows with 81 male directors and 17 female directors.&#10;The East of England has 53 male directors and 26 female directors, which is the second-highest number of female directors among the regions.&#10;Wales and the North East each have 53 and 29 male directors, respectively, with both regions having 8 female directors.&#10;The South East has 62 male directors and 20 female directors.&#10;Yorkshire and the Humber has 41 male directors and 11 female directors.&#10;The West Midlands shows a count of 32 male directors and 9 female directors.&#10;The East Midlands has the lowest numbers, with 19 male directors and 2 female directors."/>
                    <pic:cNvPicPr/>
                  </pic:nvPicPr>
                  <pic:blipFill>
                    <a:blip r:embed="rId78"/>
                    <a:stretch>
                      <a:fillRect/>
                    </a:stretch>
                  </pic:blipFill>
                  <pic:spPr>
                    <a:xfrm>
                      <a:off x="0" y="0"/>
                      <a:ext cx="6188710" cy="3499485"/>
                    </a:xfrm>
                    <a:prstGeom prst="rect">
                      <a:avLst/>
                    </a:prstGeom>
                  </pic:spPr>
                </pic:pic>
              </a:graphicData>
            </a:graphic>
          </wp:inline>
        </w:drawing>
      </w:r>
    </w:p>
    <w:p w14:paraId="2DE86D59" w14:textId="77777777" w:rsidR="00450781" w:rsidRDefault="00450781" w:rsidP="00BD2548">
      <w:pPr>
        <w:spacing w:before="120"/>
        <w:rPr>
          <w:rFonts w:eastAsia="Arial" w:cs="Arial"/>
          <w:iCs/>
          <w:color w:val="555674"/>
          <w:szCs w:val="18"/>
        </w:rPr>
      </w:pPr>
    </w:p>
    <w:p w14:paraId="4BD04420" w14:textId="77777777" w:rsidR="00450781" w:rsidRDefault="00450781" w:rsidP="00BD2548">
      <w:pPr>
        <w:spacing w:before="120"/>
        <w:rPr>
          <w:rFonts w:eastAsia="Arial" w:cs="Arial"/>
          <w:iCs/>
          <w:color w:val="555674"/>
          <w:szCs w:val="18"/>
        </w:rPr>
      </w:pPr>
    </w:p>
    <w:p w14:paraId="12B687CE" w14:textId="77777777" w:rsidR="00450781" w:rsidRDefault="00450781" w:rsidP="00BD2548">
      <w:pPr>
        <w:spacing w:before="120"/>
        <w:rPr>
          <w:rFonts w:eastAsia="Arial" w:cs="Arial"/>
          <w:iCs/>
          <w:color w:val="555674"/>
          <w:szCs w:val="18"/>
        </w:rPr>
      </w:pPr>
    </w:p>
    <w:p w14:paraId="1CD62046" w14:textId="77777777" w:rsidR="00450781" w:rsidRDefault="00450781" w:rsidP="00BD2548">
      <w:pPr>
        <w:spacing w:before="120"/>
        <w:rPr>
          <w:rFonts w:eastAsia="Arial" w:cs="Arial"/>
          <w:iCs/>
          <w:color w:val="555674"/>
          <w:szCs w:val="18"/>
        </w:rPr>
      </w:pPr>
    </w:p>
    <w:p w14:paraId="7DEE20C7" w14:textId="77777777" w:rsidR="00450781" w:rsidRDefault="00450781" w:rsidP="00BD2548">
      <w:pPr>
        <w:spacing w:before="120"/>
        <w:rPr>
          <w:rFonts w:eastAsia="Arial" w:cs="Arial"/>
          <w:iCs/>
          <w:color w:val="555674"/>
          <w:szCs w:val="18"/>
        </w:rPr>
      </w:pPr>
    </w:p>
    <w:p w14:paraId="60AB1851" w14:textId="77777777" w:rsidR="00450781" w:rsidRDefault="00450781" w:rsidP="00BD2548">
      <w:pPr>
        <w:spacing w:before="120"/>
        <w:rPr>
          <w:rFonts w:eastAsia="Arial" w:cs="Arial"/>
          <w:iCs/>
          <w:color w:val="555674"/>
          <w:szCs w:val="18"/>
        </w:rPr>
      </w:pPr>
    </w:p>
    <w:p w14:paraId="489899EF" w14:textId="77777777" w:rsidR="00450781" w:rsidRDefault="00450781" w:rsidP="00BD2548">
      <w:pPr>
        <w:spacing w:before="120"/>
        <w:rPr>
          <w:rFonts w:eastAsia="Arial" w:cs="Arial"/>
          <w:iCs/>
          <w:color w:val="555674"/>
          <w:szCs w:val="18"/>
        </w:rPr>
      </w:pPr>
    </w:p>
    <w:p w14:paraId="31E41192" w14:textId="2CC28974" w:rsidR="00D2323B" w:rsidRDefault="00CD60C2" w:rsidP="00BD2548">
      <w:pPr>
        <w:spacing w:before="120"/>
        <w:rPr>
          <w:rFonts w:eastAsia="Arial" w:cs="Arial"/>
          <w:iCs/>
          <w:color w:val="555674"/>
          <w:szCs w:val="18"/>
        </w:rPr>
      </w:pPr>
      <w:r w:rsidRPr="00F34274">
        <w:rPr>
          <w:rFonts w:eastAsia="Arial" w:cs="Arial"/>
          <w:iCs/>
          <w:color w:val="555674"/>
          <w:szCs w:val="18"/>
        </w:rPr>
        <w:lastRenderedPageBreak/>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32</w:t>
      </w:r>
      <w:r w:rsidRPr="00F34274">
        <w:rPr>
          <w:rFonts w:eastAsia="Arial" w:cs="Arial"/>
          <w:iCs/>
          <w:color w:val="555674"/>
          <w:szCs w:val="18"/>
        </w:rPr>
        <w:fldChar w:fldCharType="end"/>
      </w:r>
      <w:r w:rsidRPr="00F34274">
        <w:rPr>
          <w:rFonts w:eastAsia="Arial" w:cs="Arial"/>
          <w:iCs/>
          <w:color w:val="555674"/>
          <w:szCs w:val="18"/>
        </w:rPr>
        <w:t xml:space="preserve"> </w:t>
      </w:r>
      <w:r w:rsidR="00FC7FDC">
        <w:rPr>
          <w:rFonts w:eastAsia="Arial" w:cs="Arial"/>
          <w:iCs/>
          <w:color w:val="555674"/>
          <w:szCs w:val="18"/>
        </w:rPr>
        <w:t xml:space="preserve">(LHS) </w:t>
      </w:r>
      <w:r w:rsidRPr="00F34274">
        <w:rPr>
          <w:rFonts w:eastAsia="Arial" w:cs="Arial"/>
          <w:iCs/>
          <w:color w:val="555674"/>
          <w:szCs w:val="18"/>
        </w:rPr>
        <w:t>&amp;</w:t>
      </w:r>
      <w:r w:rsidRPr="00F34274">
        <w:rPr>
          <w:rFonts w:eastAsia="Arial" w:cs="Arial"/>
          <w:b/>
          <w:bCs/>
          <w:iCs/>
          <w:color w:val="555674"/>
          <w:szCs w:val="18"/>
        </w:rPr>
        <w:t xml:space="preserve"> </w:t>
      </w: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33</w:t>
      </w:r>
      <w:r w:rsidRPr="00F34274">
        <w:rPr>
          <w:rFonts w:eastAsia="Arial" w:cs="Arial"/>
          <w:iCs/>
          <w:color w:val="555674"/>
          <w:szCs w:val="18"/>
        </w:rPr>
        <w:fldChar w:fldCharType="end"/>
      </w:r>
      <w:r w:rsidR="00FC7FDC">
        <w:rPr>
          <w:rFonts w:eastAsia="Arial" w:cs="Arial"/>
          <w:iCs/>
          <w:color w:val="555674"/>
          <w:szCs w:val="18"/>
        </w:rPr>
        <w:t xml:space="preserve"> (RHS)</w:t>
      </w:r>
    </w:p>
    <w:p w14:paraId="3A7A2751" w14:textId="51CA0E9E" w:rsidR="00571E59" w:rsidRDefault="00FC7FDC" w:rsidP="00BD2548">
      <w:pPr>
        <w:spacing w:before="120"/>
        <w:rPr>
          <w:rFonts w:eastAsia="Arial" w:cs="Arial"/>
          <w:iCs/>
          <w:color w:val="555674"/>
          <w:szCs w:val="18"/>
        </w:rPr>
      </w:pPr>
      <w:r>
        <w:rPr>
          <w:noProof/>
        </w:rPr>
        <w:drawing>
          <wp:inline distT="0" distB="0" distL="0" distR="0" wp14:anchorId="4FDA8081" wp14:editId="13A2760E">
            <wp:extent cx="2971800" cy="2838840"/>
            <wp:effectExtent l="0" t="0" r="0" b="0"/>
            <wp:docPr id="1942928063" name="Picture 1" descr="A blue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28063" name="Picture 1" descr="A blue pie chart with white text&#10;&#10;Description automatically generated"/>
                    <pic:cNvPicPr/>
                  </pic:nvPicPr>
                  <pic:blipFill rotWithShape="1">
                    <a:blip r:embed="rId79"/>
                    <a:srcRect l="8825" r="8055"/>
                    <a:stretch/>
                  </pic:blipFill>
                  <pic:spPr bwMode="auto">
                    <a:xfrm>
                      <a:off x="0" y="0"/>
                      <a:ext cx="2978868" cy="284559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9FA45B" wp14:editId="2935F182">
            <wp:extent cx="3044190" cy="2840355"/>
            <wp:effectExtent l="0" t="0" r="0" b="0"/>
            <wp:docPr id="1698938714" name="Picture 1" descr="A blue circle with a blue triangle and 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8714" name="Picture 1" descr="A blue circle with a blue triangle and a blue triangle with white text&#10;&#10;Description automatically generated"/>
                    <pic:cNvPicPr/>
                  </pic:nvPicPr>
                  <pic:blipFill rotWithShape="1">
                    <a:blip r:embed="rId80"/>
                    <a:srcRect l="8055"/>
                    <a:stretch/>
                  </pic:blipFill>
                  <pic:spPr bwMode="auto">
                    <a:xfrm>
                      <a:off x="0" y="0"/>
                      <a:ext cx="3055162" cy="2850592"/>
                    </a:xfrm>
                    <a:prstGeom prst="rect">
                      <a:avLst/>
                    </a:prstGeom>
                    <a:ln>
                      <a:noFill/>
                    </a:ln>
                    <a:extLst>
                      <a:ext uri="{53640926-AAD7-44D8-BBD7-CCE9431645EC}">
                        <a14:shadowObscured xmlns:a14="http://schemas.microsoft.com/office/drawing/2010/main"/>
                      </a:ext>
                    </a:extLst>
                  </pic:spPr>
                </pic:pic>
              </a:graphicData>
            </a:graphic>
          </wp:inline>
        </w:drawing>
      </w:r>
    </w:p>
    <w:p w14:paraId="2277BF6F" w14:textId="701CA69E" w:rsidR="00CD60C2" w:rsidRPr="00FC7FDC" w:rsidRDefault="00CD60C2" w:rsidP="00BD2548">
      <w:pPr>
        <w:spacing w:before="120"/>
        <w:rPr>
          <w:rFonts w:eastAsia="Arial" w:cs="Arial"/>
          <w:b/>
          <w:bCs/>
          <w:iCs/>
          <w:color w:val="555674"/>
          <w:szCs w:val="18"/>
        </w:rPr>
      </w:pPr>
      <w:r w:rsidRPr="00F34274">
        <w:rPr>
          <w:rFonts w:eastAsia="Arial" w:cs="Arial"/>
          <w:b/>
          <w:bCs/>
          <w:iCs/>
          <w:color w:val="555674"/>
          <w:szCs w:val="18"/>
        </w:rPr>
        <w:t xml:space="preserve"> </w:t>
      </w:r>
      <w:r w:rsidR="001C1597" w:rsidRPr="00EE7D50">
        <w:rPr>
          <w:rFonts w:eastAsia="Arial" w:cs="Arial"/>
          <w:i/>
          <w:iCs/>
          <w:color w:val="FF0000"/>
        </w:rPr>
        <w:tab/>
      </w:r>
      <w:r w:rsidRPr="00EE7D50">
        <w:rPr>
          <w:rFonts w:eastAsia="Arial" w:cs="Arial"/>
          <w:color w:val="FF0000"/>
        </w:rPr>
        <w:br w:type="textWrapping" w:clear="all"/>
      </w:r>
      <w:r w:rsidRPr="005A0C36">
        <w:rPr>
          <w:rFonts w:eastAsia="Arial" w:cs="Arial"/>
          <w:i/>
          <w:color w:val="555674"/>
        </w:rPr>
        <w:t>Source: British Business Bank data provided to RSM (November 2022), n = 372</w:t>
      </w:r>
    </w:p>
    <w:p w14:paraId="66F7C456" w14:textId="77777777" w:rsidR="00CD60C2" w:rsidRPr="00F34274" w:rsidRDefault="00CD60C2" w:rsidP="00957DB2">
      <w:pPr>
        <w:keepNext/>
        <w:keepLines/>
        <w:spacing w:before="320" w:after="120"/>
        <w:outlineLvl w:val="4"/>
        <w:rPr>
          <w:rFonts w:eastAsia="SimHei" w:cs="Arial"/>
          <w:b/>
          <w:color w:val="1D1D1B"/>
        </w:rPr>
      </w:pPr>
      <w:r w:rsidRPr="00F34274">
        <w:rPr>
          <w:rFonts w:eastAsia="SimHei" w:cs="Arial"/>
          <w:b/>
          <w:color w:val="1D1D1B"/>
        </w:rPr>
        <w:t>D.5 Ethnicity of Directors</w:t>
      </w:r>
    </w:p>
    <w:p w14:paraId="4A340E3A" w14:textId="3D19BA6F" w:rsidR="00CD60C2" w:rsidRPr="00F34274" w:rsidRDefault="00CD60C2" w:rsidP="00957DB2">
      <w:pPr>
        <w:rPr>
          <w:rFonts w:eastAsia="Arial" w:cs="Arial"/>
          <w:i/>
          <w:iCs/>
        </w:rPr>
      </w:pPr>
      <w:r w:rsidRPr="00F34274">
        <w:rPr>
          <w:rFonts w:eastAsia="Arial" w:cs="Arial"/>
        </w:rPr>
        <w:t xml:space="preserve">As can be seen from </w:t>
      </w:r>
      <w:r w:rsidRPr="00F34274">
        <w:rPr>
          <w:rFonts w:eastAsia="Arial" w:cs="Arial"/>
        </w:rPr>
        <w:fldChar w:fldCharType="begin"/>
      </w:r>
      <w:r w:rsidRPr="00F34274">
        <w:rPr>
          <w:rFonts w:eastAsia="Arial" w:cs="Arial"/>
        </w:rPr>
        <w:instrText xml:space="preserve"> REF _Ref136348748 \h </w:instrText>
      </w:r>
      <w:r w:rsidRPr="00F34274">
        <w:rPr>
          <w:rFonts w:eastAsia="Arial" w:cs="Arial"/>
        </w:rPr>
      </w:r>
      <w:r w:rsidRPr="00F34274">
        <w:rPr>
          <w:rFonts w:eastAsia="Arial" w:cs="Arial"/>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36</w:t>
      </w:r>
      <w:r w:rsidRPr="00F34274">
        <w:rPr>
          <w:rFonts w:eastAsia="Arial" w:cs="Arial"/>
        </w:rPr>
        <w:fldChar w:fldCharType="end"/>
      </w:r>
      <w:r w:rsidRPr="00F34274">
        <w:rPr>
          <w:rFonts w:eastAsia="Arial" w:cs="Arial"/>
        </w:rPr>
        <w:t xml:space="preserve">, </w:t>
      </w:r>
      <w:r w:rsidR="00A5531C" w:rsidRPr="00F34274">
        <w:rPr>
          <w:rFonts w:eastAsia="Arial" w:cs="Arial"/>
        </w:rPr>
        <w:t>19% of directors in the RAP funded firms are from ethnic minority backgrounds. There is an opportunity to increase overall diversity among the funded firms – especially given the early-stage of development of these businesses. Diversity is key to innovation, growth and productivity and a key driver of economic dynamism.</w:t>
      </w:r>
    </w:p>
    <w:p w14:paraId="4A433ED4" w14:textId="08304335" w:rsidR="00CD60C2" w:rsidRPr="00F34274" w:rsidRDefault="00CD60C2" w:rsidP="004008BB">
      <w:pPr>
        <w:spacing w:before="120"/>
        <w:rPr>
          <w:rFonts w:eastAsia="Arial" w:cs="Arial"/>
          <w:b/>
          <w:color w:val="1D1D1B"/>
          <w:sz w:val="22"/>
        </w:rPr>
      </w:pPr>
      <w:r w:rsidRPr="00F34274">
        <w:rPr>
          <w:rFonts w:eastAsia="Arial" w:cs="Arial"/>
          <w:iCs/>
          <w:color w:val="555674"/>
          <w:szCs w:val="18"/>
        </w:rPr>
        <w:lastRenderedPageBreak/>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34</w:t>
      </w:r>
      <w:r w:rsidRPr="00F34274">
        <w:rPr>
          <w:rFonts w:eastAsia="Arial" w:cs="Arial"/>
          <w:iCs/>
          <w:color w:val="555674"/>
          <w:szCs w:val="18"/>
        </w:rPr>
        <w:fldChar w:fldCharType="end"/>
      </w:r>
      <w:r w:rsidRPr="00F34274">
        <w:rPr>
          <w:rFonts w:eastAsia="Arial" w:cs="Arial"/>
          <w:iCs/>
          <w:color w:val="555674"/>
          <w:szCs w:val="18"/>
        </w:rPr>
        <w:t xml:space="preserve"> </w:t>
      </w:r>
      <w:r w:rsidR="004008BB">
        <w:rPr>
          <w:rFonts w:eastAsia="Arial" w:cs="Arial"/>
          <w:iCs/>
          <w:color w:val="555674"/>
          <w:szCs w:val="18"/>
        </w:rPr>
        <w:t xml:space="preserve">(LHS) </w:t>
      </w:r>
      <w:r w:rsidRPr="00F34274">
        <w:rPr>
          <w:rFonts w:eastAsia="Arial" w:cs="Arial"/>
          <w:iCs/>
          <w:color w:val="555674"/>
          <w:szCs w:val="18"/>
        </w:rPr>
        <w:t xml:space="preserve">&amp; 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35</w:t>
      </w:r>
      <w:r w:rsidRPr="00F34274">
        <w:rPr>
          <w:rFonts w:eastAsia="Arial" w:cs="Arial"/>
          <w:iCs/>
          <w:color w:val="555674"/>
          <w:szCs w:val="18"/>
        </w:rPr>
        <w:fldChar w:fldCharType="end"/>
      </w:r>
      <w:r w:rsidR="004008BB">
        <w:rPr>
          <w:rFonts w:eastAsia="Arial" w:cs="Arial"/>
          <w:iCs/>
          <w:color w:val="555674"/>
          <w:szCs w:val="18"/>
        </w:rPr>
        <w:t xml:space="preserve"> (RHS)</w:t>
      </w:r>
      <w:r w:rsidRPr="00F34274">
        <w:rPr>
          <w:rFonts w:eastAsia="Arial" w:cs="Arial"/>
          <w:b/>
          <w:i/>
          <w:iCs/>
          <w:color w:val="1D1D1B"/>
          <w:sz w:val="22"/>
        </w:rPr>
        <w:br w:type="textWrapping" w:clear="all"/>
      </w:r>
      <w:r w:rsidR="009D1141">
        <w:rPr>
          <w:noProof/>
        </w:rPr>
        <w:drawing>
          <wp:inline distT="0" distB="0" distL="0" distR="0" wp14:anchorId="209E983B" wp14:editId="03F3DB05">
            <wp:extent cx="2917825" cy="3197860"/>
            <wp:effectExtent l="0" t="0" r="0" b="0"/>
            <wp:docPr id="574046952" name="Picture 1" descr="Figure 34 is a pie chart depicting the ethnicity of directors in the London and South East regions of the UK. The chart is divided into two segments:&#10;&#10;A dark blue segment representing non-ethnic minority directors, making up 80% of the total.&#10;A smaller light blue segment representing ethnic minority directors, accounting for 20%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46952" name="Picture 1" descr="Figure 34 is a pie chart depicting the ethnicity of directors in the London and South East regions of the UK. The chart is divided into two segments:&#10;&#10;A dark blue segment representing non-ethnic minority directors, making up 80% of the total.&#10;A smaller light blue segment representing ethnic minority directors, accounting for 20% of the total."/>
                    <pic:cNvPicPr/>
                  </pic:nvPicPr>
                  <pic:blipFill>
                    <a:blip r:embed="rId81"/>
                    <a:stretch>
                      <a:fillRect/>
                    </a:stretch>
                  </pic:blipFill>
                  <pic:spPr>
                    <a:xfrm>
                      <a:off x="0" y="0"/>
                      <a:ext cx="2941900" cy="3224246"/>
                    </a:xfrm>
                    <a:prstGeom prst="rect">
                      <a:avLst/>
                    </a:prstGeom>
                  </pic:spPr>
                </pic:pic>
              </a:graphicData>
            </a:graphic>
          </wp:inline>
        </w:drawing>
      </w:r>
      <w:r w:rsidR="009D1141">
        <w:rPr>
          <w:noProof/>
        </w:rPr>
        <w:drawing>
          <wp:inline distT="0" distB="0" distL="0" distR="0" wp14:anchorId="0C84A4F7" wp14:editId="74C12B85">
            <wp:extent cx="2846438" cy="3151448"/>
            <wp:effectExtent l="0" t="0" r="0" b="0"/>
            <wp:docPr id="690948946" name="Picture 1" descr="Figure 35 is a pie chart illustrating the ethnicity of directors in UK regions other than London and the South East. The chart has two segments:&#10;&#10;A large dark blue segment representing non-ethnic minority directors, which comprises the majority at 91%.&#10;A much smaller light blue wedge representing ethnic minority directors, making up 9%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48946" name="Picture 1" descr="Figure 35 is a pie chart illustrating the ethnicity of directors in UK regions other than London and the South East. The chart has two segments:&#10;&#10;A large dark blue segment representing non-ethnic minority directors, which comprises the majority at 91%.&#10;A much smaller light blue wedge representing ethnic minority directors, making up 9% of the total."/>
                    <pic:cNvPicPr/>
                  </pic:nvPicPr>
                  <pic:blipFill rotWithShape="1">
                    <a:blip r:embed="rId82"/>
                    <a:srcRect l="-229" r="229" b="1156"/>
                    <a:stretch/>
                  </pic:blipFill>
                  <pic:spPr bwMode="auto">
                    <a:xfrm>
                      <a:off x="0" y="0"/>
                      <a:ext cx="2868221" cy="3175565"/>
                    </a:xfrm>
                    <a:prstGeom prst="rect">
                      <a:avLst/>
                    </a:prstGeom>
                    <a:ln>
                      <a:noFill/>
                    </a:ln>
                    <a:extLst>
                      <a:ext uri="{53640926-AAD7-44D8-BBD7-CCE9431645EC}">
                        <a14:shadowObscured xmlns:a14="http://schemas.microsoft.com/office/drawing/2010/main"/>
                      </a:ext>
                    </a:extLst>
                  </pic:spPr>
                </pic:pic>
              </a:graphicData>
            </a:graphic>
          </wp:inline>
        </w:drawing>
      </w:r>
    </w:p>
    <w:p w14:paraId="10CE37E4" w14:textId="024E8770" w:rsidR="00CD60C2" w:rsidRPr="00F34274" w:rsidRDefault="00CD60C2" w:rsidP="00957DB2">
      <w:pPr>
        <w:spacing w:before="120"/>
        <w:rPr>
          <w:rFonts w:eastAsia="Arial" w:cs="Arial"/>
          <w:iCs/>
          <w:color w:val="555674"/>
          <w:szCs w:val="18"/>
        </w:rPr>
      </w:pPr>
      <w:bookmarkStart w:id="262" w:name="_Ref136348748"/>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36</w:t>
      </w:r>
      <w:r w:rsidRPr="00F34274">
        <w:rPr>
          <w:rFonts w:eastAsia="Arial" w:cs="Arial"/>
          <w:iCs/>
          <w:color w:val="555674"/>
          <w:szCs w:val="18"/>
        </w:rPr>
        <w:fldChar w:fldCharType="end"/>
      </w:r>
      <w:bookmarkEnd w:id="262"/>
      <w:r w:rsidRPr="00F34274">
        <w:rPr>
          <w:rFonts w:eastAsia="Arial" w:cs="Arial"/>
          <w:iCs/>
          <w:noProof/>
          <w:color w:val="555674"/>
          <w:szCs w:val="18"/>
        </w:rPr>
        <w:t>:</w:t>
      </w:r>
      <w:r w:rsidRPr="00F34274">
        <w:rPr>
          <w:rFonts w:eastAsia="Arial" w:cs="Arial"/>
          <w:iCs/>
          <w:color w:val="555674"/>
          <w:szCs w:val="18"/>
        </w:rPr>
        <w:t xml:space="preserve"> National breakdown of ethnic-minority directors within firms funded by </w:t>
      </w:r>
      <w:proofErr w:type="gramStart"/>
      <w:r w:rsidRPr="00F34274">
        <w:rPr>
          <w:rFonts w:eastAsia="Arial" w:cs="Arial"/>
          <w:iCs/>
          <w:color w:val="555674"/>
          <w:szCs w:val="18"/>
        </w:rPr>
        <w:t>RAP</w:t>
      </w:r>
      <w:proofErr w:type="gramEnd"/>
      <w:r w:rsidRPr="00F34274">
        <w:rPr>
          <w:rFonts w:eastAsia="Arial" w:cs="Arial"/>
          <w:iCs/>
          <w:color w:val="555674"/>
          <w:szCs w:val="18"/>
        </w:rPr>
        <w:t xml:space="preserve"> </w:t>
      </w:r>
    </w:p>
    <w:p w14:paraId="5242D662" w14:textId="3C4A28B6" w:rsidR="00CD60C2" w:rsidRPr="00F34274" w:rsidRDefault="00972798" w:rsidP="00957DB2">
      <w:pPr>
        <w:spacing w:line="264" w:lineRule="auto"/>
        <w:jc w:val="center"/>
        <w:rPr>
          <w:rFonts w:eastAsia="Arial" w:cs="Arial"/>
          <w:b/>
          <w:i/>
          <w:iCs/>
          <w:color w:val="1D1D1B"/>
          <w:sz w:val="22"/>
        </w:rPr>
      </w:pPr>
      <w:r>
        <w:rPr>
          <w:noProof/>
        </w:rPr>
        <w:drawing>
          <wp:inline distT="0" distB="0" distL="0" distR="0" wp14:anchorId="0408A869" wp14:editId="1CEC1660">
            <wp:extent cx="2544097" cy="2866479"/>
            <wp:effectExtent l="0" t="0" r="0" b="0"/>
            <wp:docPr id="959383278" name="Picture 1" descr="Figure 36 is a pie chart that shows the national breakdown of ethnic-minority directors within firms funded by the RAP:&#10;&#10;The larger dark blue portion of the chart accounts for 87% and represents non-ethnic minority directors.&#10;The smaller light blue section represents ethnic minority directors, constituting 13%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83278" name="Picture 1" descr="Figure 36 is a pie chart that shows the national breakdown of ethnic-minority directors within firms funded by the RAP:&#10;&#10;The larger dark blue portion of the chart accounts for 87% and represents non-ethnic minority directors.&#10;The smaller light blue section represents ethnic minority directors, constituting 13% of the total."/>
                    <pic:cNvPicPr/>
                  </pic:nvPicPr>
                  <pic:blipFill>
                    <a:blip r:embed="rId83"/>
                    <a:stretch>
                      <a:fillRect/>
                    </a:stretch>
                  </pic:blipFill>
                  <pic:spPr>
                    <a:xfrm>
                      <a:off x="0" y="0"/>
                      <a:ext cx="2560762" cy="2885256"/>
                    </a:xfrm>
                    <a:prstGeom prst="rect">
                      <a:avLst/>
                    </a:prstGeom>
                  </pic:spPr>
                </pic:pic>
              </a:graphicData>
            </a:graphic>
          </wp:inline>
        </w:drawing>
      </w:r>
    </w:p>
    <w:p w14:paraId="69273C0D" w14:textId="77777777" w:rsidR="00CD60C2" w:rsidRPr="00F34274" w:rsidRDefault="00CD60C2" w:rsidP="00870D9C">
      <w:pPr>
        <w:rPr>
          <w:rFonts w:eastAsia="Arial" w:cs="Arial"/>
          <w:i/>
          <w:iCs/>
        </w:rPr>
      </w:pPr>
      <w:r w:rsidRPr="005A0C36">
        <w:rPr>
          <w:rFonts w:eastAsia="Arial" w:cs="Arial"/>
          <w:i/>
          <w:color w:val="555674"/>
        </w:rPr>
        <w:t>Source: British Business Bank data provided to RSM (November 2022), n = 372</w:t>
      </w:r>
    </w:p>
    <w:p w14:paraId="5E72A9FE" w14:textId="77777777" w:rsidR="00A5531C" w:rsidRPr="00F34274" w:rsidRDefault="00A5531C" w:rsidP="00A5531C">
      <w:pPr>
        <w:keepNext/>
        <w:keepLines/>
        <w:spacing w:before="320" w:after="120"/>
        <w:outlineLvl w:val="4"/>
        <w:rPr>
          <w:rFonts w:eastAsia="SimHei" w:cs="Arial"/>
          <w:b/>
          <w:color w:val="1D1D1B"/>
        </w:rPr>
      </w:pPr>
      <w:r w:rsidRPr="00F34274">
        <w:rPr>
          <w:rFonts w:eastAsia="SimHei" w:cs="Arial"/>
          <w:b/>
          <w:color w:val="1D1D1B"/>
        </w:rPr>
        <w:t xml:space="preserve">D.6 Funded firms sector profile </w:t>
      </w:r>
    </w:p>
    <w:p w14:paraId="6DEA3237" w14:textId="6FF070AD" w:rsidR="00CD60C2" w:rsidRPr="00F34274" w:rsidRDefault="197AFA7C" w:rsidP="00A5531C">
      <w:pPr>
        <w:rPr>
          <w:rFonts w:eastAsia="Arial" w:cs="Arial"/>
        </w:rPr>
      </w:pPr>
      <w:r w:rsidRPr="00F34274">
        <w:rPr>
          <w:rFonts w:eastAsia="Arial" w:cs="Arial"/>
        </w:rPr>
        <w:t xml:space="preserve">Several industry sectors recorded very little investment while others appeared to be disproportionately invested in. It is interesting to note that the broad tech, </w:t>
      </w:r>
      <w:proofErr w:type="gramStart"/>
      <w:r w:rsidRPr="00F34274">
        <w:rPr>
          <w:rFonts w:eastAsia="Arial" w:cs="Arial"/>
        </w:rPr>
        <w:t>information</w:t>
      </w:r>
      <w:proofErr w:type="gramEnd"/>
      <w:r w:rsidRPr="00F34274">
        <w:rPr>
          <w:rFonts w:eastAsia="Arial" w:cs="Arial"/>
        </w:rPr>
        <w:t xml:space="preserve"> and communications sector shows up strongly when considering the funding distribution across the profile of UK economic activities. While the technology sector broadly accounts for </w:t>
      </w:r>
      <w:r w:rsidRPr="00F34274">
        <w:rPr>
          <w:rFonts w:eastAsia="Arial" w:cs="Arial"/>
        </w:rPr>
        <w:lastRenderedPageBreak/>
        <w:t>approximately 6% of UK output, it makes an important ongoing contribution to UK growth, and has continued to do so during the Covid-19 pandemic, even where general economic activity has declined as times</w:t>
      </w:r>
      <w:r w:rsidR="00A5531C" w:rsidRPr="00F34274">
        <w:rPr>
          <w:rFonts w:eastAsia="Arial" w:cs="Arial"/>
          <w:vertAlign w:val="superscript"/>
        </w:rPr>
        <w:footnoteReference w:id="61"/>
      </w:r>
      <w:r w:rsidRPr="00F34274">
        <w:rPr>
          <w:rFonts w:eastAsia="Arial" w:cs="Arial"/>
        </w:rPr>
        <w:t>. Other parts of the UK economy, such as professional, scientific, and technological services, as well as manufacturing show up in terms of funding provided by RAP.</w:t>
      </w:r>
    </w:p>
    <w:p w14:paraId="4C9549FC" w14:textId="1758900B" w:rsidR="00CD60C2" w:rsidRPr="00F34274" w:rsidRDefault="00CD60C2" w:rsidP="00957DB2">
      <w:pPr>
        <w:spacing w:before="120"/>
        <w:rPr>
          <w:rFonts w:eastAsia="Arial" w:cs="Arial"/>
          <w:iCs/>
          <w:color w:val="555674"/>
          <w:szCs w:val="18"/>
        </w:rPr>
      </w:pPr>
      <w:r w:rsidRPr="00F34274">
        <w:rPr>
          <w:rFonts w:eastAsia="Arial" w:cs="Arial"/>
          <w:iCs/>
          <w:color w:val="555674"/>
          <w:szCs w:val="18"/>
        </w:rPr>
        <w:t xml:space="preserve">Figure </w:t>
      </w:r>
      <w:r w:rsidRPr="00F34274">
        <w:rPr>
          <w:rFonts w:eastAsia="Arial" w:cs="Arial"/>
          <w:color w:val="555674"/>
          <w:szCs w:val="18"/>
        </w:rPr>
        <w:fldChar w:fldCharType="begin"/>
      </w:r>
      <w:r w:rsidRPr="00F34274">
        <w:rPr>
          <w:rFonts w:eastAsia="Arial" w:cs="Arial"/>
          <w:color w:val="555674"/>
          <w:szCs w:val="18"/>
        </w:rPr>
        <w:instrText xml:space="preserve"> SEQ Figure \* ARABIC </w:instrText>
      </w:r>
      <w:r w:rsidRPr="00F34274">
        <w:rPr>
          <w:rFonts w:eastAsia="Arial" w:cs="Arial"/>
          <w:color w:val="555674"/>
          <w:szCs w:val="18"/>
        </w:rPr>
        <w:fldChar w:fldCharType="separate"/>
      </w:r>
      <w:r w:rsidR="00BC412E">
        <w:rPr>
          <w:rFonts w:eastAsia="Arial" w:cs="Arial"/>
          <w:noProof/>
          <w:color w:val="555674"/>
          <w:szCs w:val="18"/>
        </w:rPr>
        <w:t>37</w:t>
      </w:r>
      <w:r w:rsidRPr="00F34274">
        <w:rPr>
          <w:rFonts w:eastAsia="Arial" w:cs="Arial"/>
          <w:color w:val="555674"/>
          <w:szCs w:val="18"/>
        </w:rPr>
        <w:fldChar w:fldCharType="end"/>
      </w:r>
      <w:r w:rsidRPr="00F34274">
        <w:rPr>
          <w:rFonts w:eastAsia="Arial" w:cs="Arial"/>
          <w:iCs/>
          <w:noProof/>
          <w:color w:val="555674"/>
          <w:szCs w:val="18"/>
        </w:rPr>
        <w:t>:</w:t>
      </w:r>
      <w:r w:rsidRPr="00F34274">
        <w:rPr>
          <w:rFonts w:eastAsia="Arial" w:cs="Arial"/>
          <w:iCs/>
          <w:color w:val="555674"/>
          <w:szCs w:val="18"/>
        </w:rPr>
        <w:t xml:space="preserve"> Profile of industry sector of Programme participation </w:t>
      </w:r>
      <w:r w:rsidRPr="00F34274">
        <w:rPr>
          <w:rFonts w:eastAsia="Arial" w:cs="Arial"/>
          <w:iCs/>
          <w:color w:val="555674"/>
          <w:szCs w:val="18"/>
        </w:rPr>
        <w:br/>
      </w:r>
      <w:r w:rsidR="00972798">
        <w:rPr>
          <w:noProof/>
        </w:rPr>
        <w:drawing>
          <wp:inline distT="0" distB="0" distL="0" distR="0" wp14:anchorId="3A807438" wp14:editId="64ABF032">
            <wp:extent cx="6589395" cy="2946400"/>
            <wp:effectExtent l="0" t="0" r="0" b="0"/>
            <wp:docPr id="2064398292" name="Picture 1" descr="Figure 37 is a vertical bar chart that displays the profile of industry sector participation in RAP:&#10;&#10;&quot;Information and communication&quot; has the highest participation with 158 entities.&#10;&quot;Professional, scientific and technical activities&quot; have a presence with 80 entities.&#10;&quot;Manufacturing&quot; shows 39 entities.&#10;&quot;Wholesale and retail trade; repair of motor vehicles and motorcycles&quot; is represented by 24 entities.&#10;&quot;Administrative and support service activities&quot; have 15 entities participating.&#10;&quot;Financial and insurance activities&quot; and &quot;Other service activities&quot; have 8 and 9 entities, respectively.&#10;&quot;Human health and social work activities,&quot; &quot;Education,&quot; and &quot;Transportation and storage&quot; each have a participation of 5 entities.&#10;&quot;Accommodation and food service activities&quot; involve 4 entities.&#10;&quot;Real estate activities,&quot; &quot;Mining and Quarrying,&quot; and &quot;Water supply, sewerage, waste management, and remediation activities&quot; each have 2 entities.&#10;&quot;Arts, entertainment and recreation,&quot; and &quot;Construction&quot; sectors have the least participation with 1 entity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8292" name="Picture 1" descr="Figure 37 is a vertical bar chart that displays the profile of industry sector participation in RAP:&#10;&#10;&quot;Information and communication&quot; has the highest participation with 158 entities.&#10;&quot;Professional, scientific and technical activities&quot; have a presence with 80 entities.&#10;&quot;Manufacturing&quot; shows 39 entities.&#10;&quot;Wholesale and retail trade; repair of motor vehicles and motorcycles&quot; is represented by 24 entities.&#10;&quot;Administrative and support service activities&quot; have 15 entities participating.&#10;&quot;Financial and insurance activities&quot; and &quot;Other service activities&quot; have 8 and 9 entities, respectively.&#10;&quot;Human health and social work activities,&quot; &quot;Education,&quot; and &quot;Transportation and storage&quot; each have a participation of 5 entities.&#10;&quot;Accommodation and food service activities&quot; involve 4 entities.&#10;&quot;Real estate activities,&quot; &quot;Mining and Quarrying,&quot; and &quot;Water supply, sewerage, waste management, and remediation activities&quot; each have 2 entities.&#10;&quot;Arts, entertainment and recreation,&quot; and &quot;Construction&quot; sectors have the least participation with 1 entity each."/>
                    <pic:cNvPicPr/>
                  </pic:nvPicPr>
                  <pic:blipFill>
                    <a:blip r:embed="rId84"/>
                    <a:stretch>
                      <a:fillRect/>
                    </a:stretch>
                  </pic:blipFill>
                  <pic:spPr>
                    <a:xfrm>
                      <a:off x="0" y="0"/>
                      <a:ext cx="6677424" cy="2985762"/>
                    </a:xfrm>
                    <a:prstGeom prst="rect">
                      <a:avLst/>
                    </a:prstGeom>
                  </pic:spPr>
                </pic:pic>
              </a:graphicData>
            </a:graphic>
          </wp:inline>
        </w:drawing>
      </w:r>
    </w:p>
    <w:p w14:paraId="42269939" w14:textId="64607422" w:rsidR="00CD60C2" w:rsidRDefault="00CD60C2" w:rsidP="00957DB2">
      <w:pPr>
        <w:rPr>
          <w:rFonts w:eastAsia="Arial" w:cs="Arial"/>
          <w:i/>
          <w:iCs/>
        </w:rPr>
      </w:pPr>
    </w:p>
    <w:p w14:paraId="2D6B15E3" w14:textId="77777777" w:rsidR="002E6D43" w:rsidRDefault="002E6D43" w:rsidP="00957DB2">
      <w:pPr>
        <w:rPr>
          <w:rFonts w:eastAsia="Arial" w:cs="Arial"/>
          <w:i/>
          <w:iCs/>
        </w:rPr>
      </w:pPr>
    </w:p>
    <w:p w14:paraId="4F158E22" w14:textId="77777777" w:rsidR="002E6D43" w:rsidRDefault="002E6D43" w:rsidP="00957DB2">
      <w:pPr>
        <w:rPr>
          <w:rFonts w:eastAsia="Arial" w:cs="Arial"/>
          <w:i/>
          <w:iCs/>
        </w:rPr>
      </w:pPr>
    </w:p>
    <w:p w14:paraId="0F221609" w14:textId="77777777" w:rsidR="002E6D43" w:rsidRDefault="002E6D43" w:rsidP="00957DB2">
      <w:pPr>
        <w:rPr>
          <w:rFonts w:eastAsia="Arial" w:cs="Arial"/>
          <w:i/>
          <w:iCs/>
        </w:rPr>
      </w:pPr>
    </w:p>
    <w:p w14:paraId="795266F9" w14:textId="77777777" w:rsidR="002E6D43" w:rsidRDefault="002E6D43" w:rsidP="00957DB2">
      <w:pPr>
        <w:rPr>
          <w:rFonts w:eastAsia="Arial" w:cs="Arial"/>
          <w:i/>
          <w:iCs/>
        </w:rPr>
      </w:pPr>
    </w:p>
    <w:p w14:paraId="229B6A2E" w14:textId="77777777" w:rsidR="002E6D43" w:rsidRDefault="002E6D43" w:rsidP="00957DB2">
      <w:pPr>
        <w:rPr>
          <w:rFonts w:eastAsia="Arial" w:cs="Arial"/>
          <w:i/>
          <w:iCs/>
        </w:rPr>
      </w:pPr>
    </w:p>
    <w:p w14:paraId="5E825620" w14:textId="77777777" w:rsidR="002E6D43" w:rsidRDefault="002E6D43" w:rsidP="00957DB2">
      <w:pPr>
        <w:rPr>
          <w:rFonts w:eastAsia="Arial" w:cs="Arial"/>
          <w:i/>
          <w:iCs/>
        </w:rPr>
      </w:pPr>
    </w:p>
    <w:p w14:paraId="44032A3E" w14:textId="77777777" w:rsidR="00D92FD0" w:rsidRDefault="00D92FD0" w:rsidP="00957DB2">
      <w:pPr>
        <w:rPr>
          <w:rFonts w:eastAsia="Arial" w:cs="Arial"/>
          <w:i/>
        </w:rPr>
      </w:pPr>
    </w:p>
    <w:p w14:paraId="3A6050B4" w14:textId="77777777" w:rsidR="00784475" w:rsidRDefault="00784475" w:rsidP="00957DB2">
      <w:pPr>
        <w:rPr>
          <w:rFonts w:eastAsia="Arial" w:cs="Arial"/>
          <w:i/>
        </w:rPr>
      </w:pPr>
    </w:p>
    <w:p w14:paraId="4DD16B4B" w14:textId="77777777" w:rsidR="00784475" w:rsidRPr="00F34274" w:rsidRDefault="00784475" w:rsidP="00957DB2">
      <w:pPr>
        <w:rPr>
          <w:rFonts w:eastAsia="Arial" w:cs="Arial"/>
          <w:i/>
        </w:rPr>
      </w:pPr>
    </w:p>
    <w:p w14:paraId="4A25DE89" w14:textId="77777777" w:rsidR="00270A72" w:rsidRPr="00F34274" w:rsidRDefault="00270A72" w:rsidP="00784475">
      <w:pPr>
        <w:pStyle w:val="Heading2"/>
      </w:pPr>
      <w:bookmarkStart w:id="263" w:name="_Toc144830592"/>
      <w:bookmarkStart w:id="264" w:name="_Toc165482248"/>
      <w:bookmarkStart w:id="265" w:name="_Toc165497213"/>
      <w:bookmarkStart w:id="266" w:name="_Toc136592091"/>
      <w:bookmarkStart w:id="267" w:name="_Hlk102132129"/>
      <w:bookmarkStart w:id="268" w:name="_Toc1624173361"/>
      <w:bookmarkStart w:id="269" w:name="_Hlk97888715"/>
      <w:bookmarkEnd w:id="206"/>
      <w:bookmarkEnd w:id="207"/>
      <w:bookmarkEnd w:id="208"/>
      <w:bookmarkEnd w:id="260"/>
      <w:r w:rsidRPr="00F34274">
        <w:t xml:space="preserve">Annex E: KPI trend </w:t>
      </w:r>
      <w:proofErr w:type="gramStart"/>
      <w:r w:rsidRPr="00F34274">
        <w:t>analysis</w:t>
      </w:r>
      <w:bookmarkEnd w:id="263"/>
      <w:bookmarkEnd w:id="264"/>
      <w:bookmarkEnd w:id="265"/>
      <w:proofErr w:type="gramEnd"/>
    </w:p>
    <w:p w14:paraId="29D71459" w14:textId="77777777" w:rsidR="00270A72" w:rsidRPr="00F34274" w:rsidRDefault="00270A72" w:rsidP="00270A72">
      <w:pPr>
        <w:keepNext/>
        <w:keepLines/>
        <w:spacing w:before="320" w:after="120"/>
        <w:outlineLvl w:val="4"/>
        <w:rPr>
          <w:rFonts w:eastAsia="SimHei" w:cs="Arial"/>
          <w:b/>
          <w:color w:val="1D1D1B"/>
        </w:rPr>
      </w:pPr>
      <w:r w:rsidRPr="00F34274">
        <w:rPr>
          <w:rFonts w:eastAsia="SimHei" w:cs="Arial"/>
          <w:b/>
          <w:color w:val="1D1D1B"/>
        </w:rPr>
        <w:t>E.1 Fundraising activity</w:t>
      </w:r>
    </w:p>
    <w:p w14:paraId="3873287F" w14:textId="77777777" w:rsidR="00BC412E" w:rsidRDefault="003C06F0" w:rsidP="004B28A6">
      <w:pPr>
        <w:pStyle w:val="Caption"/>
      </w:pPr>
      <w:r>
        <w:rPr>
          <w:rFonts w:eastAsia="Arial" w:cs="Arial"/>
        </w:rPr>
        <w:fldChar w:fldCharType="begin"/>
      </w:r>
      <w:r>
        <w:rPr>
          <w:rFonts w:eastAsia="Arial" w:cs="Arial"/>
        </w:rPr>
        <w:instrText xml:space="preserve"> REF _Ref145072873 \h </w:instrText>
      </w:r>
      <w:r>
        <w:rPr>
          <w:rFonts w:eastAsia="Arial" w:cs="Arial"/>
        </w:rPr>
      </w:r>
      <w:r>
        <w:rPr>
          <w:rFonts w:eastAsia="Arial" w:cs="Arial"/>
        </w:rPr>
        <w:fldChar w:fldCharType="separate"/>
      </w:r>
    </w:p>
    <w:p w14:paraId="3B34675C" w14:textId="60D3155F" w:rsidR="00270A72" w:rsidRPr="00F34274" w:rsidRDefault="00BC412E" w:rsidP="00270A72">
      <w:pPr>
        <w:rPr>
          <w:rFonts w:eastAsia="Arial" w:cs="Arial"/>
        </w:rPr>
      </w:pPr>
      <w:r>
        <w:t xml:space="preserve">Table </w:t>
      </w:r>
      <w:r>
        <w:rPr>
          <w:noProof/>
        </w:rPr>
        <w:t>11</w:t>
      </w:r>
      <w:r w:rsidR="003C06F0">
        <w:rPr>
          <w:rFonts w:eastAsia="Arial" w:cs="Arial"/>
        </w:rPr>
        <w:fldChar w:fldCharType="end"/>
      </w:r>
      <w:r w:rsidR="37407A31" w:rsidRPr="00F34274">
        <w:rPr>
          <w:rFonts w:eastAsia="Arial" w:cs="Arial"/>
        </w:rPr>
        <w:t xml:space="preserve"> below summarises fundraising activity of RAP funded firms relative to a counterfactual. We compare fundraising activity in 2019, pre-RAP, with activity in 2022 – the first-year post RAP financing for the first cohort</w:t>
      </w:r>
      <w:r w:rsidR="00270A72" w:rsidRPr="00F34274">
        <w:rPr>
          <w:rFonts w:eastAsia="Arial" w:cs="Arial"/>
          <w:vertAlign w:val="superscript"/>
        </w:rPr>
        <w:footnoteReference w:id="62"/>
      </w:r>
      <w:r w:rsidR="37407A31" w:rsidRPr="00F34274">
        <w:rPr>
          <w:rFonts w:eastAsia="Arial" w:cs="Arial"/>
        </w:rPr>
        <w:t xml:space="preserve"> of funded firms. Data is available for 350 funded firms and a sample of those (84) are matched to a counterfactual group. </w:t>
      </w:r>
    </w:p>
    <w:p w14:paraId="646E03C5" w14:textId="77777777" w:rsidR="00270A72" w:rsidRPr="00F34274" w:rsidRDefault="00270A72" w:rsidP="00270A72">
      <w:pPr>
        <w:rPr>
          <w:rFonts w:eastAsia="Arial" w:cs="Arial"/>
        </w:rPr>
      </w:pPr>
      <w:r w:rsidRPr="00F34274">
        <w:rPr>
          <w:rFonts w:eastAsia="Arial" w:cs="Arial"/>
        </w:rPr>
        <w:t xml:space="preserve">Firms do not raise funds in all years. In 2019, 154 of 350 (44%) of the RAP funded firms raised funding, and three years later 207 of these firms (59%) raised funding. The average amount of funding raised doubles over this period from £9031k to £2,077k and half of the firms raised more than £500k in 2019. This figure doubles to £1,000 in 2022, and this is a positive sign suggesting that the RAP funded firms have become more mature over time. One of the RAP funded firms received £22m in fundraising activity in 2022, more than double the largest sum invested in 2019 (£9m). </w:t>
      </w:r>
    </w:p>
    <w:p w14:paraId="56E285A3" w14:textId="6B93841D" w:rsidR="00CD60C2" w:rsidRDefault="00270A72" w:rsidP="00270A72">
      <w:pPr>
        <w:rPr>
          <w:rFonts w:eastAsia="Arial" w:cs="Arial"/>
        </w:rPr>
      </w:pPr>
      <w:r w:rsidRPr="00F34274">
        <w:rPr>
          <w:rFonts w:eastAsia="Arial" w:cs="Arial"/>
        </w:rPr>
        <w:t xml:space="preserve">A comparison with a counterfactual group is difficult and the fundraising data suggests that </w:t>
      </w:r>
      <w:proofErr w:type="gramStart"/>
      <w:r w:rsidRPr="00F34274">
        <w:rPr>
          <w:rFonts w:eastAsia="Arial" w:cs="Arial"/>
        </w:rPr>
        <w:t>the majority of</w:t>
      </w:r>
      <w:proofErr w:type="gramEnd"/>
      <w:r w:rsidRPr="00F34274">
        <w:rPr>
          <w:rFonts w:eastAsia="Arial" w:cs="Arial"/>
        </w:rPr>
        <w:t xml:space="preserve"> these firms are more established. The matching only partially corrects for these differences in firm maturity. The matched sample shows that these groups of firms are attracting larger sums of fundraising and that the average volume of fundraising of the matched firms has doubled since 2019. </w:t>
      </w:r>
      <w:proofErr w:type="spellStart"/>
      <w:r w:rsidRPr="00F34274">
        <w:rPr>
          <w:rFonts w:eastAsia="Arial" w:cs="Arial"/>
        </w:rPr>
        <w:t>Beauhurst</w:t>
      </w:r>
      <w:proofErr w:type="spellEnd"/>
      <w:r w:rsidRPr="00F34274">
        <w:rPr>
          <w:rFonts w:eastAsia="Arial" w:cs="Arial"/>
        </w:rPr>
        <w:t xml:space="preserve"> data on fundraising for the funded firms suggests that half of the RAP funded firms have not doubled their fundraising activity (change from £900k to £1,239k). The matched sample also shows a drop in the percentage of firms that have raised funds (73% to 50% for the funded firms and 66% to 47% for the counterfactual). This could indicate that many of these firms have sourced funding in previous years which has helped them grow, reducing the need to source funding on a year-on-year basis.</w:t>
      </w:r>
    </w:p>
    <w:p w14:paraId="20A4951E" w14:textId="77777777" w:rsidR="001A6B44" w:rsidRDefault="001A6B44" w:rsidP="00957DB2">
      <w:pPr>
        <w:rPr>
          <w:rFonts w:eastAsia="Arial" w:cs="Arial"/>
        </w:rPr>
      </w:pPr>
    </w:p>
    <w:p w14:paraId="05ACC4BC" w14:textId="77777777" w:rsidR="00450781" w:rsidRDefault="00450781" w:rsidP="00957DB2">
      <w:pPr>
        <w:rPr>
          <w:rFonts w:eastAsia="Arial" w:cs="Arial"/>
        </w:rPr>
      </w:pPr>
    </w:p>
    <w:p w14:paraId="4712C921" w14:textId="77777777" w:rsidR="00450781" w:rsidRPr="00F34274" w:rsidRDefault="00450781" w:rsidP="00957DB2">
      <w:pPr>
        <w:rPr>
          <w:rFonts w:eastAsia="Arial" w:cs="Arial"/>
        </w:rPr>
      </w:pPr>
    </w:p>
    <w:p w14:paraId="63514BA7" w14:textId="77777777" w:rsidR="00455562" w:rsidRDefault="00455562" w:rsidP="004B28A6">
      <w:pPr>
        <w:pStyle w:val="Caption"/>
      </w:pPr>
      <w:bookmarkStart w:id="270" w:name="_Ref145072873"/>
    </w:p>
    <w:p w14:paraId="4B2DAC49" w14:textId="3BB9E334" w:rsidR="00CD60C2" w:rsidRPr="00F34274" w:rsidRDefault="004B28A6" w:rsidP="004B28A6">
      <w:pPr>
        <w:pStyle w:val="Caption"/>
        <w:rPr>
          <w:rFonts w:eastAsia="Arial" w:cs="Arial"/>
          <w:iCs w:val="0"/>
        </w:rPr>
      </w:pPr>
      <w:r>
        <w:t xml:space="preserve">Table </w:t>
      </w:r>
      <w:r>
        <w:fldChar w:fldCharType="begin"/>
      </w:r>
      <w:r>
        <w:instrText>SEQ Table \* ARABIC</w:instrText>
      </w:r>
      <w:r>
        <w:fldChar w:fldCharType="separate"/>
      </w:r>
      <w:r w:rsidR="00BC412E">
        <w:rPr>
          <w:noProof/>
        </w:rPr>
        <w:t>11</w:t>
      </w:r>
      <w:r>
        <w:fldChar w:fldCharType="end"/>
      </w:r>
      <w:bookmarkEnd w:id="270"/>
      <w:r>
        <w:t xml:space="preserve">: </w:t>
      </w:r>
      <w:r w:rsidRPr="00B3107B">
        <w:t>Fundraising activity of RAP funded firms and a counterfactual</w:t>
      </w:r>
    </w:p>
    <w:tbl>
      <w:tblPr>
        <w:tblStyle w:val="PlainTable21"/>
        <w:tblW w:w="0" w:type="auto"/>
        <w:tblLook w:val="0420" w:firstRow="1" w:lastRow="0" w:firstColumn="0" w:lastColumn="0" w:noHBand="0" w:noVBand="1"/>
      </w:tblPr>
      <w:tblGrid>
        <w:gridCol w:w="2331"/>
        <w:gridCol w:w="999"/>
        <w:gridCol w:w="706"/>
        <w:gridCol w:w="1767"/>
        <w:gridCol w:w="1095"/>
        <w:gridCol w:w="1205"/>
        <w:gridCol w:w="1134"/>
        <w:gridCol w:w="725"/>
      </w:tblGrid>
      <w:tr w:rsidR="00690670" w:rsidRPr="00F34274" w14:paraId="3E343985" w14:textId="77777777" w:rsidTr="00313B64">
        <w:trPr>
          <w:cnfStyle w:val="100000000000" w:firstRow="1" w:lastRow="0" w:firstColumn="0" w:lastColumn="0" w:oddVBand="0" w:evenVBand="0" w:oddHBand="0" w:evenHBand="0" w:firstRowFirstColumn="0" w:firstRowLastColumn="0" w:lastRowFirstColumn="0" w:lastRowLastColumn="0"/>
          <w:trHeight w:val="2069"/>
        </w:trPr>
        <w:tc>
          <w:tcPr>
            <w:tcW w:w="0" w:type="auto"/>
            <w:tcBorders>
              <w:top w:val="single" w:sz="4" w:space="0" w:color="142855" w:themeColor="text2"/>
              <w:bottom w:val="single" w:sz="4" w:space="0" w:color="142855" w:themeColor="text2"/>
            </w:tcBorders>
          </w:tcPr>
          <w:p w14:paraId="5EAE73F5" w14:textId="77777777" w:rsidR="00690670" w:rsidRPr="00A43635" w:rsidRDefault="00690670" w:rsidP="00313B64">
            <w:pPr>
              <w:contextualSpacing/>
              <w:rPr>
                <w:rFonts w:eastAsia="Arial" w:cs="Arial"/>
                <w:color w:val="142855" w:themeColor="text2"/>
              </w:rPr>
            </w:pPr>
            <w:r w:rsidRPr="00A43635">
              <w:rPr>
                <w:rFonts w:eastAsia="Arial" w:cs="Arial"/>
                <w:color w:val="142855" w:themeColor="text2"/>
              </w:rPr>
              <w:t>Group</w:t>
            </w:r>
          </w:p>
        </w:tc>
        <w:tc>
          <w:tcPr>
            <w:tcW w:w="0" w:type="auto"/>
            <w:tcBorders>
              <w:top w:val="single" w:sz="4" w:space="0" w:color="142855" w:themeColor="text2"/>
              <w:bottom w:val="single" w:sz="4" w:space="0" w:color="142855" w:themeColor="text2"/>
            </w:tcBorders>
          </w:tcPr>
          <w:p w14:paraId="65A37896"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Sample</w:t>
            </w:r>
          </w:p>
        </w:tc>
        <w:tc>
          <w:tcPr>
            <w:tcW w:w="0" w:type="auto"/>
            <w:tcBorders>
              <w:top w:val="single" w:sz="4" w:space="0" w:color="142855" w:themeColor="text2"/>
              <w:bottom w:val="single" w:sz="4" w:space="0" w:color="142855" w:themeColor="text2"/>
            </w:tcBorders>
          </w:tcPr>
          <w:p w14:paraId="4B55F2A0"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Year</w:t>
            </w:r>
          </w:p>
        </w:tc>
        <w:tc>
          <w:tcPr>
            <w:tcW w:w="0" w:type="auto"/>
            <w:tcBorders>
              <w:top w:val="single" w:sz="4" w:space="0" w:color="142855" w:themeColor="text2"/>
              <w:bottom w:val="single" w:sz="4" w:space="0" w:color="142855" w:themeColor="text2"/>
            </w:tcBorders>
          </w:tcPr>
          <w:p w14:paraId="3B49BFB0" w14:textId="77777777" w:rsidR="00690670" w:rsidRPr="00A43635" w:rsidRDefault="00690670" w:rsidP="00313B64">
            <w:pPr>
              <w:contextualSpacing/>
              <w:jc w:val="right"/>
              <w:rPr>
                <w:rFonts w:eastAsia="Arial" w:cs="Arial"/>
                <w:color w:val="142855" w:themeColor="text2"/>
              </w:rPr>
            </w:pPr>
            <w:bookmarkStart w:id="271" w:name="_Hlk145084709"/>
            <w:r w:rsidRPr="00A43635">
              <w:rPr>
                <w:rFonts w:eastAsia="Arial" w:cs="Arial"/>
                <w:color w:val="142855" w:themeColor="text2"/>
              </w:rPr>
              <w:t>Number of firms that raised funds</w:t>
            </w:r>
            <w:bookmarkEnd w:id="271"/>
          </w:p>
        </w:tc>
        <w:tc>
          <w:tcPr>
            <w:tcW w:w="0" w:type="auto"/>
            <w:tcBorders>
              <w:top w:val="single" w:sz="4" w:space="0" w:color="142855" w:themeColor="text2"/>
              <w:bottom w:val="single" w:sz="4" w:space="0" w:color="142855" w:themeColor="text2"/>
            </w:tcBorders>
          </w:tcPr>
          <w:p w14:paraId="174B9B6E"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Median (£k)</w:t>
            </w:r>
          </w:p>
        </w:tc>
        <w:tc>
          <w:tcPr>
            <w:tcW w:w="0" w:type="auto"/>
            <w:tcBorders>
              <w:top w:val="single" w:sz="4" w:space="0" w:color="142855" w:themeColor="text2"/>
              <w:bottom w:val="single" w:sz="4" w:space="0" w:color="142855" w:themeColor="text2"/>
            </w:tcBorders>
          </w:tcPr>
          <w:p w14:paraId="4A96924B"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Average (£k)</w:t>
            </w:r>
          </w:p>
        </w:tc>
        <w:tc>
          <w:tcPr>
            <w:tcW w:w="0" w:type="auto"/>
            <w:tcBorders>
              <w:top w:val="single" w:sz="4" w:space="0" w:color="142855" w:themeColor="text2"/>
              <w:bottom w:val="single" w:sz="4" w:space="0" w:color="142855" w:themeColor="text2"/>
            </w:tcBorders>
          </w:tcPr>
          <w:p w14:paraId="0D771E17"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Max (£k)</w:t>
            </w:r>
          </w:p>
        </w:tc>
        <w:tc>
          <w:tcPr>
            <w:tcW w:w="0" w:type="auto"/>
            <w:tcBorders>
              <w:top w:val="single" w:sz="4" w:space="0" w:color="142855" w:themeColor="text2"/>
              <w:bottom w:val="single" w:sz="4" w:space="0" w:color="142855" w:themeColor="text2"/>
            </w:tcBorders>
          </w:tcPr>
          <w:p w14:paraId="2DCA1FD7" w14:textId="77777777" w:rsidR="00690670" w:rsidRPr="00A43635" w:rsidRDefault="00690670" w:rsidP="00313B64">
            <w:pPr>
              <w:contextualSpacing/>
              <w:jc w:val="right"/>
              <w:rPr>
                <w:rFonts w:eastAsia="Arial" w:cs="Arial"/>
                <w:color w:val="142855" w:themeColor="text2"/>
              </w:rPr>
            </w:pPr>
            <w:r w:rsidRPr="00A43635">
              <w:rPr>
                <w:rFonts w:eastAsia="Arial" w:cs="Arial"/>
                <w:color w:val="142855" w:themeColor="text2"/>
              </w:rPr>
              <w:t>Min (£k)</w:t>
            </w:r>
          </w:p>
        </w:tc>
      </w:tr>
      <w:tr w:rsidR="00690670" w:rsidRPr="00F34274" w14:paraId="14D7E8FF" w14:textId="77777777" w:rsidTr="00313B64">
        <w:trPr>
          <w:cnfStyle w:val="000000100000" w:firstRow="0" w:lastRow="0" w:firstColumn="0" w:lastColumn="0" w:oddVBand="0" w:evenVBand="0" w:oddHBand="1" w:evenHBand="0" w:firstRowFirstColumn="0" w:firstRowLastColumn="0" w:lastRowFirstColumn="0" w:lastRowLastColumn="0"/>
          <w:trHeight w:val="357"/>
        </w:trPr>
        <w:tc>
          <w:tcPr>
            <w:tcW w:w="0" w:type="auto"/>
            <w:vMerge w:val="restart"/>
            <w:tcBorders>
              <w:top w:val="single" w:sz="4" w:space="0" w:color="142855" w:themeColor="text2"/>
            </w:tcBorders>
          </w:tcPr>
          <w:p w14:paraId="748F88EB" w14:textId="77777777" w:rsidR="00690670" w:rsidRPr="00A43635" w:rsidRDefault="00690670" w:rsidP="00313B64">
            <w:pPr>
              <w:contextualSpacing/>
              <w:rPr>
                <w:rFonts w:eastAsia="Arial" w:cs="Arial"/>
                <w:b/>
                <w:bCs/>
                <w:color w:val="FFFFFF"/>
              </w:rPr>
            </w:pPr>
            <w:r w:rsidRPr="00A43635">
              <w:rPr>
                <w:rFonts w:eastAsia="Arial" w:cs="Arial"/>
                <w:b/>
                <w:bCs/>
              </w:rPr>
              <w:t>RAP funded firms</w:t>
            </w:r>
          </w:p>
        </w:tc>
        <w:tc>
          <w:tcPr>
            <w:tcW w:w="0" w:type="auto"/>
            <w:vMerge w:val="restart"/>
            <w:tcBorders>
              <w:top w:val="single" w:sz="4" w:space="0" w:color="142855" w:themeColor="text2"/>
            </w:tcBorders>
            <w:vAlign w:val="center"/>
          </w:tcPr>
          <w:p w14:paraId="418484E6" w14:textId="77777777" w:rsidR="00690670" w:rsidRPr="00F34274" w:rsidDel="00882D0D" w:rsidRDefault="00690670" w:rsidP="00313B64">
            <w:pPr>
              <w:spacing w:after="0" w:line="240" w:lineRule="auto"/>
              <w:contextualSpacing/>
              <w:jc w:val="right"/>
              <w:rPr>
                <w:rFonts w:eastAsia="Arial" w:cs="Arial"/>
                <w:color w:val="FFFFFF"/>
              </w:rPr>
            </w:pPr>
            <w:r w:rsidRPr="00F34274">
              <w:rPr>
                <w:rFonts w:eastAsia="Arial" w:cs="Arial"/>
              </w:rPr>
              <w:t>350</w:t>
            </w:r>
          </w:p>
        </w:tc>
        <w:tc>
          <w:tcPr>
            <w:tcW w:w="0" w:type="auto"/>
            <w:tcBorders>
              <w:top w:val="single" w:sz="4" w:space="0" w:color="142855" w:themeColor="text2"/>
              <w:bottom w:val="nil"/>
            </w:tcBorders>
          </w:tcPr>
          <w:p w14:paraId="13EB4A31"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nil"/>
            </w:tcBorders>
          </w:tcPr>
          <w:p w14:paraId="4489FD16" w14:textId="77777777" w:rsidR="00690670" w:rsidRPr="00F34274" w:rsidRDefault="00690670" w:rsidP="00313B64">
            <w:pPr>
              <w:contextualSpacing/>
              <w:jc w:val="right"/>
              <w:rPr>
                <w:rFonts w:eastAsia="Arial" w:cs="Arial"/>
              </w:rPr>
            </w:pPr>
            <w:r w:rsidRPr="00F34274">
              <w:rPr>
                <w:rFonts w:eastAsia="Arial" w:cs="Arial"/>
              </w:rPr>
              <w:t xml:space="preserve">154 </w:t>
            </w:r>
          </w:p>
        </w:tc>
        <w:tc>
          <w:tcPr>
            <w:tcW w:w="0" w:type="auto"/>
            <w:tcBorders>
              <w:top w:val="single" w:sz="4" w:space="0" w:color="142855" w:themeColor="text2"/>
              <w:bottom w:val="nil"/>
            </w:tcBorders>
          </w:tcPr>
          <w:p w14:paraId="7CBF132C" w14:textId="77777777" w:rsidR="00690670" w:rsidRPr="00F34274" w:rsidRDefault="00690670" w:rsidP="00313B64">
            <w:pPr>
              <w:contextualSpacing/>
              <w:jc w:val="right"/>
              <w:rPr>
                <w:rFonts w:eastAsia="Arial" w:cs="Arial"/>
              </w:rPr>
            </w:pPr>
            <w:r w:rsidRPr="00F34274">
              <w:rPr>
                <w:rFonts w:eastAsia="Arial" w:cs="Arial"/>
              </w:rPr>
              <w:t>£500</w:t>
            </w:r>
          </w:p>
        </w:tc>
        <w:tc>
          <w:tcPr>
            <w:tcW w:w="0" w:type="auto"/>
            <w:tcBorders>
              <w:top w:val="single" w:sz="4" w:space="0" w:color="142855" w:themeColor="text2"/>
              <w:bottom w:val="nil"/>
            </w:tcBorders>
          </w:tcPr>
          <w:p w14:paraId="494F8B8D" w14:textId="77777777" w:rsidR="00690670" w:rsidRPr="00F34274" w:rsidRDefault="00690670" w:rsidP="00313B64">
            <w:pPr>
              <w:contextualSpacing/>
              <w:jc w:val="right"/>
              <w:rPr>
                <w:rFonts w:eastAsia="Arial" w:cs="Arial"/>
              </w:rPr>
            </w:pPr>
            <w:r w:rsidRPr="00F34274">
              <w:rPr>
                <w:rFonts w:eastAsia="Arial" w:cs="Arial"/>
              </w:rPr>
              <w:t>£938</w:t>
            </w:r>
          </w:p>
        </w:tc>
        <w:tc>
          <w:tcPr>
            <w:tcW w:w="0" w:type="auto"/>
            <w:tcBorders>
              <w:top w:val="single" w:sz="4" w:space="0" w:color="142855" w:themeColor="text2"/>
              <w:bottom w:val="nil"/>
            </w:tcBorders>
          </w:tcPr>
          <w:p w14:paraId="0BA970C6" w14:textId="77777777" w:rsidR="00690670" w:rsidRPr="00F34274" w:rsidRDefault="00690670" w:rsidP="00313B64">
            <w:pPr>
              <w:contextualSpacing/>
              <w:jc w:val="right"/>
              <w:rPr>
                <w:rFonts w:eastAsia="Arial" w:cs="Arial"/>
              </w:rPr>
            </w:pPr>
            <w:r w:rsidRPr="00F34274">
              <w:rPr>
                <w:rFonts w:eastAsia="Arial" w:cs="Arial"/>
              </w:rPr>
              <w:t>£9,031</w:t>
            </w:r>
          </w:p>
        </w:tc>
        <w:tc>
          <w:tcPr>
            <w:tcW w:w="0" w:type="auto"/>
            <w:tcBorders>
              <w:top w:val="single" w:sz="4" w:space="0" w:color="142855" w:themeColor="text2"/>
              <w:bottom w:val="nil"/>
            </w:tcBorders>
          </w:tcPr>
          <w:p w14:paraId="7E581984" w14:textId="77777777" w:rsidR="00690670" w:rsidRPr="00F34274" w:rsidRDefault="00690670" w:rsidP="00313B64">
            <w:pPr>
              <w:contextualSpacing/>
              <w:jc w:val="right"/>
              <w:rPr>
                <w:rFonts w:eastAsia="Arial" w:cs="Arial"/>
              </w:rPr>
            </w:pPr>
            <w:r w:rsidRPr="00F34274">
              <w:rPr>
                <w:rFonts w:eastAsia="Arial" w:cs="Arial"/>
              </w:rPr>
              <w:t>£10</w:t>
            </w:r>
          </w:p>
        </w:tc>
      </w:tr>
      <w:tr w:rsidR="00690670" w:rsidRPr="00F34274" w14:paraId="7C165871" w14:textId="77777777" w:rsidTr="00313B64">
        <w:trPr>
          <w:trHeight w:val="295"/>
        </w:trPr>
        <w:tc>
          <w:tcPr>
            <w:tcW w:w="0" w:type="auto"/>
            <w:vMerge/>
          </w:tcPr>
          <w:p w14:paraId="3A1244D8" w14:textId="77777777" w:rsidR="00690670" w:rsidRPr="00A43635" w:rsidRDefault="00690670" w:rsidP="00313B64">
            <w:pPr>
              <w:contextualSpacing/>
              <w:rPr>
                <w:rFonts w:eastAsia="Arial" w:cs="Arial"/>
                <w:b/>
                <w:bCs/>
              </w:rPr>
            </w:pPr>
          </w:p>
        </w:tc>
        <w:tc>
          <w:tcPr>
            <w:tcW w:w="0" w:type="auto"/>
            <w:vMerge/>
            <w:vAlign w:val="center"/>
          </w:tcPr>
          <w:p w14:paraId="69E7F3E0"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283B750"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121C30DC" w14:textId="77777777" w:rsidR="00690670" w:rsidRPr="00F34274" w:rsidRDefault="00690670" w:rsidP="00313B64">
            <w:pPr>
              <w:ind w:right="-104"/>
              <w:contextualSpacing/>
              <w:jc w:val="right"/>
              <w:rPr>
                <w:rFonts w:eastAsia="Arial" w:cs="Arial"/>
              </w:rPr>
            </w:pPr>
            <w:r w:rsidRPr="00F34274">
              <w:rPr>
                <w:rFonts w:eastAsia="Arial" w:cs="Arial"/>
              </w:rPr>
              <w:t>(44%)</w:t>
            </w:r>
          </w:p>
        </w:tc>
        <w:tc>
          <w:tcPr>
            <w:tcW w:w="0" w:type="auto"/>
            <w:tcBorders>
              <w:top w:val="nil"/>
              <w:bottom w:val="single" w:sz="4" w:space="0" w:color="142855" w:themeColor="text2"/>
            </w:tcBorders>
          </w:tcPr>
          <w:p w14:paraId="5E8B35A0"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1D951378"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7B189BFC"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7A2517FE" w14:textId="77777777" w:rsidR="00690670" w:rsidRPr="00F34274" w:rsidRDefault="00690670" w:rsidP="00313B64">
            <w:pPr>
              <w:contextualSpacing/>
              <w:jc w:val="right"/>
              <w:rPr>
                <w:rFonts w:eastAsia="Arial" w:cs="Arial"/>
              </w:rPr>
            </w:pPr>
          </w:p>
        </w:tc>
      </w:tr>
      <w:tr w:rsidR="00690670" w:rsidRPr="00F34274" w14:paraId="098B097F" w14:textId="77777777" w:rsidTr="00313B64">
        <w:trPr>
          <w:cnfStyle w:val="000000100000" w:firstRow="0" w:lastRow="0" w:firstColumn="0" w:lastColumn="0" w:oddVBand="0" w:evenVBand="0" w:oddHBand="1" w:evenHBand="0" w:firstRowFirstColumn="0" w:firstRowLastColumn="0" w:lastRowFirstColumn="0" w:lastRowLastColumn="0"/>
          <w:trHeight w:val="409"/>
        </w:trPr>
        <w:tc>
          <w:tcPr>
            <w:tcW w:w="0" w:type="auto"/>
            <w:vMerge/>
          </w:tcPr>
          <w:p w14:paraId="004BD9EC" w14:textId="77777777" w:rsidR="00690670" w:rsidRPr="00A43635" w:rsidRDefault="00690670" w:rsidP="00313B64">
            <w:pPr>
              <w:contextualSpacing/>
              <w:rPr>
                <w:rFonts w:eastAsia="Arial" w:cs="Arial"/>
                <w:b/>
                <w:bCs/>
              </w:rPr>
            </w:pPr>
          </w:p>
        </w:tc>
        <w:tc>
          <w:tcPr>
            <w:tcW w:w="0" w:type="auto"/>
            <w:vMerge/>
          </w:tcPr>
          <w:p w14:paraId="78F3D160"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nil"/>
            </w:tcBorders>
          </w:tcPr>
          <w:p w14:paraId="3CB45B3E"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nil"/>
            </w:tcBorders>
          </w:tcPr>
          <w:p w14:paraId="6E1D3C0D" w14:textId="77777777" w:rsidR="00690670" w:rsidRPr="00F34274" w:rsidRDefault="00690670" w:rsidP="00313B64">
            <w:pPr>
              <w:contextualSpacing/>
              <w:jc w:val="right"/>
              <w:rPr>
                <w:rFonts w:eastAsia="Arial" w:cs="Arial"/>
              </w:rPr>
            </w:pPr>
            <w:r w:rsidRPr="00F34274">
              <w:rPr>
                <w:rFonts w:eastAsia="Arial" w:cs="Arial"/>
              </w:rPr>
              <w:t>207</w:t>
            </w:r>
          </w:p>
        </w:tc>
        <w:tc>
          <w:tcPr>
            <w:tcW w:w="0" w:type="auto"/>
            <w:tcBorders>
              <w:top w:val="single" w:sz="4" w:space="0" w:color="142855" w:themeColor="text2"/>
              <w:bottom w:val="nil"/>
            </w:tcBorders>
          </w:tcPr>
          <w:p w14:paraId="7295B974" w14:textId="77777777" w:rsidR="00690670" w:rsidRPr="00F34274" w:rsidRDefault="00690670" w:rsidP="00313B64">
            <w:pPr>
              <w:contextualSpacing/>
              <w:jc w:val="right"/>
              <w:rPr>
                <w:rFonts w:eastAsia="Arial" w:cs="Arial"/>
              </w:rPr>
            </w:pPr>
            <w:r w:rsidRPr="00F34274">
              <w:rPr>
                <w:rFonts w:eastAsia="Arial" w:cs="Arial"/>
              </w:rPr>
              <w:t>£1,000</w:t>
            </w:r>
          </w:p>
        </w:tc>
        <w:tc>
          <w:tcPr>
            <w:tcW w:w="0" w:type="auto"/>
            <w:tcBorders>
              <w:top w:val="single" w:sz="4" w:space="0" w:color="142855" w:themeColor="text2"/>
              <w:bottom w:val="nil"/>
            </w:tcBorders>
          </w:tcPr>
          <w:p w14:paraId="74F8855B" w14:textId="77777777" w:rsidR="00690670" w:rsidRPr="00F34274" w:rsidRDefault="00690670" w:rsidP="00313B64">
            <w:pPr>
              <w:contextualSpacing/>
              <w:jc w:val="right"/>
              <w:rPr>
                <w:rFonts w:eastAsia="Arial" w:cs="Arial"/>
              </w:rPr>
            </w:pPr>
            <w:r w:rsidRPr="00F34274">
              <w:rPr>
                <w:rFonts w:eastAsia="Arial" w:cs="Arial"/>
              </w:rPr>
              <w:t>£2,077</w:t>
            </w:r>
          </w:p>
        </w:tc>
        <w:tc>
          <w:tcPr>
            <w:tcW w:w="0" w:type="auto"/>
            <w:tcBorders>
              <w:top w:val="single" w:sz="4" w:space="0" w:color="142855" w:themeColor="text2"/>
              <w:bottom w:val="nil"/>
            </w:tcBorders>
          </w:tcPr>
          <w:p w14:paraId="7D20FBC0" w14:textId="77777777" w:rsidR="00690670" w:rsidRPr="00F34274" w:rsidRDefault="00690670" w:rsidP="00313B64">
            <w:pPr>
              <w:contextualSpacing/>
              <w:jc w:val="right"/>
              <w:rPr>
                <w:rFonts w:eastAsia="Arial" w:cs="Arial"/>
              </w:rPr>
            </w:pPr>
            <w:r w:rsidRPr="00F34274">
              <w:rPr>
                <w:rFonts w:eastAsia="Arial" w:cs="Arial"/>
              </w:rPr>
              <w:t>£22,487</w:t>
            </w:r>
          </w:p>
        </w:tc>
        <w:tc>
          <w:tcPr>
            <w:tcW w:w="0" w:type="auto"/>
            <w:tcBorders>
              <w:top w:val="single" w:sz="4" w:space="0" w:color="142855" w:themeColor="text2"/>
              <w:bottom w:val="nil"/>
            </w:tcBorders>
          </w:tcPr>
          <w:p w14:paraId="7566F327" w14:textId="77777777" w:rsidR="00690670" w:rsidRPr="00F34274" w:rsidRDefault="00690670" w:rsidP="00313B64">
            <w:pPr>
              <w:contextualSpacing/>
              <w:jc w:val="right"/>
              <w:rPr>
                <w:rFonts w:eastAsia="Arial" w:cs="Arial"/>
              </w:rPr>
            </w:pPr>
            <w:r w:rsidRPr="00F34274">
              <w:rPr>
                <w:rFonts w:eastAsia="Arial" w:cs="Arial"/>
              </w:rPr>
              <w:t>£20</w:t>
            </w:r>
          </w:p>
        </w:tc>
      </w:tr>
      <w:tr w:rsidR="00690670" w:rsidRPr="00F34274" w14:paraId="2AA9B90B" w14:textId="77777777" w:rsidTr="00313B64">
        <w:trPr>
          <w:trHeight w:val="415"/>
        </w:trPr>
        <w:tc>
          <w:tcPr>
            <w:tcW w:w="0" w:type="auto"/>
            <w:vMerge/>
            <w:tcBorders>
              <w:bottom w:val="single" w:sz="4" w:space="0" w:color="142855" w:themeColor="text2"/>
            </w:tcBorders>
          </w:tcPr>
          <w:p w14:paraId="35F7F706" w14:textId="77777777" w:rsidR="00690670" w:rsidRPr="00A43635" w:rsidRDefault="00690670" w:rsidP="00313B64">
            <w:pPr>
              <w:contextualSpacing/>
              <w:rPr>
                <w:rFonts w:eastAsia="Arial" w:cs="Arial"/>
                <w:b/>
                <w:bCs/>
              </w:rPr>
            </w:pPr>
          </w:p>
        </w:tc>
        <w:tc>
          <w:tcPr>
            <w:tcW w:w="0" w:type="auto"/>
            <w:vMerge/>
            <w:tcBorders>
              <w:bottom w:val="single" w:sz="4" w:space="0" w:color="142855" w:themeColor="text2"/>
            </w:tcBorders>
          </w:tcPr>
          <w:p w14:paraId="04CC6944"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30EEFF24"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5BBECCB6" w14:textId="77777777" w:rsidR="00690670" w:rsidRPr="00F34274" w:rsidRDefault="00690670" w:rsidP="00313B64">
            <w:pPr>
              <w:ind w:right="-104"/>
              <w:contextualSpacing/>
              <w:jc w:val="right"/>
              <w:rPr>
                <w:rFonts w:eastAsia="Arial" w:cs="Arial"/>
              </w:rPr>
            </w:pPr>
            <w:r w:rsidRPr="00F34274">
              <w:rPr>
                <w:rFonts w:eastAsia="Arial" w:cs="Arial"/>
              </w:rPr>
              <w:t>(59%)</w:t>
            </w:r>
          </w:p>
        </w:tc>
        <w:tc>
          <w:tcPr>
            <w:tcW w:w="0" w:type="auto"/>
            <w:tcBorders>
              <w:top w:val="nil"/>
              <w:bottom w:val="single" w:sz="4" w:space="0" w:color="142855" w:themeColor="text2"/>
            </w:tcBorders>
          </w:tcPr>
          <w:p w14:paraId="41C04AA4"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8FC5E55"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54BB93CE"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3B223721" w14:textId="77777777" w:rsidR="00690670" w:rsidRPr="00F34274" w:rsidRDefault="00690670" w:rsidP="00313B64">
            <w:pPr>
              <w:contextualSpacing/>
              <w:jc w:val="right"/>
              <w:rPr>
                <w:rFonts w:eastAsia="Arial" w:cs="Arial"/>
              </w:rPr>
            </w:pPr>
          </w:p>
        </w:tc>
      </w:tr>
      <w:tr w:rsidR="00690670" w:rsidRPr="00F34274" w14:paraId="5779BC9B" w14:textId="77777777" w:rsidTr="00313B64">
        <w:trPr>
          <w:cnfStyle w:val="000000100000" w:firstRow="0" w:lastRow="0" w:firstColumn="0" w:lastColumn="0" w:oddVBand="0" w:evenVBand="0" w:oddHBand="1" w:evenHBand="0" w:firstRowFirstColumn="0" w:firstRowLastColumn="0" w:lastRowFirstColumn="0" w:lastRowLastColumn="0"/>
          <w:trHeight w:val="420"/>
        </w:trPr>
        <w:tc>
          <w:tcPr>
            <w:tcW w:w="0" w:type="auto"/>
            <w:vMerge w:val="restart"/>
            <w:tcBorders>
              <w:top w:val="single" w:sz="4" w:space="0" w:color="142855" w:themeColor="text2"/>
            </w:tcBorders>
          </w:tcPr>
          <w:p w14:paraId="4C2C9C7C" w14:textId="77777777" w:rsidR="00690670" w:rsidRPr="00A43635" w:rsidRDefault="00690670" w:rsidP="00313B64">
            <w:pPr>
              <w:contextualSpacing/>
              <w:rPr>
                <w:rFonts w:eastAsia="Arial" w:cs="Arial"/>
                <w:b/>
                <w:bCs/>
              </w:rPr>
            </w:pPr>
            <w:r w:rsidRPr="00A43635">
              <w:rPr>
                <w:rFonts w:eastAsia="Arial" w:cs="Arial"/>
                <w:b/>
                <w:bCs/>
              </w:rPr>
              <w:t>Matched sample - RAP funded firms</w:t>
            </w:r>
          </w:p>
        </w:tc>
        <w:tc>
          <w:tcPr>
            <w:tcW w:w="0" w:type="auto"/>
            <w:vMerge w:val="restart"/>
            <w:tcBorders>
              <w:top w:val="single" w:sz="4" w:space="0" w:color="142855" w:themeColor="text2"/>
            </w:tcBorders>
            <w:vAlign w:val="center"/>
          </w:tcPr>
          <w:p w14:paraId="667C1171" w14:textId="77777777" w:rsidR="00690670" w:rsidRPr="00F34274" w:rsidRDefault="00690670" w:rsidP="00313B64">
            <w:pPr>
              <w:spacing w:after="0" w:line="240" w:lineRule="auto"/>
              <w:contextualSpacing/>
              <w:jc w:val="right"/>
              <w:rPr>
                <w:rFonts w:eastAsia="Arial" w:cs="Arial"/>
              </w:rPr>
            </w:pPr>
            <w:r w:rsidRPr="00F34274">
              <w:rPr>
                <w:rFonts w:eastAsia="Arial" w:cs="Arial"/>
              </w:rPr>
              <w:t>84</w:t>
            </w:r>
          </w:p>
        </w:tc>
        <w:tc>
          <w:tcPr>
            <w:tcW w:w="0" w:type="auto"/>
            <w:tcBorders>
              <w:top w:val="single" w:sz="4" w:space="0" w:color="142855" w:themeColor="text2"/>
              <w:bottom w:val="nil"/>
            </w:tcBorders>
          </w:tcPr>
          <w:p w14:paraId="40B6186F"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nil"/>
            </w:tcBorders>
          </w:tcPr>
          <w:p w14:paraId="24D421E2" w14:textId="77777777" w:rsidR="00690670" w:rsidRPr="00F34274" w:rsidRDefault="00690670" w:rsidP="00313B64">
            <w:pPr>
              <w:contextualSpacing/>
              <w:jc w:val="right"/>
              <w:rPr>
                <w:rFonts w:eastAsia="Arial" w:cs="Arial"/>
              </w:rPr>
            </w:pPr>
            <w:r w:rsidRPr="00F34274">
              <w:rPr>
                <w:rFonts w:eastAsia="Arial" w:cs="Arial"/>
              </w:rPr>
              <w:t>61</w:t>
            </w:r>
          </w:p>
        </w:tc>
        <w:tc>
          <w:tcPr>
            <w:tcW w:w="0" w:type="auto"/>
            <w:tcBorders>
              <w:top w:val="single" w:sz="4" w:space="0" w:color="142855" w:themeColor="text2"/>
              <w:bottom w:val="nil"/>
            </w:tcBorders>
          </w:tcPr>
          <w:p w14:paraId="7924A07B" w14:textId="77777777" w:rsidR="00690670" w:rsidRPr="00F34274" w:rsidRDefault="00690670" w:rsidP="00313B64">
            <w:pPr>
              <w:contextualSpacing/>
              <w:jc w:val="right"/>
              <w:rPr>
                <w:rFonts w:eastAsia="Arial" w:cs="Arial"/>
              </w:rPr>
            </w:pPr>
            <w:r w:rsidRPr="00F34274">
              <w:rPr>
                <w:rFonts w:eastAsia="Arial" w:cs="Arial"/>
              </w:rPr>
              <w:t>£900</w:t>
            </w:r>
          </w:p>
        </w:tc>
        <w:tc>
          <w:tcPr>
            <w:tcW w:w="0" w:type="auto"/>
            <w:tcBorders>
              <w:top w:val="single" w:sz="4" w:space="0" w:color="142855" w:themeColor="text2"/>
              <w:bottom w:val="nil"/>
            </w:tcBorders>
          </w:tcPr>
          <w:p w14:paraId="0D2D9688" w14:textId="77777777" w:rsidR="00690670" w:rsidRPr="00F34274" w:rsidRDefault="00690670" w:rsidP="00313B64">
            <w:pPr>
              <w:contextualSpacing/>
              <w:jc w:val="right"/>
              <w:rPr>
                <w:rFonts w:eastAsia="Arial" w:cs="Arial"/>
              </w:rPr>
            </w:pPr>
            <w:r w:rsidRPr="00F34274">
              <w:rPr>
                <w:rFonts w:eastAsia="Arial" w:cs="Arial"/>
              </w:rPr>
              <w:t>£1,250</w:t>
            </w:r>
          </w:p>
        </w:tc>
        <w:tc>
          <w:tcPr>
            <w:tcW w:w="0" w:type="auto"/>
            <w:tcBorders>
              <w:top w:val="single" w:sz="4" w:space="0" w:color="142855" w:themeColor="text2"/>
              <w:bottom w:val="nil"/>
            </w:tcBorders>
          </w:tcPr>
          <w:p w14:paraId="28F49F06" w14:textId="77777777" w:rsidR="00690670" w:rsidRPr="00F34274" w:rsidRDefault="00690670" w:rsidP="00313B64">
            <w:pPr>
              <w:contextualSpacing/>
              <w:jc w:val="right"/>
              <w:rPr>
                <w:rFonts w:eastAsia="Arial" w:cs="Arial"/>
              </w:rPr>
            </w:pPr>
            <w:r w:rsidRPr="00F34274">
              <w:rPr>
                <w:rFonts w:eastAsia="Arial" w:cs="Arial"/>
              </w:rPr>
              <w:t>£9,031</w:t>
            </w:r>
          </w:p>
        </w:tc>
        <w:tc>
          <w:tcPr>
            <w:tcW w:w="0" w:type="auto"/>
            <w:tcBorders>
              <w:top w:val="single" w:sz="4" w:space="0" w:color="142855" w:themeColor="text2"/>
              <w:bottom w:val="nil"/>
            </w:tcBorders>
          </w:tcPr>
          <w:p w14:paraId="4B8564D2" w14:textId="77777777" w:rsidR="00690670" w:rsidRPr="00F34274" w:rsidRDefault="00690670" w:rsidP="00313B64">
            <w:pPr>
              <w:contextualSpacing/>
              <w:jc w:val="right"/>
              <w:rPr>
                <w:rFonts w:eastAsia="Arial" w:cs="Arial"/>
              </w:rPr>
            </w:pPr>
            <w:r w:rsidRPr="00F34274">
              <w:rPr>
                <w:rFonts w:eastAsia="Arial" w:cs="Arial"/>
              </w:rPr>
              <w:t>£10</w:t>
            </w:r>
          </w:p>
        </w:tc>
      </w:tr>
      <w:tr w:rsidR="00690670" w:rsidRPr="00F34274" w14:paraId="34FB6991" w14:textId="77777777" w:rsidTr="00313B64">
        <w:trPr>
          <w:trHeight w:val="359"/>
        </w:trPr>
        <w:tc>
          <w:tcPr>
            <w:tcW w:w="0" w:type="auto"/>
            <w:vMerge/>
          </w:tcPr>
          <w:p w14:paraId="74456ADC" w14:textId="77777777" w:rsidR="00690670" w:rsidRPr="00A43635" w:rsidRDefault="00690670" w:rsidP="00313B64">
            <w:pPr>
              <w:contextualSpacing/>
              <w:rPr>
                <w:rFonts w:eastAsia="Arial" w:cs="Arial"/>
                <w:b/>
                <w:bCs/>
              </w:rPr>
            </w:pPr>
          </w:p>
        </w:tc>
        <w:tc>
          <w:tcPr>
            <w:tcW w:w="0" w:type="auto"/>
            <w:vMerge/>
            <w:vAlign w:val="center"/>
          </w:tcPr>
          <w:p w14:paraId="262170FC"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6BF83F26"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2D9B7936" w14:textId="77777777" w:rsidR="00690670" w:rsidRPr="00F34274" w:rsidRDefault="00690670" w:rsidP="00313B64">
            <w:pPr>
              <w:ind w:right="-104"/>
              <w:contextualSpacing/>
              <w:jc w:val="right"/>
              <w:rPr>
                <w:rFonts w:eastAsia="Arial" w:cs="Arial"/>
              </w:rPr>
            </w:pPr>
            <w:r w:rsidRPr="00F34274">
              <w:rPr>
                <w:rFonts w:eastAsia="Arial" w:cs="Arial"/>
              </w:rPr>
              <w:t>(73%)</w:t>
            </w:r>
          </w:p>
        </w:tc>
        <w:tc>
          <w:tcPr>
            <w:tcW w:w="0" w:type="auto"/>
            <w:tcBorders>
              <w:top w:val="nil"/>
              <w:bottom w:val="single" w:sz="4" w:space="0" w:color="142855" w:themeColor="text2"/>
            </w:tcBorders>
          </w:tcPr>
          <w:p w14:paraId="4085CF61"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68719002"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67AE7969"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2B74A56F" w14:textId="77777777" w:rsidR="00690670" w:rsidRPr="00F34274" w:rsidRDefault="00690670" w:rsidP="00313B64">
            <w:pPr>
              <w:contextualSpacing/>
              <w:jc w:val="right"/>
              <w:rPr>
                <w:rFonts w:eastAsia="Arial" w:cs="Arial"/>
              </w:rPr>
            </w:pPr>
          </w:p>
        </w:tc>
      </w:tr>
      <w:tr w:rsidR="00690670" w:rsidRPr="00F34274" w14:paraId="0D63DBC6" w14:textId="77777777" w:rsidTr="00313B64">
        <w:trPr>
          <w:cnfStyle w:val="000000100000" w:firstRow="0" w:lastRow="0" w:firstColumn="0" w:lastColumn="0" w:oddVBand="0" w:evenVBand="0" w:oddHBand="1" w:evenHBand="0" w:firstRowFirstColumn="0" w:firstRowLastColumn="0" w:lastRowFirstColumn="0" w:lastRowLastColumn="0"/>
          <w:trHeight w:val="439"/>
        </w:trPr>
        <w:tc>
          <w:tcPr>
            <w:tcW w:w="0" w:type="auto"/>
            <w:vMerge/>
          </w:tcPr>
          <w:p w14:paraId="2C0DBC24" w14:textId="77777777" w:rsidR="00690670" w:rsidRPr="00A43635" w:rsidRDefault="00690670" w:rsidP="00313B64">
            <w:pPr>
              <w:contextualSpacing/>
              <w:rPr>
                <w:rFonts w:eastAsia="Arial" w:cs="Arial"/>
                <w:b/>
                <w:bCs/>
              </w:rPr>
            </w:pPr>
          </w:p>
        </w:tc>
        <w:tc>
          <w:tcPr>
            <w:tcW w:w="0" w:type="auto"/>
            <w:vMerge/>
          </w:tcPr>
          <w:p w14:paraId="25F76A1A"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nil"/>
            </w:tcBorders>
          </w:tcPr>
          <w:p w14:paraId="1FAE23B1"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nil"/>
            </w:tcBorders>
          </w:tcPr>
          <w:p w14:paraId="769BF246" w14:textId="77777777" w:rsidR="00690670" w:rsidRPr="00F34274" w:rsidRDefault="00690670" w:rsidP="00313B64">
            <w:pPr>
              <w:contextualSpacing/>
              <w:jc w:val="right"/>
              <w:rPr>
                <w:rFonts w:eastAsia="Arial" w:cs="Arial"/>
              </w:rPr>
            </w:pPr>
            <w:r w:rsidRPr="00F34274">
              <w:rPr>
                <w:rFonts w:eastAsia="Arial" w:cs="Arial"/>
              </w:rPr>
              <w:t xml:space="preserve">42 </w:t>
            </w:r>
          </w:p>
        </w:tc>
        <w:tc>
          <w:tcPr>
            <w:tcW w:w="0" w:type="auto"/>
            <w:tcBorders>
              <w:top w:val="single" w:sz="4" w:space="0" w:color="142855" w:themeColor="text2"/>
              <w:bottom w:val="nil"/>
            </w:tcBorders>
          </w:tcPr>
          <w:p w14:paraId="57AA5161" w14:textId="77777777" w:rsidR="00690670" w:rsidRPr="00F34274" w:rsidRDefault="00690670" w:rsidP="00313B64">
            <w:pPr>
              <w:contextualSpacing/>
              <w:jc w:val="right"/>
              <w:rPr>
                <w:rFonts w:eastAsia="Arial" w:cs="Arial"/>
              </w:rPr>
            </w:pPr>
            <w:r w:rsidRPr="00F34274">
              <w:rPr>
                <w:rFonts w:eastAsia="Arial" w:cs="Arial"/>
              </w:rPr>
              <w:t>£1,239</w:t>
            </w:r>
          </w:p>
        </w:tc>
        <w:tc>
          <w:tcPr>
            <w:tcW w:w="0" w:type="auto"/>
            <w:tcBorders>
              <w:top w:val="single" w:sz="4" w:space="0" w:color="142855" w:themeColor="text2"/>
              <w:bottom w:val="nil"/>
            </w:tcBorders>
          </w:tcPr>
          <w:p w14:paraId="3C00CA15" w14:textId="77777777" w:rsidR="00690670" w:rsidRPr="00F34274" w:rsidRDefault="00690670" w:rsidP="00313B64">
            <w:pPr>
              <w:contextualSpacing/>
              <w:jc w:val="right"/>
              <w:rPr>
                <w:rFonts w:eastAsia="Arial" w:cs="Arial"/>
              </w:rPr>
            </w:pPr>
            <w:r w:rsidRPr="00F34274">
              <w:rPr>
                <w:rFonts w:eastAsia="Arial" w:cs="Arial"/>
              </w:rPr>
              <w:t>£2,512</w:t>
            </w:r>
          </w:p>
        </w:tc>
        <w:tc>
          <w:tcPr>
            <w:tcW w:w="0" w:type="auto"/>
            <w:tcBorders>
              <w:top w:val="single" w:sz="4" w:space="0" w:color="142855" w:themeColor="text2"/>
              <w:bottom w:val="nil"/>
            </w:tcBorders>
          </w:tcPr>
          <w:p w14:paraId="05556B4A" w14:textId="77777777" w:rsidR="00690670" w:rsidRPr="00F34274" w:rsidRDefault="00690670" w:rsidP="00313B64">
            <w:pPr>
              <w:contextualSpacing/>
              <w:jc w:val="right"/>
              <w:rPr>
                <w:rFonts w:eastAsia="Arial" w:cs="Arial"/>
              </w:rPr>
            </w:pPr>
            <w:r w:rsidRPr="00F34274">
              <w:rPr>
                <w:rFonts w:eastAsia="Arial" w:cs="Arial"/>
              </w:rPr>
              <w:t>£20,000</w:t>
            </w:r>
          </w:p>
        </w:tc>
        <w:tc>
          <w:tcPr>
            <w:tcW w:w="0" w:type="auto"/>
            <w:tcBorders>
              <w:top w:val="single" w:sz="4" w:space="0" w:color="142855" w:themeColor="text2"/>
              <w:bottom w:val="nil"/>
            </w:tcBorders>
          </w:tcPr>
          <w:p w14:paraId="39019953" w14:textId="77777777" w:rsidR="00690670" w:rsidRPr="00F34274" w:rsidRDefault="00690670" w:rsidP="00313B64">
            <w:pPr>
              <w:contextualSpacing/>
              <w:jc w:val="right"/>
              <w:rPr>
                <w:rFonts w:eastAsia="Arial" w:cs="Arial"/>
              </w:rPr>
            </w:pPr>
            <w:r w:rsidRPr="00F34274">
              <w:rPr>
                <w:rFonts w:eastAsia="Arial" w:cs="Arial"/>
              </w:rPr>
              <w:t>£26</w:t>
            </w:r>
          </w:p>
        </w:tc>
      </w:tr>
      <w:tr w:rsidR="00690670" w:rsidRPr="00F34274" w14:paraId="61D2D6B8" w14:textId="77777777" w:rsidTr="00313B64">
        <w:trPr>
          <w:trHeight w:val="241"/>
        </w:trPr>
        <w:tc>
          <w:tcPr>
            <w:tcW w:w="0" w:type="auto"/>
            <w:vMerge/>
            <w:tcBorders>
              <w:bottom w:val="single" w:sz="4" w:space="0" w:color="142855" w:themeColor="text2"/>
            </w:tcBorders>
          </w:tcPr>
          <w:p w14:paraId="4AF2ED82" w14:textId="77777777" w:rsidR="00690670" w:rsidRPr="00A43635" w:rsidRDefault="00690670" w:rsidP="00313B64">
            <w:pPr>
              <w:contextualSpacing/>
              <w:rPr>
                <w:rFonts w:eastAsia="Arial" w:cs="Arial"/>
                <w:b/>
                <w:bCs/>
              </w:rPr>
            </w:pPr>
          </w:p>
        </w:tc>
        <w:tc>
          <w:tcPr>
            <w:tcW w:w="0" w:type="auto"/>
            <w:vMerge/>
            <w:tcBorders>
              <w:bottom w:val="single" w:sz="4" w:space="0" w:color="142855" w:themeColor="text2"/>
            </w:tcBorders>
          </w:tcPr>
          <w:p w14:paraId="648E5F01"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44DF8DD8"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4F516133" w14:textId="77777777" w:rsidR="00690670" w:rsidRPr="00F34274" w:rsidRDefault="00690670" w:rsidP="00313B64">
            <w:pPr>
              <w:ind w:right="-104"/>
              <w:contextualSpacing/>
              <w:jc w:val="right"/>
              <w:rPr>
                <w:rFonts w:eastAsia="Arial" w:cs="Arial"/>
              </w:rPr>
            </w:pPr>
            <w:r w:rsidRPr="00F34274">
              <w:rPr>
                <w:rFonts w:eastAsia="Arial" w:cs="Arial"/>
              </w:rPr>
              <w:t>(50%)</w:t>
            </w:r>
          </w:p>
        </w:tc>
        <w:tc>
          <w:tcPr>
            <w:tcW w:w="0" w:type="auto"/>
            <w:tcBorders>
              <w:top w:val="nil"/>
              <w:bottom w:val="single" w:sz="4" w:space="0" w:color="142855" w:themeColor="text2"/>
            </w:tcBorders>
          </w:tcPr>
          <w:p w14:paraId="000AB12E"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353BE869"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564FCE8C"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4EB3C67F" w14:textId="77777777" w:rsidR="00690670" w:rsidRPr="00F34274" w:rsidRDefault="00690670" w:rsidP="00313B64">
            <w:pPr>
              <w:contextualSpacing/>
              <w:jc w:val="right"/>
              <w:rPr>
                <w:rFonts w:eastAsia="Arial" w:cs="Arial"/>
              </w:rPr>
            </w:pPr>
          </w:p>
        </w:tc>
      </w:tr>
      <w:tr w:rsidR="00690670" w:rsidRPr="00F34274" w14:paraId="4922F4B0" w14:textId="77777777" w:rsidTr="00313B64">
        <w:trPr>
          <w:cnfStyle w:val="000000100000" w:firstRow="0" w:lastRow="0" w:firstColumn="0" w:lastColumn="0" w:oddVBand="0" w:evenVBand="0" w:oddHBand="1" w:evenHBand="0" w:firstRowFirstColumn="0" w:firstRowLastColumn="0" w:lastRowFirstColumn="0" w:lastRowLastColumn="0"/>
          <w:trHeight w:val="329"/>
        </w:trPr>
        <w:tc>
          <w:tcPr>
            <w:tcW w:w="0" w:type="auto"/>
            <w:vMerge w:val="restart"/>
            <w:tcBorders>
              <w:top w:val="single" w:sz="4" w:space="0" w:color="142855" w:themeColor="text2"/>
            </w:tcBorders>
          </w:tcPr>
          <w:p w14:paraId="70842FDA" w14:textId="77777777" w:rsidR="00690670" w:rsidRPr="00A43635" w:rsidRDefault="00690670" w:rsidP="00313B64">
            <w:pPr>
              <w:contextualSpacing/>
              <w:rPr>
                <w:rFonts w:eastAsia="Arial" w:cs="Arial"/>
                <w:b/>
                <w:bCs/>
              </w:rPr>
            </w:pPr>
            <w:r w:rsidRPr="00A43635">
              <w:rPr>
                <w:rFonts w:eastAsia="Arial" w:cs="Arial"/>
                <w:b/>
                <w:bCs/>
              </w:rPr>
              <w:t>Matched sample – counterfactual</w:t>
            </w:r>
          </w:p>
        </w:tc>
        <w:tc>
          <w:tcPr>
            <w:tcW w:w="0" w:type="auto"/>
            <w:vMerge w:val="restart"/>
            <w:tcBorders>
              <w:top w:val="single" w:sz="4" w:space="0" w:color="142855" w:themeColor="text2"/>
            </w:tcBorders>
            <w:vAlign w:val="center"/>
          </w:tcPr>
          <w:p w14:paraId="1A2CA453" w14:textId="77777777" w:rsidR="00690670" w:rsidRPr="00F34274" w:rsidRDefault="00690670" w:rsidP="00313B64">
            <w:pPr>
              <w:spacing w:after="0" w:line="240" w:lineRule="auto"/>
              <w:contextualSpacing/>
              <w:jc w:val="right"/>
              <w:rPr>
                <w:rFonts w:eastAsia="Arial" w:cs="Arial"/>
              </w:rPr>
            </w:pPr>
            <w:r w:rsidRPr="00F34274">
              <w:rPr>
                <w:rFonts w:eastAsia="Arial" w:cs="Arial"/>
              </w:rPr>
              <w:t>58</w:t>
            </w:r>
          </w:p>
        </w:tc>
        <w:tc>
          <w:tcPr>
            <w:tcW w:w="0" w:type="auto"/>
            <w:tcBorders>
              <w:top w:val="single" w:sz="4" w:space="0" w:color="142855" w:themeColor="text2"/>
              <w:bottom w:val="nil"/>
            </w:tcBorders>
          </w:tcPr>
          <w:p w14:paraId="3DA8CDCF"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nil"/>
            </w:tcBorders>
          </w:tcPr>
          <w:p w14:paraId="0FEC46E2" w14:textId="77777777" w:rsidR="00690670" w:rsidRPr="00F34274" w:rsidRDefault="00690670" w:rsidP="00313B64">
            <w:pPr>
              <w:contextualSpacing/>
              <w:jc w:val="right"/>
              <w:rPr>
                <w:rFonts w:eastAsia="Arial" w:cs="Arial"/>
              </w:rPr>
            </w:pPr>
            <w:r w:rsidRPr="00F34274">
              <w:rPr>
                <w:rFonts w:eastAsia="Arial" w:cs="Arial"/>
              </w:rPr>
              <w:t xml:space="preserve">38 </w:t>
            </w:r>
          </w:p>
        </w:tc>
        <w:tc>
          <w:tcPr>
            <w:tcW w:w="0" w:type="auto"/>
            <w:tcBorders>
              <w:top w:val="single" w:sz="4" w:space="0" w:color="142855" w:themeColor="text2"/>
              <w:bottom w:val="nil"/>
            </w:tcBorders>
          </w:tcPr>
          <w:p w14:paraId="766806EB" w14:textId="77777777" w:rsidR="00690670" w:rsidRPr="00F34274" w:rsidRDefault="00690670" w:rsidP="00313B64">
            <w:pPr>
              <w:contextualSpacing/>
              <w:jc w:val="right"/>
              <w:rPr>
                <w:rFonts w:eastAsia="Arial" w:cs="Arial"/>
              </w:rPr>
            </w:pPr>
            <w:r w:rsidRPr="00F34274">
              <w:rPr>
                <w:rFonts w:eastAsia="Arial" w:cs="Arial"/>
              </w:rPr>
              <w:t>£2,190</w:t>
            </w:r>
          </w:p>
        </w:tc>
        <w:tc>
          <w:tcPr>
            <w:tcW w:w="0" w:type="auto"/>
            <w:tcBorders>
              <w:top w:val="single" w:sz="4" w:space="0" w:color="142855" w:themeColor="text2"/>
              <w:bottom w:val="nil"/>
            </w:tcBorders>
          </w:tcPr>
          <w:p w14:paraId="0FDE55C4" w14:textId="77777777" w:rsidR="00690670" w:rsidRPr="00F34274" w:rsidRDefault="00690670" w:rsidP="00313B64">
            <w:pPr>
              <w:contextualSpacing/>
              <w:jc w:val="right"/>
              <w:rPr>
                <w:rFonts w:eastAsia="Arial" w:cs="Arial"/>
              </w:rPr>
            </w:pPr>
            <w:r w:rsidRPr="00F34274">
              <w:rPr>
                <w:rFonts w:eastAsia="Arial" w:cs="Arial"/>
              </w:rPr>
              <w:t>£7,231</w:t>
            </w:r>
          </w:p>
        </w:tc>
        <w:tc>
          <w:tcPr>
            <w:tcW w:w="0" w:type="auto"/>
            <w:tcBorders>
              <w:top w:val="single" w:sz="4" w:space="0" w:color="142855" w:themeColor="text2"/>
              <w:bottom w:val="nil"/>
            </w:tcBorders>
          </w:tcPr>
          <w:p w14:paraId="5F8D055C" w14:textId="77777777" w:rsidR="00690670" w:rsidRPr="00F34274" w:rsidRDefault="00690670" w:rsidP="00313B64">
            <w:pPr>
              <w:contextualSpacing/>
              <w:jc w:val="right"/>
              <w:rPr>
                <w:rFonts w:eastAsia="Arial" w:cs="Arial"/>
              </w:rPr>
            </w:pPr>
            <w:r w:rsidRPr="00F34274">
              <w:rPr>
                <w:rFonts w:eastAsia="Arial" w:cs="Arial"/>
              </w:rPr>
              <w:t>£78,125</w:t>
            </w:r>
          </w:p>
        </w:tc>
        <w:tc>
          <w:tcPr>
            <w:tcW w:w="0" w:type="auto"/>
            <w:tcBorders>
              <w:top w:val="single" w:sz="4" w:space="0" w:color="142855" w:themeColor="text2"/>
              <w:bottom w:val="nil"/>
            </w:tcBorders>
          </w:tcPr>
          <w:p w14:paraId="40138D5D" w14:textId="77777777" w:rsidR="00690670" w:rsidRPr="00F34274" w:rsidRDefault="00690670" w:rsidP="00313B64">
            <w:pPr>
              <w:contextualSpacing/>
              <w:jc w:val="right"/>
              <w:rPr>
                <w:rFonts w:eastAsia="Arial" w:cs="Arial"/>
              </w:rPr>
            </w:pPr>
            <w:r w:rsidRPr="00F34274">
              <w:rPr>
                <w:rFonts w:eastAsia="Arial" w:cs="Arial"/>
              </w:rPr>
              <w:t>£52</w:t>
            </w:r>
          </w:p>
        </w:tc>
      </w:tr>
      <w:tr w:rsidR="00690670" w:rsidRPr="00F34274" w14:paraId="54F30C60" w14:textId="77777777" w:rsidTr="00313B64">
        <w:trPr>
          <w:trHeight w:val="482"/>
        </w:trPr>
        <w:tc>
          <w:tcPr>
            <w:tcW w:w="0" w:type="auto"/>
            <w:vMerge/>
          </w:tcPr>
          <w:p w14:paraId="5D11DDDA" w14:textId="77777777" w:rsidR="00690670" w:rsidRPr="00A43635" w:rsidRDefault="00690670" w:rsidP="00313B64">
            <w:pPr>
              <w:contextualSpacing/>
              <w:rPr>
                <w:rFonts w:eastAsia="Arial" w:cs="Arial"/>
                <w:b/>
                <w:bCs/>
              </w:rPr>
            </w:pPr>
          </w:p>
        </w:tc>
        <w:tc>
          <w:tcPr>
            <w:tcW w:w="0" w:type="auto"/>
            <w:vMerge/>
            <w:vAlign w:val="center"/>
          </w:tcPr>
          <w:p w14:paraId="1178CCD7"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62570302"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3F1B58B1" w14:textId="77777777" w:rsidR="00690670" w:rsidRPr="00F34274" w:rsidRDefault="00690670" w:rsidP="00313B64">
            <w:pPr>
              <w:ind w:right="-104"/>
              <w:contextualSpacing/>
              <w:jc w:val="right"/>
              <w:rPr>
                <w:rFonts w:eastAsia="Arial" w:cs="Arial"/>
              </w:rPr>
            </w:pPr>
            <w:r w:rsidRPr="00F34274">
              <w:rPr>
                <w:rFonts w:eastAsia="Arial" w:cs="Arial"/>
              </w:rPr>
              <w:t>(66%)</w:t>
            </w:r>
          </w:p>
        </w:tc>
        <w:tc>
          <w:tcPr>
            <w:tcW w:w="0" w:type="auto"/>
            <w:tcBorders>
              <w:top w:val="nil"/>
              <w:bottom w:val="single" w:sz="4" w:space="0" w:color="142855" w:themeColor="text2"/>
            </w:tcBorders>
          </w:tcPr>
          <w:p w14:paraId="17264689"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326CAD25"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E3B20D6"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D6774A8" w14:textId="77777777" w:rsidR="00690670" w:rsidRPr="00F34274" w:rsidRDefault="00690670" w:rsidP="00313B64">
            <w:pPr>
              <w:contextualSpacing/>
              <w:jc w:val="right"/>
              <w:rPr>
                <w:rFonts w:eastAsia="Arial" w:cs="Arial"/>
              </w:rPr>
            </w:pPr>
          </w:p>
        </w:tc>
      </w:tr>
      <w:tr w:rsidR="00690670" w:rsidRPr="00F34274" w14:paraId="30FDE646" w14:textId="77777777" w:rsidTr="00313B64">
        <w:trPr>
          <w:cnfStyle w:val="000000100000" w:firstRow="0" w:lastRow="0" w:firstColumn="0" w:lastColumn="0" w:oddVBand="0" w:evenVBand="0" w:oddHBand="1" w:evenHBand="0" w:firstRowFirstColumn="0" w:firstRowLastColumn="0" w:lastRowFirstColumn="0" w:lastRowLastColumn="0"/>
          <w:trHeight w:val="330"/>
        </w:trPr>
        <w:tc>
          <w:tcPr>
            <w:tcW w:w="0" w:type="auto"/>
            <w:vMerge/>
          </w:tcPr>
          <w:p w14:paraId="0B2E9353" w14:textId="77777777" w:rsidR="00690670" w:rsidRPr="00F34274" w:rsidRDefault="00690670" w:rsidP="00313B64">
            <w:pPr>
              <w:contextualSpacing/>
              <w:rPr>
                <w:rFonts w:eastAsia="Arial" w:cs="Arial"/>
              </w:rPr>
            </w:pPr>
          </w:p>
        </w:tc>
        <w:tc>
          <w:tcPr>
            <w:tcW w:w="0" w:type="auto"/>
            <w:vMerge/>
          </w:tcPr>
          <w:p w14:paraId="14D67F77"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nil"/>
            </w:tcBorders>
          </w:tcPr>
          <w:p w14:paraId="03E4C76F"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nil"/>
            </w:tcBorders>
          </w:tcPr>
          <w:p w14:paraId="7AC3A092" w14:textId="77777777" w:rsidR="00690670" w:rsidRPr="00F34274" w:rsidRDefault="00690670" w:rsidP="00313B64">
            <w:pPr>
              <w:contextualSpacing/>
              <w:jc w:val="right"/>
              <w:rPr>
                <w:rFonts w:eastAsia="Arial" w:cs="Arial"/>
              </w:rPr>
            </w:pPr>
            <w:r w:rsidRPr="00F34274">
              <w:rPr>
                <w:rFonts w:eastAsia="Arial" w:cs="Arial"/>
              </w:rPr>
              <w:t xml:space="preserve">27 </w:t>
            </w:r>
          </w:p>
        </w:tc>
        <w:tc>
          <w:tcPr>
            <w:tcW w:w="0" w:type="auto"/>
            <w:tcBorders>
              <w:top w:val="single" w:sz="4" w:space="0" w:color="142855" w:themeColor="text2"/>
              <w:bottom w:val="nil"/>
            </w:tcBorders>
          </w:tcPr>
          <w:p w14:paraId="3DF40A88" w14:textId="77777777" w:rsidR="00690670" w:rsidRPr="00F34274" w:rsidRDefault="00690670" w:rsidP="00313B64">
            <w:pPr>
              <w:contextualSpacing/>
              <w:jc w:val="right"/>
              <w:rPr>
                <w:rFonts w:eastAsia="Arial" w:cs="Arial"/>
              </w:rPr>
            </w:pPr>
            <w:r w:rsidRPr="00F34274">
              <w:rPr>
                <w:rFonts w:eastAsia="Arial" w:cs="Arial"/>
              </w:rPr>
              <w:t>£7,950</w:t>
            </w:r>
          </w:p>
        </w:tc>
        <w:tc>
          <w:tcPr>
            <w:tcW w:w="0" w:type="auto"/>
            <w:tcBorders>
              <w:top w:val="single" w:sz="4" w:space="0" w:color="142855" w:themeColor="text2"/>
              <w:bottom w:val="nil"/>
            </w:tcBorders>
          </w:tcPr>
          <w:p w14:paraId="5644E93C" w14:textId="77777777" w:rsidR="00690670" w:rsidRPr="00F34274" w:rsidRDefault="00690670" w:rsidP="00313B64">
            <w:pPr>
              <w:contextualSpacing/>
              <w:jc w:val="right"/>
              <w:rPr>
                <w:rFonts w:eastAsia="Arial" w:cs="Arial"/>
              </w:rPr>
            </w:pPr>
            <w:r w:rsidRPr="00F34274">
              <w:rPr>
                <w:rFonts w:eastAsia="Arial" w:cs="Arial"/>
              </w:rPr>
              <w:t>£18,696</w:t>
            </w:r>
          </w:p>
        </w:tc>
        <w:tc>
          <w:tcPr>
            <w:tcW w:w="0" w:type="auto"/>
            <w:tcBorders>
              <w:top w:val="single" w:sz="4" w:space="0" w:color="142855" w:themeColor="text2"/>
              <w:bottom w:val="nil"/>
            </w:tcBorders>
          </w:tcPr>
          <w:p w14:paraId="2CB476DE" w14:textId="77777777" w:rsidR="00690670" w:rsidRPr="00F34274" w:rsidRDefault="00690670" w:rsidP="00313B64">
            <w:pPr>
              <w:contextualSpacing/>
              <w:jc w:val="right"/>
              <w:rPr>
                <w:rFonts w:eastAsia="Arial" w:cs="Arial"/>
              </w:rPr>
            </w:pPr>
            <w:r w:rsidRPr="00F34274">
              <w:rPr>
                <w:rFonts w:eastAsia="Arial" w:cs="Arial"/>
              </w:rPr>
              <w:t>£147,146</w:t>
            </w:r>
          </w:p>
        </w:tc>
        <w:tc>
          <w:tcPr>
            <w:tcW w:w="0" w:type="auto"/>
            <w:tcBorders>
              <w:top w:val="single" w:sz="4" w:space="0" w:color="142855" w:themeColor="text2"/>
              <w:bottom w:val="nil"/>
            </w:tcBorders>
          </w:tcPr>
          <w:p w14:paraId="2240F4D9" w14:textId="77777777" w:rsidR="00690670" w:rsidRPr="00F34274" w:rsidRDefault="00690670" w:rsidP="00313B64">
            <w:pPr>
              <w:contextualSpacing/>
              <w:jc w:val="right"/>
              <w:rPr>
                <w:rFonts w:eastAsia="Arial" w:cs="Arial"/>
              </w:rPr>
            </w:pPr>
            <w:r w:rsidRPr="00F34274">
              <w:rPr>
                <w:rFonts w:eastAsia="Arial" w:cs="Arial"/>
              </w:rPr>
              <w:t>£4</w:t>
            </w:r>
          </w:p>
        </w:tc>
      </w:tr>
      <w:tr w:rsidR="00690670" w:rsidRPr="00F34274" w14:paraId="081E58E4" w14:textId="77777777" w:rsidTr="00313B64">
        <w:trPr>
          <w:trHeight w:val="323"/>
        </w:trPr>
        <w:tc>
          <w:tcPr>
            <w:tcW w:w="0" w:type="auto"/>
            <w:vMerge/>
            <w:tcBorders>
              <w:bottom w:val="single" w:sz="4" w:space="0" w:color="142855" w:themeColor="text2"/>
            </w:tcBorders>
          </w:tcPr>
          <w:p w14:paraId="1777E32C" w14:textId="77777777" w:rsidR="00690670" w:rsidRPr="00F34274" w:rsidRDefault="00690670" w:rsidP="00313B64">
            <w:pPr>
              <w:contextualSpacing/>
              <w:rPr>
                <w:rFonts w:eastAsia="Arial" w:cs="Arial"/>
              </w:rPr>
            </w:pPr>
          </w:p>
        </w:tc>
        <w:tc>
          <w:tcPr>
            <w:tcW w:w="0" w:type="auto"/>
            <w:vMerge/>
            <w:tcBorders>
              <w:bottom w:val="single" w:sz="4" w:space="0" w:color="142855" w:themeColor="text2"/>
            </w:tcBorders>
          </w:tcPr>
          <w:p w14:paraId="6D52DD5B"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1F02EC1D"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4E28D858" w14:textId="77777777" w:rsidR="00690670" w:rsidRPr="00F34274" w:rsidRDefault="00690670" w:rsidP="00313B64">
            <w:pPr>
              <w:ind w:right="-104"/>
              <w:contextualSpacing/>
              <w:jc w:val="right"/>
              <w:rPr>
                <w:rFonts w:eastAsia="Arial" w:cs="Arial"/>
              </w:rPr>
            </w:pPr>
            <w:r w:rsidRPr="00F34274">
              <w:rPr>
                <w:rFonts w:eastAsia="Arial" w:cs="Arial"/>
              </w:rPr>
              <w:t>(47%)</w:t>
            </w:r>
          </w:p>
        </w:tc>
        <w:tc>
          <w:tcPr>
            <w:tcW w:w="0" w:type="auto"/>
            <w:tcBorders>
              <w:top w:val="nil"/>
              <w:bottom w:val="single" w:sz="4" w:space="0" w:color="142855" w:themeColor="text2"/>
            </w:tcBorders>
          </w:tcPr>
          <w:p w14:paraId="10009092"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0B6FA66"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06B0C7DE" w14:textId="77777777" w:rsidR="00690670" w:rsidRPr="00F34274" w:rsidRDefault="00690670" w:rsidP="00313B64">
            <w:pPr>
              <w:contextualSpacing/>
              <w:jc w:val="right"/>
              <w:rPr>
                <w:rFonts w:eastAsia="Arial" w:cs="Arial"/>
              </w:rPr>
            </w:pPr>
          </w:p>
        </w:tc>
        <w:tc>
          <w:tcPr>
            <w:tcW w:w="0" w:type="auto"/>
            <w:tcBorders>
              <w:top w:val="nil"/>
              <w:bottom w:val="single" w:sz="4" w:space="0" w:color="142855" w:themeColor="text2"/>
            </w:tcBorders>
          </w:tcPr>
          <w:p w14:paraId="46F03497" w14:textId="77777777" w:rsidR="00690670" w:rsidRPr="00F34274" w:rsidRDefault="00690670" w:rsidP="00313B64">
            <w:pPr>
              <w:contextualSpacing/>
              <w:jc w:val="right"/>
              <w:rPr>
                <w:rFonts w:eastAsia="Arial" w:cs="Arial"/>
              </w:rPr>
            </w:pPr>
          </w:p>
        </w:tc>
      </w:tr>
    </w:tbl>
    <w:p w14:paraId="448EA363" w14:textId="77777777" w:rsidR="00CD60C2" w:rsidRPr="00F34274" w:rsidRDefault="00CD60C2" w:rsidP="00957DB2">
      <w:pPr>
        <w:rPr>
          <w:rFonts w:eastAsia="Arial" w:cs="Arial"/>
          <w:i/>
        </w:rPr>
      </w:pPr>
    </w:p>
    <w:p w14:paraId="0CC3033D" w14:textId="77777777" w:rsidR="00270A72" w:rsidRPr="00F34274" w:rsidRDefault="00270A72" w:rsidP="00270A72">
      <w:pPr>
        <w:keepNext/>
        <w:keepLines/>
        <w:spacing w:before="320" w:after="120"/>
        <w:outlineLvl w:val="4"/>
        <w:rPr>
          <w:rFonts w:eastAsia="SimHei" w:cs="Arial"/>
          <w:b/>
          <w:color w:val="1D1D1B"/>
        </w:rPr>
      </w:pPr>
      <w:r w:rsidRPr="00F34274">
        <w:rPr>
          <w:rFonts w:eastAsia="SimHei" w:cs="Arial"/>
          <w:b/>
          <w:color w:val="1D1D1B"/>
        </w:rPr>
        <w:t xml:space="preserve">E.2 </w:t>
      </w:r>
      <w:proofErr w:type="gramStart"/>
      <w:r w:rsidRPr="00F34274">
        <w:rPr>
          <w:rFonts w:eastAsia="SimHei" w:cs="Arial"/>
          <w:b/>
          <w:color w:val="1D1D1B"/>
        </w:rPr>
        <w:t>Post-money</w:t>
      </w:r>
      <w:proofErr w:type="gramEnd"/>
      <w:r w:rsidRPr="00F34274">
        <w:rPr>
          <w:rFonts w:eastAsia="SimHei" w:cs="Arial"/>
          <w:b/>
          <w:color w:val="1D1D1B"/>
        </w:rPr>
        <w:t xml:space="preserve"> valuation</w:t>
      </w:r>
    </w:p>
    <w:p w14:paraId="306002F1" w14:textId="77777777" w:rsidR="00270A72" w:rsidRPr="00F34274" w:rsidRDefault="00270A72" w:rsidP="00270A72">
      <w:pPr>
        <w:rPr>
          <w:rFonts w:eastAsia="Arial" w:cs="Arial"/>
        </w:rPr>
      </w:pPr>
      <w:r w:rsidRPr="00F34274">
        <w:rPr>
          <w:rFonts w:eastAsia="Arial" w:cs="Arial"/>
        </w:rPr>
        <w:t>The post-money valuation KPI is the equity value of a company after it receives funding and, because firms do not receive funding in every year, post-money valuation entries can only be provided for a sample of firms per year. In 2019, 27% of the RAP funded firms received funding and an average valuation of £4.1m. In 2022, 41% of the RAP funded firms received funding and an average valuation of £12.6m, triple that of 2019. Some firms have clearly done very well, and one was valued at £282.3m in 2022.</w:t>
      </w:r>
    </w:p>
    <w:p w14:paraId="204269C2" w14:textId="6E5DB1D6" w:rsidR="00CD60C2" w:rsidRDefault="00270A72" w:rsidP="00270A72">
      <w:pPr>
        <w:rPr>
          <w:rFonts w:eastAsia="Arial" w:cs="Arial"/>
        </w:rPr>
      </w:pPr>
      <w:r w:rsidRPr="00F34274">
        <w:rPr>
          <w:rFonts w:eastAsia="Arial" w:cs="Arial"/>
        </w:rPr>
        <w:lastRenderedPageBreak/>
        <w:t>The average starting valuation of the counterfactual group was higher, £20.6m and increased to £163.9m by 2022 which suggests that firms in this group were already on a higher growth trajectory.</w:t>
      </w:r>
    </w:p>
    <w:p w14:paraId="44DA2ABE" w14:textId="77777777" w:rsidR="00690670" w:rsidRDefault="00690670" w:rsidP="00270A72">
      <w:pPr>
        <w:rPr>
          <w:rFonts w:eastAsia="Arial" w:cs="Arial"/>
        </w:rPr>
      </w:pPr>
    </w:p>
    <w:p w14:paraId="4C8D3536" w14:textId="77777777" w:rsidR="001A6B44" w:rsidRDefault="001A6B44" w:rsidP="00270A72">
      <w:pPr>
        <w:rPr>
          <w:rFonts w:eastAsia="Arial" w:cs="Arial"/>
        </w:rPr>
      </w:pPr>
    </w:p>
    <w:p w14:paraId="2EDFF418" w14:textId="7B25936A" w:rsidR="00CD60C2" w:rsidRPr="00F34274" w:rsidRDefault="00CD60C2" w:rsidP="00957DB2">
      <w:pPr>
        <w:spacing w:before="120"/>
        <w:rPr>
          <w:rFonts w:eastAsia="Arial" w:cs="Arial"/>
          <w:iCs/>
          <w:color w:val="555674"/>
          <w:szCs w:val="18"/>
        </w:rPr>
      </w:pPr>
      <w:r w:rsidRPr="00F34274">
        <w:rPr>
          <w:rFonts w:eastAsia="Arial" w:cs="Arial"/>
          <w:iCs/>
          <w:color w:val="555674"/>
          <w:szCs w:val="18"/>
        </w:rPr>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12</w:t>
      </w:r>
      <w:r w:rsidRPr="00F34274">
        <w:rPr>
          <w:rFonts w:eastAsia="Arial" w:cs="Arial"/>
          <w:iCs/>
          <w:noProof/>
          <w:color w:val="555674"/>
          <w:szCs w:val="18"/>
        </w:rPr>
        <w:fldChar w:fldCharType="end"/>
      </w:r>
      <w:r w:rsidRPr="00F34274">
        <w:rPr>
          <w:rFonts w:eastAsia="Arial" w:cs="Arial"/>
          <w:iCs/>
          <w:color w:val="555674"/>
          <w:szCs w:val="18"/>
        </w:rPr>
        <w:t>: Post-money valuation of funded firms and a counterfactual</w:t>
      </w:r>
    </w:p>
    <w:tbl>
      <w:tblPr>
        <w:tblStyle w:val="PlainTable21"/>
        <w:tblW w:w="0" w:type="auto"/>
        <w:tblLook w:val="0420" w:firstRow="1" w:lastRow="0" w:firstColumn="0" w:lastColumn="0" w:noHBand="0" w:noVBand="1"/>
      </w:tblPr>
      <w:tblGrid>
        <w:gridCol w:w="2060"/>
        <w:gridCol w:w="999"/>
        <w:gridCol w:w="706"/>
        <w:gridCol w:w="1702"/>
        <w:gridCol w:w="1072"/>
        <w:gridCol w:w="1193"/>
        <w:gridCol w:w="1318"/>
        <w:gridCol w:w="912"/>
      </w:tblGrid>
      <w:tr w:rsidR="00690670" w:rsidRPr="00F34274" w14:paraId="5CBE53AA" w14:textId="77777777" w:rsidTr="00313B64">
        <w:trPr>
          <w:cnfStyle w:val="100000000000" w:firstRow="1" w:lastRow="0" w:firstColumn="0" w:lastColumn="0" w:oddVBand="0" w:evenVBand="0" w:oddHBand="0" w:evenHBand="0" w:firstRowFirstColumn="0" w:firstRowLastColumn="0" w:lastRowFirstColumn="0" w:lastRowLastColumn="0"/>
          <w:trHeight w:val="1070"/>
        </w:trPr>
        <w:tc>
          <w:tcPr>
            <w:tcW w:w="0" w:type="auto"/>
            <w:tcBorders>
              <w:top w:val="single" w:sz="4" w:space="0" w:color="142855" w:themeColor="text2"/>
              <w:bottom w:val="single" w:sz="4" w:space="0" w:color="142855" w:themeColor="text2"/>
            </w:tcBorders>
          </w:tcPr>
          <w:p w14:paraId="4A3123BB" w14:textId="77777777" w:rsidR="00690670" w:rsidRPr="002425DA" w:rsidRDefault="00690670" w:rsidP="00313B64">
            <w:pPr>
              <w:contextualSpacing/>
              <w:rPr>
                <w:rFonts w:eastAsia="Arial" w:cs="Arial"/>
                <w:color w:val="142855" w:themeColor="text2"/>
              </w:rPr>
            </w:pPr>
            <w:r w:rsidRPr="002425DA">
              <w:rPr>
                <w:rFonts w:eastAsia="Arial" w:cs="Arial"/>
                <w:color w:val="142855" w:themeColor="text2"/>
              </w:rPr>
              <w:t>Group</w:t>
            </w:r>
          </w:p>
        </w:tc>
        <w:tc>
          <w:tcPr>
            <w:tcW w:w="0" w:type="auto"/>
            <w:tcBorders>
              <w:top w:val="single" w:sz="4" w:space="0" w:color="142855" w:themeColor="text2"/>
              <w:bottom w:val="single" w:sz="4" w:space="0" w:color="142855" w:themeColor="text2"/>
            </w:tcBorders>
          </w:tcPr>
          <w:p w14:paraId="5A349739"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Sample</w:t>
            </w:r>
          </w:p>
        </w:tc>
        <w:tc>
          <w:tcPr>
            <w:tcW w:w="0" w:type="auto"/>
            <w:tcBorders>
              <w:top w:val="single" w:sz="4" w:space="0" w:color="142855" w:themeColor="text2"/>
              <w:bottom w:val="single" w:sz="4" w:space="0" w:color="142855" w:themeColor="text2"/>
            </w:tcBorders>
          </w:tcPr>
          <w:p w14:paraId="2E9A3AD4"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Year</w:t>
            </w:r>
          </w:p>
        </w:tc>
        <w:tc>
          <w:tcPr>
            <w:tcW w:w="0" w:type="auto"/>
            <w:tcBorders>
              <w:top w:val="single" w:sz="4" w:space="0" w:color="142855" w:themeColor="text2"/>
              <w:bottom w:val="single" w:sz="4" w:space="0" w:color="142855" w:themeColor="text2"/>
            </w:tcBorders>
          </w:tcPr>
          <w:p w14:paraId="6DCF97AD"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Number of firms that have valuation entries</w:t>
            </w:r>
          </w:p>
        </w:tc>
        <w:tc>
          <w:tcPr>
            <w:tcW w:w="0" w:type="auto"/>
            <w:tcBorders>
              <w:top w:val="single" w:sz="4" w:space="0" w:color="142855" w:themeColor="text2"/>
              <w:bottom w:val="single" w:sz="4" w:space="0" w:color="142855" w:themeColor="text2"/>
            </w:tcBorders>
          </w:tcPr>
          <w:p w14:paraId="4FFABEAF"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Median (£k)</w:t>
            </w:r>
          </w:p>
        </w:tc>
        <w:tc>
          <w:tcPr>
            <w:tcW w:w="0" w:type="auto"/>
            <w:tcBorders>
              <w:top w:val="single" w:sz="4" w:space="0" w:color="142855" w:themeColor="text2"/>
              <w:bottom w:val="single" w:sz="4" w:space="0" w:color="142855" w:themeColor="text2"/>
            </w:tcBorders>
          </w:tcPr>
          <w:p w14:paraId="61721CB5"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Average (£k)</w:t>
            </w:r>
          </w:p>
        </w:tc>
        <w:tc>
          <w:tcPr>
            <w:tcW w:w="0" w:type="auto"/>
            <w:tcBorders>
              <w:top w:val="single" w:sz="4" w:space="0" w:color="142855" w:themeColor="text2"/>
              <w:bottom w:val="single" w:sz="4" w:space="0" w:color="142855" w:themeColor="text2"/>
            </w:tcBorders>
          </w:tcPr>
          <w:p w14:paraId="71C4437D"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Max (£k)</w:t>
            </w:r>
          </w:p>
        </w:tc>
        <w:tc>
          <w:tcPr>
            <w:tcW w:w="0" w:type="auto"/>
            <w:tcBorders>
              <w:top w:val="single" w:sz="4" w:space="0" w:color="142855" w:themeColor="text2"/>
              <w:bottom w:val="single" w:sz="4" w:space="0" w:color="142855" w:themeColor="text2"/>
            </w:tcBorders>
          </w:tcPr>
          <w:p w14:paraId="115DF64B" w14:textId="77777777" w:rsidR="00690670" w:rsidRPr="002425DA" w:rsidRDefault="00690670" w:rsidP="00313B64">
            <w:pPr>
              <w:contextualSpacing/>
              <w:jc w:val="right"/>
              <w:rPr>
                <w:rFonts w:eastAsia="Arial" w:cs="Arial"/>
                <w:color w:val="142855" w:themeColor="text2"/>
              </w:rPr>
            </w:pPr>
            <w:r w:rsidRPr="002425DA">
              <w:rPr>
                <w:rFonts w:eastAsia="Arial" w:cs="Arial"/>
                <w:color w:val="142855" w:themeColor="text2"/>
              </w:rPr>
              <w:t>Min (£k)</w:t>
            </w:r>
          </w:p>
        </w:tc>
      </w:tr>
      <w:tr w:rsidR="00690670" w:rsidRPr="00F34274" w14:paraId="19A9A295" w14:textId="77777777" w:rsidTr="00313B64">
        <w:trPr>
          <w:cnfStyle w:val="000000100000" w:firstRow="0" w:lastRow="0" w:firstColumn="0" w:lastColumn="0" w:oddVBand="0" w:evenVBand="0" w:oddHBand="1" w:evenHBand="0" w:firstRowFirstColumn="0" w:firstRowLastColumn="0" w:lastRowFirstColumn="0" w:lastRowLastColumn="0"/>
          <w:trHeight w:val="742"/>
        </w:trPr>
        <w:tc>
          <w:tcPr>
            <w:tcW w:w="0" w:type="auto"/>
            <w:vMerge w:val="restart"/>
            <w:tcBorders>
              <w:top w:val="single" w:sz="4" w:space="0" w:color="142855" w:themeColor="text2"/>
            </w:tcBorders>
          </w:tcPr>
          <w:p w14:paraId="0C9C9859" w14:textId="77777777" w:rsidR="00690670" w:rsidRPr="002425DA" w:rsidRDefault="00690670" w:rsidP="00313B64">
            <w:pPr>
              <w:contextualSpacing/>
              <w:rPr>
                <w:rFonts w:eastAsia="Arial" w:cs="Arial"/>
                <w:b/>
                <w:bCs/>
              </w:rPr>
            </w:pPr>
            <w:r w:rsidRPr="002425DA">
              <w:rPr>
                <w:rFonts w:eastAsia="Arial" w:cs="Arial"/>
                <w:b/>
                <w:bCs/>
              </w:rPr>
              <w:t>RAP funded firms</w:t>
            </w:r>
          </w:p>
        </w:tc>
        <w:tc>
          <w:tcPr>
            <w:tcW w:w="0" w:type="auto"/>
            <w:vMerge w:val="restart"/>
            <w:tcBorders>
              <w:top w:val="single" w:sz="4" w:space="0" w:color="142855" w:themeColor="text2"/>
            </w:tcBorders>
            <w:vAlign w:val="center"/>
          </w:tcPr>
          <w:p w14:paraId="6E8D3DE9" w14:textId="77777777" w:rsidR="00690670" w:rsidRPr="00F34274" w:rsidRDefault="00690670" w:rsidP="00313B64">
            <w:pPr>
              <w:spacing w:after="0" w:line="240" w:lineRule="auto"/>
              <w:contextualSpacing/>
              <w:jc w:val="right"/>
              <w:rPr>
                <w:rFonts w:eastAsia="Arial" w:cs="Arial"/>
              </w:rPr>
            </w:pPr>
            <w:r w:rsidRPr="00F34274">
              <w:rPr>
                <w:rFonts w:eastAsia="Arial" w:cs="Arial"/>
              </w:rPr>
              <w:t>350</w:t>
            </w:r>
          </w:p>
        </w:tc>
        <w:tc>
          <w:tcPr>
            <w:tcW w:w="0" w:type="auto"/>
            <w:tcBorders>
              <w:top w:val="single" w:sz="4" w:space="0" w:color="142855" w:themeColor="text2"/>
              <w:bottom w:val="single" w:sz="4" w:space="0" w:color="142855" w:themeColor="text2"/>
            </w:tcBorders>
          </w:tcPr>
          <w:p w14:paraId="3B8CFA99"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2A76893D" w14:textId="77777777" w:rsidR="00690670" w:rsidRDefault="00690670" w:rsidP="00313B64">
            <w:pPr>
              <w:contextualSpacing/>
              <w:jc w:val="right"/>
              <w:rPr>
                <w:rFonts w:eastAsia="Arial" w:cs="Arial"/>
              </w:rPr>
            </w:pPr>
            <w:r w:rsidRPr="00F34274">
              <w:rPr>
                <w:rFonts w:eastAsia="Arial" w:cs="Arial"/>
              </w:rPr>
              <w:t>94</w:t>
            </w:r>
          </w:p>
          <w:p w14:paraId="207BB1D8" w14:textId="77777777" w:rsidR="00690670" w:rsidRPr="00F34274" w:rsidRDefault="00690670" w:rsidP="00313B64">
            <w:pPr>
              <w:ind w:right="-108"/>
              <w:contextualSpacing/>
              <w:jc w:val="right"/>
              <w:rPr>
                <w:rFonts w:eastAsia="Arial" w:cs="Arial"/>
              </w:rPr>
            </w:pPr>
            <w:r w:rsidRPr="00F34274">
              <w:rPr>
                <w:rFonts w:eastAsia="Arial" w:cs="Arial"/>
              </w:rPr>
              <w:t xml:space="preserve"> (27%)</w:t>
            </w:r>
          </w:p>
        </w:tc>
        <w:tc>
          <w:tcPr>
            <w:tcW w:w="0" w:type="auto"/>
            <w:tcBorders>
              <w:top w:val="single" w:sz="4" w:space="0" w:color="142855" w:themeColor="text2"/>
              <w:bottom w:val="single" w:sz="4" w:space="0" w:color="142855" w:themeColor="text2"/>
            </w:tcBorders>
          </w:tcPr>
          <w:p w14:paraId="4462664A" w14:textId="77777777" w:rsidR="00690670" w:rsidRPr="00F34274" w:rsidRDefault="00690670" w:rsidP="00313B64">
            <w:pPr>
              <w:contextualSpacing/>
              <w:jc w:val="right"/>
              <w:rPr>
                <w:rFonts w:eastAsia="Arial" w:cs="Arial"/>
              </w:rPr>
            </w:pPr>
            <w:r w:rsidRPr="00F34274">
              <w:rPr>
                <w:rFonts w:eastAsia="Arial" w:cs="Arial"/>
              </w:rPr>
              <w:t>£2,003</w:t>
            </w:r>
          </w:p>
        </w:tc>
        <w:tc>
          <w:tcPr>
            <w:tcW w:w="0" w:type="auto"/>
            <w:tcBorders>
              <w:top w:val="single" w:sz="4" w:space="0" w:color="142855" w:themeColor="text2"/>
              <w:bottom w:val="single" w:sz="4" w:space="0" w:color="142855" w:themeColor="text2"/>
            </w:tcBorders>
          </w:tcPr>
          <w:p w14:paraId="0DFAEEEA" w14:textId="77777777" w:rsidR="00690670" w:rsidRPr="00F34274" w:rsidRDefault="00690670" w:rsidP="00313B64">
            <w:pPr>
              <w:contextualSpacing/>
              <w:jc w:val="right"/>
              <w:rPr>
                <w:rFonts w:eastAsia="Arial" w:cs="Arial"/>
              </w:rPr>
            </w:pPr>
            <w:r w:rsidRPr="00F34274">
              <w:rPr>
                <w:rFonts w:eastAsia="Arial" w:cs="Arial"/>
              </w:rPr>
              <w:t>£4,121</w:t>
            </w:r>
          </w:p>
        </w:tc>
        <w:tc>
          <w:tcPr>
            <w:tcW w:w="0" w:type="auto"/>
            <w:tcBorders>
              <w:top w:val="single" w:sz="4" w:space="0" w:color="142855" w:themeColor="text2"/>
              <w:bottom w:val="single" w:sz="4" w:space="0" w:color="142855" w:themeColor="text2"/>
            </w:tcBorders>
          </w:tcPr>
          <w:p w14:paraId="6EAC4C2A" w14:textId="77777777" w:rsidR="00690670" w:rsidRPr="00F34274" w:rsidRDefault="00690670" w:rsidP="00313B64">
            <w:pPr>
              <w:contextualSpacing/>
              <w:jc w:val="right"/>
              <w:rPr>
                <w:rFonts w:eastAsia="Arial" w:cs="Arial"/>
              </w:rPr>
            </w:pPr>
            <w:r w:rsidRPr="00F34274">
              <w:rPr>
                <w:rFonts w:eastAsia="Arial" w:cs="Arial"/>
              </w:rPr>
              <w:t>£36,585</w:t>
            </w:r>
          </w:p>
        </w:tc>
        <w:tc>
          <w:tcPr>
            <w:tcW w:w="0" w:type="auto"/>
            <w:tcBorders>
              <w:top w:val="single" w:sz="4" w:space="0" w:color="142855" w:themeColor="text2"/>
              <w:bottom w:val="single" w:sz="4" w:space="0" w:color="142855" w:themeColor="text2"/>
            </w:tcBorders>
          </w:tcPr>
          <w:p w14:paraId="62F2DA32" w14:textId="77777777" w:rsidR="00690670" w:rsidRPr="00F34274" w:rsidRDefault="00690670" w:rsidP="00313B64">
            <w:pPr>
              <w:contextualSpacing/>
              <w:jc w:val="right"/>
              <w:rPr>
                <w:rFonts w:eastAsia="Arial" w:cs="Arial"/>
              </w:rPr>
            </w:pPr>
            <w:r w:rsidRPr="00F34274">
              <w:rPr>
                <w:rFonts w:eastAsia="Arial" w:cs="Arial"/>
              </w:rPr>
              <w:t>£334</w:t>
            </w:r>
          </w:p>
        </w:tc>
      </w:tr>
      <w:tr w:rsidR="00690670" w:rsidRPr="00F34274" w14:paraId="35DA328A" w14:textId="77777777" w:rsidTr="00313B64">
        <w:trPr>
          <w:trHeight w:val="601"/>
        </w:trPr>
        <w:tc>
          <w:tcPr>
            <w:tcW w:w="0" w:type="auto"/>
            <w:vMerge/>
            <w:tcBorders>
              <w:bottom w:val="single" w:sz="4" w:space="0" w:color="142855" w:themeColor="text2"/>
            </w:tcBorders>
          </w:tcPr>
          <w:p w14:paraId="1BCEEF9E" w14:textId="77777777" w:rsidR="00690670" w:rsidRPr="002425DA" w:rsidRDefault="00690670" w:rsidP="00313B64">
            <w:pPr>
              <w:contextualSpacing/>
              <w:rPr>
                <w:rFonts w:eastAsia="Arial" w:cs="Arial"/>
                <w:b/>
                <w:bCs/>
              </w:rPr>
            </w:pPr>
          </w:p>
        </w:tc>
        <w:tc>
          <w:tcPr>
            <w:tcW w:w="0" w:type="auto"/>
            <w:vMerge/>
            <w:tcBorders>
              <w:bottom w:val="single" w:sz="4" w:space="0" w:color="142855" w:themeColor="text2"/>
            </w:tcBorders>
          </w:tcPr>
          <w:p w14:paraId="6CCB50CB"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single" w:sz="4" w:space="0" w:color="142855" w:themeColor="text2"/>
            </w:tcBorders>
          </w:tcPr>
          <w:p w14:paraId="4EE77820"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20F8518C" w14:textId="77777777" w:rsidR="00690670" w:rsidRDefault="00690670" w:rsidP="00313B64">
            <w:pPr>
              <w:ind w:right="-108"/>
              <w:contextualSpacing/>
              <w:jc w:val="right"/>
              <w:rPr>
                <w:rFonts w:eastAsia="Arial" w:cs="Arial"/>
              </w:rPr>
            </w:pPr>
            <w:r w:rsidRPr="00F34274">
              <w:rPr>
                <w:rFonts w:eastAsia="Arial" w:cs="Arial"/>
              </w:rPr>
              <w:t>142</w:t>
            </w:r>
          </w:p>
          <w:p w14:paraId="715D2D3E" w14:textId="77777777" w:rsidR="00690670" w:rsidRPr="00F34274" w:rsidRDefault="00690670" w:rsidP="00313B64">
            <w:pPr>
              <w:ind w:right="-108"/>
              <w:contextualSpacing/>
              <w:jc w:val="right"/>
              <w:rPr>
                <w:rFonts w:eastAsia="Arial" w:cs="Arial"/>
              </w:rPr>
            </w:pPr>
            <w:r w:rsidRPr="00F34274">
              <w:rPr>
                <w:rFonts w:eastAsia="Arial" w:cs="Arial"/>
              </w:rPr>
              <w:t xml:space="preserve"> (41%)</w:t>
            </w:r>
          </w:p>
        </w:tc>
        <w:tc>
          <w:tcPr>
            <w:tcW w:w="0" w:type="auto"/>
            <w:tcBorders>
              <w:top w:val="single" w:sz="4" w:space="0" w:color="142855" w:themeColor="text2"/>
              <w:bottom w:val="single" w:sz="4" w:space="0" w:color="142855" w:themeColor="text2"/>
            </w:tcBorders>
          </w:tcPr>
          <w:p w14:paraId="1E9D8502" w14:textId="77777777" w:rsidR="00690670" w:rsidRPr="00F34274" w:rsidRDefault="00690670" w:rsidP="00313B64">
            <w:pPr>
              <w:contextualSpacing/>
              <w:jc w:val="right"/>
              <w:rPr>
                <w:rFonts w:eastAsia="Arial" w:cs="Arial"/>
              </w:rPr>
            </w:pPr>
            <w:r w:rsidRPr="00F34274">
              <w:rPr>
                <w:rFonts w:eastAsia="Arial" w:cs="Arial"/>
              </w:rPr>
              <w:t>£5,268</w:t>
            </w:r>
          </w:p>
        </w:tc>
        <w:tc>
          <w:tcPr>
            <w:tcW w:w="0" w:type="auto"/>
            <w:tcBorders>
              <w:top w:val="single" w:sz="4" w:space="0" w:color="142855" w:themeColor="text2"/>
              <w:bottom w:val="single" w:sz="4" w:space="0" w:color="142855" w:themeColor="text2"/>
            </w:tcBorders>
          </w:tcPr>
          <w:p w14:paraId="1C045D58" w14:textId="77777777" w:rsidR="00690670" w:rsidRPr="00F34274" w:rsidRDefault="00690670" w:rsidP="00313B64">
            <w:pPr>
              <w:contextualSpacing/>
              <w:jc w:val="right"/>
              <w:rPr>
                <w:rFonts w:eastAsia="Arial" w:cs="Arial"/>
              </w:rPr>
            </w:pPr>
            <w:r w:rsidRPr="00F34274">
              <w:rPr>
                <w:rFonts w:eastAsia="Arial" w:cs="Arial"/>
              </w:rPr>
              <w:t>£12,630</w:t>
            </w:r>
          </w:p>
        </w:tc>
        <w:tc>
          <w:tcPr>
            <w:tcW w:w="0" w:type="auto"/>
            <w:tcBorders>
              <w:top w:val="single" w:sz="4" w:space="0" w:color="142855" w:themeColor="text2"/>
              <w:bottom w:val="single" w:sz="4" w:space="0" w:color="142855" w:themeColor="text2"/>
            </w:tcBorders>
          </w:tcPr>
          <w:p w14:paraId="6E7DB49C" w14:textId="77777777" w:rsidR="00690670" w:rsidRPr="00F34274" w:rsidRDefault="00690670" w:rsidP="00313B64">
            <w:pPr>
              <w:contextualSpacing/>
              <w:jc w:val="right"/>
              <w:rPr>
                <w:rFonts w:eastAsia="Arial" w:cs="Arial"/>
              </w:rPr>
            </w:pPr>
            <w:r w:rsidRPr="00F34274">
              <w:rPr>
                <w:rFonts w:eastAsia="Arial" w:cs="Arial"/>
              </w:rPr>
              <w:t>£282,317</w:t>
            </w:r>
          </w:p>
        </w:tc>
        <w:tc>
          <w:tcPr>
            <w:tcW w:w="0" w:type="auto"/>
            <w:tcBorders>
              <w:top w:val="single" w:sz="4" w:space="0" w:color="142855" w:themeColor="text2"/>
              <w:bottom w:val="single" w:sz="4" w:space="0" w:color="142855" w:themeColor="text2"/>
            </w:tcBorders>
          </w:tcPr>
          <w:p w14:paraId="6786B4FD" w14:textId="77777777" w:rsidR="00690670" w:rsidRPr="00F34274" w:rsidRDefault="00690670" w:rsidP="00313B64">
            <w:pPr>
              <w:contextualSpacing/>
              <w:jc w:val="right"/>
              <w:rPr>
                <w:rFonts w:eastAsia="Arial" w:cs="Arial"/>
              </w:rPr>
            </w:pPr>
            <w:r w:rsidRPr="00F34274">
              <w:rPr>
                <w:rFonts w:eastAsia="Arial" w:cs="Arial"/>
              </w:rPr>
              <w:t>£689</w:t>
            </w:r>
          </w:p>
        </w:tc>
      </w:tr>
      <w:tr w:rsidR="00690670" w:rsidRPr="00F34274" w14:paraId="400E53F3" w14:textId="77777777" w:rsidTr="00313B64">
        <w:trPr>
          <w:cnfStyle w:val="000000100000" w:firstRow="0" w:lastRow="0" w:firstColumn="0" w:lastColumn="0" w:oddVBand="0" w:evenVBand="0" w:oddHBand="1" w:evenHBand="0" w:firstRowFirstColumn="0" w:firstRowLastColumn="0" w:lastRowFirstColumn="0" w:lastRowLastColumn="0"/>
          <w:trHeight w:val="601"/>
        </w:trPr>
        <w:tc>
          <w:tcPr>
            <w:tcW w:w="0" w:type="auto"/>
            <w:vMerge w:val="restart"/>
            <w:tcBorders>
              <w:top w:val="single" w:sz="4" w:space="0" w:color="142855" w:themeColor="text2"/>
            </w:tcBorders>
          </w:tcPr>
          <w:p w14:paraId="0ED1AFCD" w14:textId="77777777" w:rsidR="00690670" w:rsidRPr="002425DA" w:rsidRDefault="00690670" w:rsidP="00313B64">
            <w:pPr>
              <w:contextualSpacing/>
              <w:rPr>
                <w:rFonts w:eastAsia="Arial" w:cs="Arial"/>
                <w:b/>
                <w:bCs/>
              </w:rPr>
            </w:pPr>
            <w:r w:rsidRPr="002425DA">
              <w:rPr>
                <w:rFonts w:eastAsia="Arial" w:cs="Arial"/>
                <w:b/>
                <w:bCs/>
              </w:rPr>
              <w:t>Matched sample - RAP funded firms</w:t>
            </w:r>
          </w:p>
        </w:tc>
        <w:tc>
          <w:tcPr>
            <w:tcW w:w="0" w:type="auto"/>
            <w:vMerge w:val="restart"/>
            <w:tcBorders>
              <w:top w:val="single" w:sz="4" w:space="0" w:color="142855" w:themeColor="text2"/>
            </w:tcBorders>
            <w:vAlign w:val="center"/>
          </w:tcPr>
          <w:p w14:paraId="1D5212E2" w14:textId="77777777" w:rsidR="00690670" w:rsidRPr="00F34274" w:rsidRDefault="00690670" w:rsidP="00313B64">
            <w:pPr>
              <w:spacing w:after="0" w:line="240" w:lineRule="auto"/>
              <w:contextualSpacing/>
              <w:jc w:val="right"/>
              <w:rPr>
                <w:rFonts w:eastAsia="Arial" w:cs="Arial"/>
              </w:rPr>
            </w:pPr>
            <w:r w:rsidRPr="00F34274">
              <w:rPr>
                <w:rFonts w:eastAsia="Arial" w:cs="Arial"/>
              </w:rPr>
              <w:t>84</w:t>
            </w:r>
          </w:p>
        </w:tc>
        <w:tc>
          <w:tcPr>
            <w:tcW w:w="0" w:type="auto"/>
            <w:tcBorders>
              <w:top w:val="single" w:sz="4" w:space="0" w:color="142855" w:themeColor="text2"/>
              <w:bottom w:val="single" w:sz="4" w:space="0" w:color="142855" w:themeColor="text2"/>
            </w:tcBorders>
          </w:tcPr>
          <w:p w14:paraId="70AB1F8C"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6FE62795" w14:textId="77777777" w:rsidR="00690670" w:rsidRDefault="00690670" w:rsidP="00313B64">
            <w:pPr>
              <w:contextualSpacing/>
              <w:jc w:val="right"/>
              <w:rPr>
                <w:rFonts w:eastAsia="Arial" w:cs="Arial"/>
              </w:rPr>
            </w:pPr>
            <w:r w:rsidRPr="00F34274">
              <w:rPr>
                <w:rFonts w:eastAsia="Arial" w:cs="Arial"/>
              </w:rPr>
              <w:t>33</w:t>
            </w:r>
          </w:p>
          <w:p w14:paraId="6B89645B" w14:textId="77777777" w:rsidR="00690670" w:rsidRPr="00F34274" w:rsidRDefault="00690670" w:rsidP="00313B64">
            <w:pPr>
              <w:ind w:right="-108"/>
              <w:contextualSpacing/>
              <w:jc w:val="right"/>
              <w:rPr>
                <w:rFonts w:eastAsia="Arial" w:cs="Arial"/>
              </w:rPr>
            </w:pPr>
            <w:r w:rsidRPr="00F34274">
              <w:rPr>
                <w:rFonts w:eastAsia="Arial" w:cs="Arial"/>
              </w:rPr>
              <w:t xml:space="preserve"> (39%)</w:t>
            </w:r>
          </w:p>
        </w:tc>
        <w:tc>
          <w:tcPr>
            <w:tcW w:w="0" w:type="auto"/>
            <w:tcBorders>
              <w:top w:val="single" w:sz="4" w:space="0" w:color="142855" w:themeColor="text2"/>
              <w:bottom w:val="single" w:sz="4" w:space="0" w:color="142855" w:themeColor="text2"/>
            </w:tcBorders>
          </w:tcPr>
          <w:p w14:paraId="10DBE030" w14:textId="77777777" w:rsidR="00690670" w:rsidRPr="00F34274" w:rsidRDefault="00690670" w:rsidP="00313B64">
            <w:pPr>
              <w:contextualSpacing/>
              <w:jc w:val="right"/>
              <w:rPr>
                <w:rFonts w:eastAsia="Arial" w:cs="Arial"/>
              </w:rPr>
            </w:pPr>
            <w:r w:rsidRPr="00F34274">
              <w:rPr>
                <w:rFonts w:eastAsia="Arial" w:cs="Arial"/>
              </w:rPr>
              <w:t>£3,283</w:t>
            </w:r>
          </w:p>
        </w:tc>
        <w:tc>
          <w:tcPr>
            <w:tcW w:w="0" w:type="auto"/>
            <w:tcBorders>
              <w:top w:val="single" w:sz="4" w:space="0" w:color="142855" w:themeColor="text2"/>
              <w:bottom w:val="single" w:sz="4" w:space="0" w:color="142855" w:themeColor="text2"/>
            </w:tcBorders>
          </w:tcPr>
          <w:p w14:paraId="5E343EEB" w14:textId="77777777" w:rsidR="00690670" w:rsidRPr="00F34274" w:rsidRDefault="00690670" w:rsidP="00313B64">
            <w:pPr>
              <w:contextualSpacing/>
              <w:jc w:val="right"/>
              <w:rPr>
                <w:rFonts w:eastAsia="Arial" w:cs="Arial"/>
              </w:rPr>
            </w:pPr>
            <w:r w:rsidRPr="00F34274">
              <w:rPr>
                <w:rFonts w:eastAsia="Arial" w:cs="Arial"/>
              </w:rPr>
              <w:t>£5,159</w:t>
            </w:r>
          </w:p>
        </w:tc>
        <w:tc>
          <w:tcPr>
            <w:tcW w:w="0" w:type="auto"/>
            <w:tcBorders>
              <w:top w:val="single" w:sz="4" w:space="0" w:color="142855" w:themeColor="text2"/>
              <w:bottom w:val="single" w:sz="4" w:space="0" w:color="142855" w:themeColor="text2"/>
            </w:tcBorders>
          </w:tcPr>
          <w:p w14:paraId="155EA107" w14:textId="77777777" w:rsidR="00690670" w:rsidRPr="00F34274" w:rsidRDefault="00690670" w:rsidP="00313B64">
            <w:pPr>
              <w:contextualSpacing/>
              <w:jc w:val="right"/>
              <w:rPr>
                <w:rFonts w:eastAsia="Arial" w:cs="Arial"/>
              </w:rPr>
            </w:pPr>
            <w:r w:rsidRPr="00F34274">
              <w:rPr>
                <w:rFonts w:eastAsia="Arial" w:cs="Arial"/>
              </w:rPr>
              <w:t>£24,198</w:t>
            </w:r>
          </w:p>
        </w:tc>
        <w:tc>
          <w:tcPr>
            <w:tcW w:w="0" w:type="auto"/>
            <w:tcBorders>
              <w:top w:val="single" w:sz="4" w:space="0" w:color="142855" w:themeColor="text2"/>
              <w:bottom w:val="single" w:sz="4" w:space="0" w:color="142855" w:themeColor="text2"/>
            </w:tcBorders>
          </w:tcPr>
          <w:p w14:paraId="6A545358" w14:textId="77777777" w:rsidR="00690670" w:rsidRPr="00F34274" w:rsidRDefault="00690670" w:rsidP="00313B64">
            <w:pPr>
              <w:contextualSpacing/>
              <w:jc w:val="right"/>
              <w:rPr>
                <w:rFonts w:eastAsia="Arial" w:cs="Arial"/>
              </w:rPr>
            </w:pPr>
            <w:r w:rsidRPr="00F34274">
              <w:rPr>
                <w:rFonts w:eastAsia="Arial" w:cs="Arial"/>
              </w:rPr>
              <w:t>£654</w:t>
            </w:r>
          </w:p>
        </w:tc>
      </w:tr>
      <w:tr w:rsidR="00690670" w:rsidRPr="00F34274" w14:paraId="6E5B3C6D" w14:textId="77777777" w:rsidTr="00313B64">
        <w:trPr>
          <w:trHeight w:val="601"/>
        </w:trPr>
        <w:tc>
          <w:tcPr>
            <w:tcW w:w="0" w:type="auto"/>
            <w:vMerge/>
            <w:tcBorders>
              <w:bottom w:val="single" w:sz="4" w:space="0" w:color="142855" w:themeColor="text2"/>
            </w:tcBorders>
          </w:tcPr>
          <w:p w14:paraId="00B76A39" w14:textId="77777777" w:rsidR="00690670" w:rsidRPr="002425DA" w:rsidRDefault="00690670" w:rsidP="00313B64">
            <w:pPr>
              <w:contextualSpacing/>
              <w:rPr>
                <w:rFonts w:eastAsia="Arial" w:cs="Arial"/>
                <w:b/>
                <w:bCs/>
              </w:rPr>
            </w:pPr>
          </w:p>
        </w:tc>
        <w:tc>
          <w:tcPr>
            <w:tcW w:w="0" w:type="auto"/>
            <w:vMerge/>
            <w:tcBorders>
              <w:bottom w:val="single" w:sz="4" w:space="0" w:color="142855" w:themeColor="text2"/>
            </w:tcBorders>
          </w:tcPr>
          <w:p w14:paraId="1772B120"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single" w:sz="4" w:space="0" w:color="142855" w:themeColor="text2"/>
            </w:tcBorders>
          </w:tcPr>
          <w:p w14:paraId="2601D6BE"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2F980C41" w14:textId="77777777" w:rsidR="00690670" w:rsidRDefault="00690670" w:rsidP="00313B64">
            <w:pPr>
              <w:contextualSpacing/>
              <w:jc w:val="right"/>
              <w:rPr>
                <w:rFonts w:eastAsia="Arial" w:cs="Arial"/>
              </w:rPr>
            </w:pPr>
            <w:r w:rsidRPr="00F34274">
              <w:rPr>
                <w:rFonts w:eastAsia="Arial" w:cs="Arial"/>
              </w:rPr>
              <w:t>26</w:t>
            </w:r>
          </w:p>
          <w:p w14:paraId="771AF7E8" w14:textId="77777777" w:rsidR="00690670" w:rsidRPr="00F34274" w:rsidRDefault="00690670" w:rsidP="00313B64">
            <w:pPr>
              <w:ind w:right="-108"/>
              <w:contextualSpacing/>
              <w:jc w:val="right"/>
              <w:rPr>
                <w:rFonts w:eastAsia="Arial" w:cs="Arial"/>
              </w:rPr>
            </w:pPr>
            <w:r w:rsidRPr="00F34274">
              <w:rPr>
                <w:rFonts w:eastAsia="Arial" w:cs="Arial"/>
              </w:rPr>
              <w:t xml:space="preserve"> (31%)</w:t>
            </w:r>
          </w:p>
        </w:tc>
        <w:tc>
          <w:tcPr>
            <w:tcW w:w="0" w:type="auto"/>
            <w:tcBorders>
              <w:top w:val="single" w:sz="4" w:space="0" w:color="142855" w:themeColor="text2"/>
              <w:bottom w:val="single" w:sz="4" w:space="0" w:color="142855" w:themeColor="text2"/>
            </w:tcBorders>
          </w:tcPr>
          <w:p w14:paraId="60A5831E" w14:textId="77777777" w:rsidR="00690670" w:rsidRPr="00F34274" w:rsidRDefault="00690670" w:rsidP="00313B64">
            <w:pPr>
              <w:contextualSpacing/>
              <w:jc w:val="right"/>
              <w:rPr>
                <w:rFonts w:eastAsia="Arial" w:cs="Arial"/>
              </w:rPr>
            </w:pPr>
            <w:r w:rsidRPr="00F34274">
              <w:rPr>
                <w:rFonts w:eastAsia="Arial" w:cs="Arial"/>
              </w:rPr>
              <w:t>£6,584</w:t>
            </w:r>
          </w:p>
        </w:tc>
        <w:tc>
          <w:tcPr>
            <w:tcW w:w="0" w:type="auto"/>
            <w:tcBorders>
              <w:top w:val="single" w:sz="4" w:space="0" w:color="142855" w:themeColor="text2"/>
              <w:bottom w:val="single" w:sz="4" w:space="0" w:color="142855" w:themeColor="text2"/>
            </w:tcBorders>
          </w:tcPr>
          <w:p w14:paraId="48A3F37C" w14:textId="77777777" w:rsidR="00690670" w:rsidRPr="00F34274" w:rsidRDefault="00690670" w:rsidP="00313B64">
            <w:pPr>
              <w:contextualSpacing/>
              <w:jc w:val="right"/>
              <w:rPr>
                <w:rFonts w:eastAsia="Arial" w:cs="Arial"/>
              </w:rPr>
            </w:pPr>
            <w:r w:rsidRPr="00F34274">
              <w:rPr>
                <w:rFonts w:eastAsia="Arial" w:cs="Arial"/>
              </w:rPr>
              <w:t>£12,734</w:t>
            </w:r>
          </w:p>
        </w:tc>
        <w:tc>
          <w:tcPr>
            <w:tcW w:w="0" w:type="auto"/>
            <w:tcBorders>
              <w:top w:val="single" w:sz="4" w:space="0" w:color="142855" w:themeColor="text2"/>
              <w:bottom w:val="single" w:sz="4" w:space="0" w:color="142855" w:themeColor="text2"/>
            </w:tcBorders>
          </w:tcPr>
          <w:p w14:paraId="54C0B0DD" w14:textId="77777777" w:rsidR="00690670" w:rsidRPr="00F34274" w:rsidRDefault="00690670" w:rsidP="00313B64">
            <w:pPr>
              <w:contextualSpacing/>
              <w:jc w:val="right"/>
              <w:rPr>
                <w:rFonts w:eastAsia="Arial" w:cs="Arial"/>
              </w:rPr>
            </w:pPr>
            <w:r w:rsidRPr="00F34274">
              <w:rPr>
                <w:rFonts w:eastAsia="Arial" w:cs="Arial"/>
              </w:rPr>
              <w:t>£43,241</w:t>
            </w:r>
          </w:p>
        </w:tc>
        <w:tc>
          <w:tcPr>
            <w:tcW w:w="0" w:type="auto"/>
            <w:tcBorders>
              <w:top w:val="single" w:sz="4" w:space="0" w:color="142855" w:themeColor="text2"/>
              <w:bottom w:val="single" w:sz="4" w:space="0" w:color="142855" w:themeColor="text2"/>
            </w:tcBorders>
          </w:tcPr>
          <w:p w14:paraId="7F4DFFCC" w14:textId="77777777" w:rsidR="00690670" w:rsidRPr="00F34274" w:rsidRDefault="00690670" w:rsidP="00313B64">
            <w:pPr>
              <w:contextualSpacing/>
              <w:jc w:val="right"/>
              <w:rPr>
                <w:rFonts w:eastAsia="Arial" w:cs="Arial"/>
              </w:rPr>
            </w:pPr>
            <w:r w:rsidRPr="00F34274">
              <w:rPr>
                <w:rFonts w:eastAsia="Arial" w:cs="Arial"/>
              </w:rPr>
              <w:t>£1,750</w:t>
            </w:r>
          </w:p>
        </w:tc>
      </w:tr>
      <w:tr w:rsidR="00690670" w:rsidRPr="00F34274" w14:paraId="7A95EF2E" w14:textId="77777777" w:rsidTr="00313B64">
        <w:trPr>
          <w:cnfStyle w:val="000000100000" w:firstRow="0" w:lastRow="0" w:firstColumn="0" w:lastColumn="0" w:oddVBand="0" w:evenVBand="0" w:oddHBand="1" w:evenHBand="0" w:firstRowFirstColumn="0" w:firstRowLastColumn="0" w:lastRowFirstColumn="0" w:lastRowLastColumn="0"/>
          <w:trHeight w:val="601"/>
        </w:trPr>
        <w:tc>
          <w:tcPr>
            <w:tcW w:w="0" w:type="auto"/>
            <w:vMerge w:val="restart"/>
            <w:tcBorders>
              <w:top w:val="single" w:sz="4" w:space="0" w:color="142855" w:themeColor="text2"/>
            </w:tcBorders>
          </w:tcPr>
          <w:p w14:paraId="3D2A2399" w14:textId="77777777" w:rsidR="00690670" w:rsidRPr="002425DA" w:rsidRDefault="00690670" w:rsidP="00313B64">
            <w:pPr>
              <w:contextualSpacing/>
              <w:rPr>
                <w:rFonts w:eastAsia="Arial" w:cs="Arial"/>
                <w:b/>
                <w:bCs/>
              </w:rPr>
            </w:pPr>
            <w:r w:rsidRPr="002425DA">
              <w:rPr>
                <w:rFonts w:eastAsia="Arial" w:cs="Arial"/>
                <w:b/>
                <w:bCs/>
              </w:rPr>
              <w:t>Matched sample - counterfactual</w:t>
            </w:r>
          </w:p>
        </w:tc>
        <w:tc>
          <w:tcPr>
            <w:tcW w:w="0" w:type="auto"/>
            <w:vMerge w:val="restart"/>
            <w:tcBorders>
              <w:top w:val="single" w:sz="4" w:space="0" w:color="142855" w:themeColor="text2"/>
            </w:tcBorders>
            <w:vAlign w:val="center"/>
          </w:tcPr>
          <w:p w14:paraId="14A4841E" w14:textId="77777777" w:rsidR="00690670" w:rsidRPr="00F34274" w:rsidRDefault="00690670" w:rsidP="00313B64">
            <w:pPr>
              <w:spacing w:after="0" w:line="240" w:lineRule="auto"/>
              <w:contextualSpacing/>
              <w:jc w:val="right"/>
              <w:rPr>
                <w:rFonts w:eastAsia="Arial" w:cs="Arial"/>
              </w:rPr>
            </w:pPr>
            <w:r w:rsidRPr="00F34274">
              <w:rPr>
                <w:rFonts w:eastAsia="Arial" w:cs="Arial"/>
              </w:rPr>
              <w:t>58</w:t>
            </w:r>
          </w:p>
        </w:tc>
        <w:tc>
          <w:tcPr>
            <w:tcW w:w="0" w:type="auto"/>
            <w:tcBorders>
              <w:top w:val="single" w:sz="4" w:space="0" w:color="142855" w:themeColor="text2"/>
              <w:bottom w:val="single" w:sz="4" w:space="0" w:color="142855" w:themeColor="text2"/>
            </w:tcBorders>
          </w:tcPr>
          <w:p w14:paraId="066D3D15"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27CCFB5D" w14:textId="77777777" w:rsidR="00690670" w:rsidRDefault="00690670" w:rsidP="00313B64">
            <w:pPr>
              <w:contextualSpacing/>
              <w:jc w:val="right"/>
              <w:rPr>
                <w:rFonts w:eastAsia="Arial" w:cs="Arial"/>
              </w:rPr>
            </w:pPr>
            <w:r w:rsidRPr="00F34274">
              <w:rPr>
                <w:rFonts w:eastAsia="Arial" w:cs="Arial"/>
              </w:rPr>
              <w:t>35</w:t>
            </w:r>
          </w:p>
          <w:p w14:paraId="7DD3E31E" w14:textId="77777777" w:rsidR="00690670" w:rsidRPr="00F34274" w:rsidRDefault="00690670" w:rsidP="00313B64">
            <w:pPr>
              <w:ind w:right="-108"/>
              <w:contextualSpacing/>
              <w:jc w:val="right"/>
              <w:rPr>
                <w:rFonts w:eastAsia="Arial" w:cs="Arial"/>
              </w:rPr>
            </w:pPr>
            <w:r w:rsidRPr="00F34274">
              <w:rPr>
                <w:rFonts w:eastAsia="Arial" w:cs="Arial"/>
              </w:rPr>
              <w:t xml:space="preserve"> (60%)</w:t>
            </w:r>
          </w:p>
        </w:tc>
        <w:tc>
          <w:tcPr>
            <w:tcW w:w="0" w:type="auto"/>
            <w:tcBorders>
              <w:top w:val="single" w:sz="4" w:space="0" w:color="142855" w:themeColor="text2"/>
              <w:bottom w:val="single" w:sz="4" w:space="0" w:color="142855" w:themeColor="text2"/>
            </w:tcBorders>
          </w:tcPr>
          <w:p w14:paraId="44BCE8EA" w14:textId="77777777" w:rsidR="00690670" w:rsidRPr="00F34274" w:rsidRDefault="00690670" w:rsidP="00313B64">
            <w:pPr>
              <w:contextualSpacing/>
              <w:jc w:val="right"/>
              <w:rPr>
                <w:rFonts w:eastAsia="Arial" w:cs="Arial"/>
              </w:rPr>
            </w:pPr>
            <w:r w:rsidRPr="00F34274">
              <w:rPr>
                <w:rFonts w:eastAsia="Arial" w:cs="Arial"/>
              </w:rPr>
              <w:t>£12,805</w:t>
            </w:r>
          </w:p>
        </w:tc>
        <w:tc>
          <w:tcPr>
            <w:tcW w:w="0" w:type="auto"/>
            <w:tcBorders>
              <w:top w:val="single" w:sz="4" w:space="0" w:color="142855" w:themeColor="text2"/>
              <w:bottom w:val="single" w:sz="4" w:space="0" w:color="142855" w:themeColor="text2"/>
            </w:tcBorders>
          </w:tcPr>
          <w:p w14:paraId="1E402BF5" w14:textId="77777777" w:rsidR="00690670" w:rsidRPr="00F34274" w:rsidRDefault="00690670" w:rsidP="00313B64">
            <w:pPr>
              <w:contextualSpacing/>
              <w:jc w:val="right"/>
              <w:rPr>
                <w:rFonts w:eastAsia="Arial" w:cs="Arial"/>
              </w:rPr>
            </w:pPr>
            <w:r w:rsidRPr="00F34274">
              <w:rPr>
                <w:rFonts w:eastAsia="Arial" w:cs="Arial"/>
              </w:rPr>
              <w:t>£20,581</w:t>
            </w:r>
          </w:p>
        </w:tc>
        <w:tc>
          <w:tcPr>
            <w:tcW w:w="0" w:type="auto"/>
            <w:tcBorders>
              <w:top w:val="single" w:sz="4" w:space="0" w:color="142855" w:themeColor="text2"/>
              <w:bottom w:val="single" w:sz="4" w:space="0" w:color="142855" w:themeColor="text2"/>
            </w:tcBorders>
          </w:tcPr>
          <w:p w14:paraId="1EE30C67" w14:textId="77777777" w:rsidR="00690670" w:rsidRPr="00F34274" w:rsidRDefault="00690670" w:rsidP="00313B64">
            <w:pPr>
              <w:contextualSpacing/>
              <w:jc w:val="right"/>
              <w:rPr>
                <w:rFonts w:eastAsia="Arial" w:cs="Arial"/>
              </w:rPr>
            </w:pPr>
            <w:r w:rsidRPr="00F34274">
              <w:rPr>
                <w:rFonts w:eastAsia="Arial" w:cs="Arial"/>
              </w:rPr>
              <w:t>£131,403</w:t>
            </w:r>
          </w:p>
        </w:tc>
        <w:tc>
          <w:tcPr>
            <w:tcW w:w="0" w:type="auto"/>
            <w:tcBorders>
              <w:top w:val="single" w:sz="4" w:space="0" w:color="142855" w:themeColor="text2"/>
              <w:bottom w:val="single" w:sz="4" w:space="0" w:color="142855" w:themeColor="text2"/>
            </w:tcBorders>
          </w:tcPr>
          <w:p w14:paraId="075FA051" w14:textId="77777777" w:rsidR="00690670" w:rsidRPr="00F34274" w:rsidRDefault="00690670" w:rsidP="00313B64">
            <w:pPr>
              <w:contextualSpacing/>
              <w:jc w:val="right"/>
              <w:rPr>
                <w:rFonts w:eastAsia="Arial" w:cs="Arial"/>
              </w:rPr>
            </w:pPr>
            <w:r w:rsidRPr="00F34274">
              <w:rPr>
                <w:rFonts w:eastAsia="Arial" w:cs="Arial"/>
              </w:rPr>
              <w:t>£298</w:t>
            </w:r>
          </w:p>
        </w:tc>
      </w:tr>
      <w:tr w:rsidR="00690670" w:rsidRPr="00F34274" w14:paraId="0A5EEAC0" w14:textId="77777777" w:rsidTr="00313B64">
        <w:trPr>
          <w:trHeight w:val="601"/>
        </w:trPr>
        <w:tc>
          <w:tcPr>
            <w:tcW w:w="0" w:type="auto"/>
            <w:vMerge/>
            <w:tcBorders>
              <w:bottom w:val="single" w:sz="4" w:space="0" w:color="142855" w:themeColor="text2"/>
            </w:tcBorders>
          </w:tcPr>
          <w:p w14:paraId="6505BAE9" w14:textId="77777777" w:rsidR="00690670" w:rsidRPr="00F34274" w:rsidRDefault="00690670" w:rsidP="00313B64">
            <w:pPr>
              <w:contextualSpacing/>
              <w:rPr>
                <w:rFonts w:eastAsia="Arial" w:cs="Arial"/>
              </w:rPr>
            </w:pPr>
          </w:p>
        </w:tc>
        <w:tc>
          <w:tcPr>
            <w:tcW w:w="0" w:type="auto"/>
            <w:vMerge/>
            <w:tcBorders>
              <w:bottom w:val="single" w:sz="4" w:space="0" w:color="142855" w:themeColor="text2"/>
            </w:tcBorders>
          </w:tcPr>
          <w:p w14:paraId="27E05895"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single" w:sz="4" w:space="0" w:color="142855" w:themeColor="text2"/>
            </w:tcBorders>
          </w:tcPr>
          <w:p w14:paraId="64B32118"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4709952C" w14:textId="77777777" w:rsidR="00690670" w:rsidRDefault="00690670" w:rsidP="00313B64">
            <w:pPr>
              <w:contextualSpacing/>
              <w:jc w:val="right"/>
              <w:rPr>
                <w:rFonts w:eastAsia="Arial" w:cs="Arial"/>
              </w:rPr>
            </w:pPr>
            <w:r w:rsidRPr="00F34274">
              <w:rPr>
                <w:rFonts w:eastAsia="Arial" w:cs="Arial"/>
              </w:rPr>
              <w:t>22</w:t>
            </w:r>
          </w:p>
          <w:p w14:paraId="55AC91B3" w14:textId="77777777" w:rsidR="00690670" w:rsidRPr="00F34274" w:rsidRDefault="00690670" w:rsidP="00313B64">
            <w:pPr>
              <w:ind w:right="-108"/>
              <w:contextualSpacing/>
              <w:jc w:val="right"/>
              <w:rPr>
                <w:rFonts w:eastAsia="Arial" w:cs="Arial"/>
              </w:rPr>
            </w:pPr>
            <w:r w:rsidRPr="00F34274">
              <w:rPr>
                <w:rFonts w:eastAsia="Arial" w:cs="Arial"/>
              </w:rPr>
              <w:t xml:space="preserve"> (38%)</w:t>
            </w:r>
          </w:p>
        </w:tc>
        <w:tc>
          <w:tcPr>
            <w:tcW w:w="0" w:type="auto"/>
            <w:tcBorders>
              <w:top w:val="single" w:sz="4" w:space="0" w:color="142855" w:themeColor="text2"/>
              <w:bottom w:val="single" w:sz="4" w:space="0" w:color="142855" w:themeColor="text2"/>
            </w:tcBorders>
          </w:tcPr>
          <w:p w14:paraId="585E5C43" w14:textId="77777777" w:rsidR="00690670" w:rsidRPr="00F34274" w:rsidRDefault="00690670" w:rsidP="00313B64">
            <w:pPr>
              <w:contextualSpacing/>
              <w:jc w:val="right"/>
              <w:rPr>
                <w:rFonts w:eastAsia="Arial" w:cs="Arial"/>
              </w:rPr>
            </w:pPr>
            <w:r w:rsidRPr="00F34274">
              <w:rPr>
                <w:rFonts w:eastAsia="Arial" w:cs="Arial"/>
              </w:rPr>
              <w:t>£83,438</w:t>
            </w:r>
          </w:p>
        </w:tc>
        <w:tc>
          <w:tcPr>
            <w:tcW w:w="0" w:type="auto"/>
            <w:tcBorders>
              <w:top w:val="single" w:sz="4" w:space="0" w:color="142855" w:themeColor="text2"/>
              <w:bottom w:val="single" w:sz="4" w:space="0" w:color="142855" w:themeColor="text2"/>
            </w:tcBorders>
          </w:tcPr>
          <w:p w14:paraId="3706672F" w14:textId="77777777" w:rsidR="00690670" w:rsidRPr="00F34274" w:rsidRDefault="00690670" w:rsidP="00313B64">
            <w:pPr>
              <w:contextualSpacing/>
              <w:jc w:val="right"/>
              <w:rPr>
                <w:rFonts w:eastAsia="Arial" w:cs="Arial"/>
              </w:rPr>
            </w:pPr>
            <w:r w:rsidRPr="00F34274">
              <w:rPr>
                <w:rFonts w:eastAsia="Arial" w:cs="Arial"/>
              </w:rPr>
              <w:t>£163,935</w:t>
            </w:r>
          </w:p>
        </w:tc>
        <w:tc>
          <w:tcPr>
            <w:tcW w:w="0" w:type="auto"/>
            <w:tcBorders>
              <w:top w:val="single" w:sz="4" w:space="0" w:color="142855" w:themeColor="text2"/>
              <w:bottom w:val="single" w:sz="4" w:space="0" w:color="142855" w:themeColor="text2"/>
            </w:tcBorders>
          </w:tcPr>
          <w:p w14:paraId="0BB13EAF" w14:textId="77777777" w:rsidR="00690670" w:rsidRPr="00F34274" w:rsidRDefault="00690670" w:rsidP="00313B64">
            <w:pPr>
              <w:contextualSpacing/>
              <w:jc w:val="right"/>
              <w:rPr>
                <w:rFonts w:eastAsia="Arial" w:cs="Arial"/>
              </w:rPr>
            </w:pPr>
            <w:r w:rsidRPr="00F34274">
              <w:rPr>
                <w:rFonts w:eastAsia="Arial" w:cs="Arial"/>
              </w:rPr>
              <w:t>£1,015,682</w:t>
            </w:r>
          </w:p>
        </w:tc>
        <w:tc>
          <w:tcPr>
            <w:tcW w:w="0" w:type="auto"/>
            <w:tcBorders>
              <w:top w:val="single" w:sz="4" w:space="0" w:color="142855" w:themeColor="text2"/>
              <w:bottom w:val="single" w:sz="4" w:space="0" w:color="142855" w:themeColor="text2"/>
            </w:tcBorders>
          </w:tcPr>
          <w:p w14:paraId="29BE736D" w14:textId="77777777" w:rsidR="00690670" w:rsidRPr="00F34274" w:rsidRDefault="00690670" w:rsidP="00313B64">
            <w:pPr>
              <w:contextualSpacing/>
              <w:jc w:val="right"/>
              <w:rPr>
                <w:rFonts w:eastAsia="Arial" w:cs="Arial"/>
              </w:rPr>
            </w:pPr>
            <w:r w:rsidRPr="00F34274">
              <w:rPr>
                <w:rFonts w:eastAsia="Arial" w:cs="Arial"/>
              </w:rPr>
              <w:t>£3,209</w:t>
            </w:r>
          </w:p>
        </w:tc>
      </w:tr>
    </w:tbl>
    <w:p w14:paraId="3E999E96" w14:textId="77777777" w:rsidR="00CD60C2" w:rsidRPr="00F34274" w:rsidRDefault="00CD60C2" w:rsidP="00957DB2">
      <w:pPr>
        <w:rPr>
          <w:rFonts w:eastAsia="Arial" w:cs="Arial"/>
          <w:i/>
        </w:rPr>
      </w:pPr>
    </w:p>
    <w:p w14:paraId="342CFD28" w14:textId="77777777" w:rsidR="00270A72" w:rsidRPr="00F34274" w:rsidRDefault="00270A72" w:rsidP="00270A72">
      <w:pPr>
        <w:keepNext/>
        <w:keepLines/>
        <w:spacing w:before="320" w:after="120"/>
        <w:outlineLvl w:val="4"/>
        <w:rPr>
          <w:rFonts w:eastAsia="SimHei" w:cs="Arial"/>
          <w:b/>
          <w:color w:val="1D1D1B"/>
        </w:rPr>
      </w:pPr>
      <w:r w:rsidRPr="00F34274">
        <w:rPr>
          <w:rFonts w:eastAsia="SimHei" w:cs="Arial"/>
          <w:b/>
          <w:color w:val="1D1D1B"/>
        </w:rPr>
        <w:t>E.3 Turnover</w:t>
      </w:r>
    </w:p>
    <w:p w14:paraId="3CF8C15F" w14:textId="77777777" w:rsidR="00270A72" w:rsidRPr="00F34274" w:rsidRDefault="00270A72" w:rsidP="00270A72">
      <w:pPr>
        <w:rPr>
          <w:rFonts w:eastAsia="Arial" w:cs="Arial"/>
        </w:rPr>
      </w:pPr>
      <w:r w:rsidRPr="00F34274">
        <w:rPr>
          <w:rFonts w:eastAsia="Arial" w:cs="Arial"/>
        </w:rPr>
        <w:t>All firms had a positive turnover before RAP (£1k or higher). The average turnover of RAP funded firms doubles between 2019 to 2022, from £332k to £625k.</w:t>
      </w:r>
    </w:p>
    <w:p w14:paraId="1F366D3A" w14:textId="363794FD" w:rsidR="00CD60C2" w:rsidRDefault="00270A72" w:rsidP="00270A72">
      <w:pPr>
        <w:rPr>
          <w:rFonts w:eastAsia="Arial" w:cs="Arial"/>
        </w:rPr>
      </w:pPr>
      <w:r w:rsidRPr="00F34274">
        <w:rPr>
          <w:rFonts w:eastAsia="Arial" w:cs="Arial"/>
        </w:rPr>
        <w:t xml:space="preserve">A comparison of median and average starting turnover figures of the RAP funded firms and the counterfactual group shows that the counterfactual </w:t>
      </w:r>
      <w:proofErr w:type="gramStart"/>
      <w:r w:rsidR="00964BC3">
        <w:rPr>
          <w:rFonts w:eastAsia="Arial" w:cs="Arial"/>
        </w:rPr>
        <w:t>were</w:t>
      </w:r>
      <w:proofErr w:type="gramEnd"/>
      <w:r w:rsidR="00964BC3">
        <w:rPr>
          <w:rFonts w:eastAsia="Arial" w:cs="Arial"/>
        </w:rPr>
        <w:t xml:space="preserve"> higher</w:t>
      </w:r>
      <w:r w:rsidRPr="00F34274">
        <w:rPr>
          <w:rFonts w:eastAsia="Arial" w:cs="Arial"/>
        </w:rPr>
        <w:t xml:space="preserve"> which could be driven by these firms exhibiting a more established profile. The percentage growth in median </w:t>
      </w:r>
      <w:r w:rsidRPr="00F34274">
        <w:rPr>
          <w:rFonts w:eastAsia="Arial" w:cs="Arial"/>
        </w:rPr>
        <w:lastRenderedPageBreak/>
        <w:t xml:space="preserve">turnover between 2019 and 2022 is lower for the RAP funded firms than for the counterfactual (186% vs 261%). </w:t>
      </w:r>
    </w:p>
    <w:p w14:paraId="5C7406D4" w14:textId="77777777" w:rsidR="00690670" w:rsidRDefault="00690670" w:rsidP="00270A72">
      <w:pPr>
        <w:rPr>
          <w:rFonts w:eastAsia="Arial" w:cs="Arial"/>
        </w:rPr>
      </w:pPr>
    </w:p>
    <w:p w14:paraId="66999BB5" w14:textId="77777777" w:rsidR="00690670" w:rsidRDefault="00690670" w:rsidP="00270A72">
      <w:pPr>
        <w:rPr>
          <w:rFonts w:eastAsia="Arial" w:cs="Arial"/>
        </w:rPr>
      </w:pPr>
    </w:p>
    <w:p w14:paraId="24C9D2C6" w14:textId="77777777" w:rsidR="00690670" w:rsidRDefault="00690670" w:rsidP="00270A72">
      <w:pPr>
        <w:rPr>
          <w:rFonts w:eastAsia="Arial" w:cs="Arial"/>
        </w:rPr>
      </w:pPr>
    </w:p>
    <w:p w14:paraId="71EA3668" w14:textId="77777777" w:rsidR="001A6B44" w:rsidRDefault="001A6B44" w:rsidP="00270A72">
      <w:pPr>
        <w:rPr>
          <w:rFonts w:eastAsia="Arial" w:cs="Arial"/>
        </w:rPr>
      </w:pPr>
    </w:p>
    <w:p w14:paraId="0608FD8D" w14:textId="40F71264" w:rsidR="00CD60C2" w:rsidRPr="00F34274" w:rsidRDefault="003C06F0" w:rsidP="003C06F0">
      <w:pPr>
        <w:pStyle w:val="Caption"/>
        <w:rPr>
          <w:rFonts w:eastAsia="Arial" w:cs="Arial"/>
          <w:iCs w:val="0"/>
        </w:rPr>
      </w:pPr>
      <w:r>
        <w:t xml:space="preserve">Table </w:t>
      </w:r>
      <w:r w:rsidR="002728D8">
        <w:fldChar w:fldCharType="begin"/>
      </w:r>
      <w:r w:rsidR="002728D8">
        <w:instrText xml:space="preserve"> SEQ Table \* ARABIC </w:instrText>
      </w:r>
      <w:r w:rsidR="002728D8">
        <w:fldChar w:fldCharType="separate"/>
      </w:r>
      <w:r w:rsidR="00BC412E">
        <w:rPr>
          <w:noProof/>
        </w:rPr>
        <w:t>13</w:t>
      </w:r>
      <w:r w:rsidR="002728D8">
        <w:rPr>
          <w:noProof/>
        </w:rPr>
        <w:fldChar w:fldCharType="end"/>
      </w:r>
      <w:r>
        <w:t xml:space="preserve">: </w:t>
      </w:r>
      <w:r w:rsidRPr="001E6D49">
        <w:t>Turnover of funded firms and a counterfactual</w:t>
      </w:r>
    </w:p>
    <w:tbl>
      <w:tblPr>
        <w:tblStyle w:val="PlainTable21"/>
        <w:tblW w:w="0" w:type="auto"/>
        <w:tblLook w:val="0420" w:firstRow="1" w:lastRow="0" w:firstColumn="0" w:lastColumn="0" w:noHBand="0" w:noVBand="1"/>
      </w:tblPr>
      <w:tblGrid>
        <w:gridCol w:w="2272"/>
        <w:gridCol w:w="999"/>
        <w:gridCol w:w="706"/>
        <w:gridCol w:w="1964"/>
        <w:gridCol w:w="1083"/>
        <w:gridCol w:w="1193"/>
        <w:gridCol w:w="1032"/>
        <w:gridCol w:w="713"/>
      </w:tblGrid>
      <w:tr w:rsidR="00690670" w:rsidRPr="00F34274" w14:paraId="7815D3DA" w14:textId="77777777" w:rsidTr="00313B64">
        <w:trPr>
          <w:cnfStyle w:val="100000000000" w:firstRow="1" w:lastRow="0" w:firstColumn="0" w:lastColumn="0" w:oddVBand="0" w:evenVBand="0" w:oddHBand="0" w:evenHBand="0" w:firstRowFirstColumn="0" w:firstRowLastColumn="0" w:lastRowFirstColumn="0" w:lastRowLastColumn="0"/>
          <w:trHeight w:val="1924"/>
        </w:trPr>
        <w:tc>
          <w:tcPr>
            <w:tcW w:w="0" w:type="auto"/>
            <w:tcBorders>
              <w:top w:val="single" w:sz="4" w:space="0" w:color="142855" w:themeColor="text2"/>
              <w:bottom w:val="single" w:sz="4" w:space="0" w:color="142855" w:themeColor="text2"/>
            </w:tcBorders>
          </w:tcPr>
          <w:p w14:paraId="383B9E48" w14:textId="77777777" w:rsidR="00690670" w:rsidRPr="002470D1" w:rsidRDefault="00690670" w:rsidP="00313B64">
            <w:pPr>
              <w:spacing w:after="0"/>
              <w:contextualSpacing/>
              <w:rPr>
                <w:rFonts w:eastAsia="Arial" w:cs="Arial"/>
                <w:color w:val="142855" w:themeColor="text2"/>
              </w:rPr>
            </w:pPr>
            <w:r w:rsidRPr="002470D1">
              <w:rPr>
                <w:rFonts w:eastAsia="Arial" w:cs="Arial"/>
                <w:color w:val="142855" w:themeColor="text2"/>
              </w:rPr>
              <w:t>Group</w:t>
            </w:r>
          </w:p>
        </w:tc>
        <w:tc>
          <w:tcPr>
            <w:tcW w:w="0" w:type="auto"/>
            <w:tcBorders>
              <w:top w:val="single" w:sz="4" w:space="0" w:color="142855" w:themeColor="text2"/>
              <w:bottom w:val="single" w:sz="4" w:space="0" w:color="142855" w:themeColor="text2"/>
            </w:tcBorders>
          </w:tcPr>
          <w:p w14:paraId="623408A5" w14:textId="77777777" w:rsidR="00690670" w:rsidRPr="002470D1" w:rsidRDefault="00690670" w:rsidP="00313B64">
            <w:pPr>
              <w:spacing w:after="0" w:line="276" w:lineRule="auto"/>
              <w:contextualSpacing/>
              <w:jc w:val="right"/>
              <w:rPr>
                <w:rFonts w:eastAsia="Arial" w:cs="Arial"/>
                <w:color w:val="142855" w:themeColor="text2"/>
              </w:rPr>
            </w:pPr>
            <w:r w:rsidRPr="002470D1">
              <w:rPr>
                <w:rFonts w:eastAsia="Arial" w:cs="Arial"/>
                <w:color w:val="142855" w:themeColor="text2"/>
              </w:rPr>
              <w:t>Sample</w:t>
            </w:r>
          </w:p>
        </w:tc>
        <w:tc>
          <w:tcPr>
            <w:tcW w:w="0" w:type="auto"/>
            <w:tcBorders>
              <w:top w:val="single" w:sz="4" w:space="0" w:color="142855" w:themeColor="text2"/>
              <w:bottom w:val="single" w:sz="4" w:space="0" w:color="142855" w:themeColor="text2"/>
            </w:tcBorders>
          </w:tcPr>
          <w:p w14:paraId="013C8FA4"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Year</w:t>
            </w:r>
          </w:p>
        </w:tc>
        <w:tc>
          <w:tcPr>
            <w:tcW w:w="0" w:type="auto"/>
            <w:tcBorders>
              <w:top w:val="single" w:sz="4" w:space="0" w:color="142855" w:themeColor="text2"/>
              <w:bottom w:val="single" w:sz="4" w:space="0" w:color="142855" w:themeColor="text2"/>
            </w:tcBorders>
          </w:tcPr>
          <w:p w14:paraId="0B5F370F"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Number of firms that have turnover entries</w:t>
            </w:r>
          </w:p>
        </w:tc>
        <w:tc>
          <w:tcPr>
            <w:tcW w:w="0" w:type="auto"/>
            <w:tcBorders>
              <w:top w:val="single" w:sz="4" w:space="0" w:color="142855" w:themeColor="text2"/>
              <w:bottom w:val="single" w:sz="4" w:space="0" w:color="142855" w:themeColor="text2"/>
            </w:tcBorders>
          </w:tcPr>
          <w:p w14:paraId="5ED001EE"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Median (£k)</w:t>
            </w:r>
          </w:p>
        </w:tc>
        <w:tc>
          <w:tcPr>
            <w:tcW w:w="0" w:type="auto"/>
            <w:tcBorders>
              <w:top w:val="single" w:sz="4" w:space="0" w:color="142855" w:themeColor="text2"/>
              <w:bottom w:val="single" w:sz="4" w:space="0" w:color="142855" w:themeColor="text2"/>
            </w:tcBorders>
          </w:tcPr>
          <w:p w14:paraId="6CE6F7BD"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Average (£k)</w:t>
            </w:r>
          </w:p>
        </w:tc>
        <w:tc>
          <w:tcPr>
            <w:tcW w:w="0" w:type="auto"/>
            <w:tcBorders>
              <w:top w:val="single" w:sz="4" w:space="0" w:color="142855" w:themeColor="text2"/>
              <w:bottom w:val="single" w:sz="4" w:space="0" w:color="142855" w:themeColor="text2"/>
            </w:tcBorders>
          </w:tcPr>
          <w:p w14:paraId="73BB01F2"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Max (£k)</w:t>
            </w:r>
          </w:p>
        </w:tc>
        <w:tc>
          <w:tcPr>
            <w:tcW w:w="0" w:type="auto"/>
            <w:tcBorders>
              <w:top w:val="single" w:sz="4" w:space="0" w:color="142855" w:themeColor="text2"/>
              <w:bottom w:val="single" w:sz="4" w:space="0" w:color="142855" w:themeColor="text2"/>
            </w:tcBorders>
          </w:tcPr>
          <w:p w14:paraId="68469D85" w14:textId="77777777" w:rsidR="00690670" w:rsidRPr="002470D1" w:rsidRDefault="00690670" w:rsidP="00313B64">
            <w:pPr>
              <w:spacing w:after="0"/>
              <w:contextualSpacing/>
              <w:jc w:val="right"/>
              <w:rPr>
                <w:rFonts w:eastAsia="Arial" w:cs="Arial"/>
                <w:color w:val="142855" w:themeColor="text2"/>
              </w:rPr>
            </w:pPr>
            <w:r w:rsidRPr="002470D1">
              <w:rPr>
                <w:rFonts w:eastAsia="Arial" w:cs="Arial"/>
                <w:color w:val="142855" w:themeColor="text2"/>
              </w:rPr>
              <w:t>Min (£k)</w:t>
            </w:r>
          </w:p>
        </w:tc>
      </w:tr>
      <w:tr w:rsidR="00690670" w:rsidRPr="00F34274" w14:paraId="2AAD8ECC" w14:textId="77777777" w:rsidTr="00313B64">
        <w:trPr>
          <w:cnfStyle w:val="000000100000" w:firstRow="0" w:lastRow="0" w:firstColumn="0" w:lastColumn="0" w:oddVBand="0" w:evenVBand="0" w:oddHBand="1" w:evenHBand="0" w:firstRowFirstColumn="0" w:firstRowLastColumn="0" w:lastRowFirstColumn="0" w:lastRowLastColumn="0"/>
          <w:trHeight w:val="553"/>
        </w:trPr>
        <w:tc>
          <w:tcPr>
            <w:tcW w:w="0" w:type="auto"/>
            <w:vMerge w:val="restart"/>
            <w:tcBorders>
              <w:top w:val="single" w:sz="4" w:space="0" w:color="142855" w:themeColor="text2"/>
            </w:tcBorders>
          </w:tcPr>
          <w:p w14:paraId="786D388B" w14:textId="77777777" w:rsidR="00690670" w:rsidRPr="002470D1" w:rsidRDefault="00690670" w:rsidP="00313B64">
            <w:pPr>
              <w:contextualSpacing/>
              <w:rPr>
                <w:rFonts w:eastAsia="Arial" w:cs="Arial"/>
                <w:b/>
                <w:bCs/>
              </w:rPr>
            </w:pPr>
            <w:r w:rsidRPr="002470D1">
              <w:rPr>
                <w:rFonts w:eastAsia="Arial" w:cs="Arial"/>
                <w:b/>
                <w:bCs/>
              </w:rPr>
              <w:t>RAP funded firms</w:t>
            </w:r>
          </w:p>
        </w:tc>
        <w:tc>
          <w:tcPr>
            <w:tcW w:w="0" w:type="auto"/>
            <w:vMerge w:val="restart"/>
            <w:tcBorders>
              <w:top w:val="single" w:sz="4" w:space="0" w:color="142855" w:themeColor="text2"/>
            </w:tcBorders>
            <w:vAlign w:val="center"/>
          </w:tcPr>
          <w:p w14:paraId="111F317F" w14:textId="77777777" w:rsidR="00690670" w:rsidRPr="00F34274" w:rsidRDefault="00690670" w:rsidP="00313B64">
            <w:pPr>
              <w:spacing w:after="0" w:line="276" w:lineRule="auto"/>
              <w:contextualSpacing/>
              <w:jc w:val="right"/>
              <w:rPr>
                <w:rFonts w:eastAsia="Arial" w:cs="Arial"/>
              </w:rPr>
            </w:pPr>
            <w:r w:rsidRPr="00F34274">
              <w:rPr>
                <w:rFonts w:eastAsia="Arial" w:cs="Arial"/>
              </w:rPr>
              <w:t>155</w:t>
            </w:r>
          </w:p>
        </w:tc>
        <w:tc>
          <w:tcPr>
            <w:tcW w:w="0" w:type="auto"/>
            <w:tcBorders>
              <w:top w:val="single" w:sz="4" w:space="0" w:color="142855" w:themeColor="text2"/>
              <w:bottom w:val="single" w:sz="4" w:space="0" w:color="142855" w:themeColor="text2"/>
            </w:tcBorders>
          </w:tcPr>
          <w:p w14:paraId="74BA987F"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3579254A" w14:textId="77777777" w:rsidR="00690670" w:rsidRDefault="00690670" w:rsidP="00313B64">
            <w:pPr>
              <w:ind w:right="-108"/>
              <w:contextualSpacing/>
              <w:jc w:val="right"/>
              <w:rPr>
                <w:rFonts w:eastAsia="Arial" w:cs="Arial"/>
              </w:rPr>
            </w:pPr>
            <w:r w:rsidRPr="00F34274">
              <w:rPr>
                <w:rFonts w:eastAsia="Arial" w:cs="Arial"/>
              </w:rPr>
              <w:t>154</w:t>
            </w:r>
          </w:p>
          <w:p w14:paraId="03986A1E" w14:textId="77777777" w:rsidR="00690670" w:rsidRPr="00F34274" w:rsidRDefault="00690670" w:rsidP="00313B64">
            <w:pPr>
              <w:ind w:right="-108"/>
              <w:contextualSpacing/>
              <w:jc w:val="right"/>
              <w:rPr>
                <w:rFonts w:eastAsia="Arial" w:cs="Arial"/>
              </w:rPr>
            </w:pPr>
            <w:r w:rsidRPr="00F34274">
              <w:rPr>
                <w:rFonts w:eastAsia="Arial" w:cs="Arial"/>
              </w:rPr>
              <w:t xml:space="preserve"> (99%)</w:t>
            </w:r>
          </w:p>
        </w:tc>
        <w:tc>
          <w:tcPr>
            <w:tcW w:w="0" w:type="auto"/>
            <w:tcBorders>
              <w:top w:val="single" w:sz="4" w:space="0" w:color="142855" w:themeColor="text2"/>
              <w:bottom w:val="single" w:sz="4" w:space="0" w:color="142855" w:themeColor="text2"/>
            </w:tcBorders>
          </w:tcPr>
          <w:p w14:paraId="092BB966" w14:textId="77777777" w:rsidR="00690670" w:rsidRPr="00F34274" w:rsidRDefault="00690670" w:rsidP="00313B64">
            <w:pPr>
              <w:contextualSpacing/>
              <w:jc w:val="right"/>
              <w:rPr>
                <w:rFonts w:eastAsia="Arial" w:cs="Arial"/>
              </w:rPr>
            </w:pPr>
            <w:r w:rsidRPr="00F34274">
              <w:rPr>
                <w:rFonts w:eastAsia="Arial" w:cs="Arial"/>
              </w:rPr>
              <w:t>£97</w:t>
            </w:r>
          </w:p>
        </w:tc>
        <w:tc>
          <w:tcPr>
            <w:tcW w:w="0" w:type="auto"/>
            <w:tcBorders>
              <w:top w:val="single" w:sz="4" w:space="0" w:color="142855" w:themeColor="text2"/>
              <w:bottom w:val="single" w:sz="4" w:space="0" w:color="142855" w:themeColor="text2"/>
            </w:tcBorders>
          </w:tcPr>
          <w:p w14:paraId="6D742FE1" w14:textId="77777777" w:rsidR="00690670" w:rsidRPr="00F34274" w:rsidRDefault="00690670" w:rsidP="00313B64">
            <w:pPr>
              <w:contextualSpacing/>
              <w:jc w:val="right"/>
              <w:rPr>
                <w:rFonts w:eastAsia="Arial" w:cs="Arial"/>
              </w:rPr>
            </w:pPr>
            <w:r w:rsidRPr="00F34274">
              <w:rPr>
                <w:rFonts w:eastAsia="Arial" w:cs="Arial"/>
              </w:rPr>
              <w:t>£332</w:t>
            </w:r>
          </w:p>
        </w:tc>
        <w:tc>
          <w:tcPr>
            <w:tcW w:w="0" w:type="auto"/>
            <w:tcBorders>
              <w:top w:val="single" w:sz="4" w:space="0" w:color="142855" w:themeColor="text2"/>
              <w:bottom w:val="single" w:sz="4" w:space="0" w:color="142855" w:themeColor="text2"/>
            </w:tcBorders>
          </w:tcPr>
          <w:p w14:paraId="1D5DC2ED" w14:textId="77777777" w:rsidR="00690670" w:rsidRPr="00F34274" w:rsidRDefault="00690670" w:rsidP="00313B64">
            <w:pPr>
              <w:contextualSpacing/>
              <w:jc w:val="right"/>
              <w:rPr>
                <w:rFonts w:eastAsia="Arial" w:cs="Arial"/>
              </w:rPr>
            </w:pPr>
            <w:r w:rsidRPr="00F34274">
              <w:rPr>
                <w:rFonts w:eastAsia="Arial" w:cs="Arial"/>
              </w:rPr>
              <w:t>£6,000</w:t>
            </w:r>
          </w:p>
        </w:tc>
        <w:tc>
          <w:tcPr>
            <w:tcW w:w="0" w:type="auto"/>
            <w:tcBorders>
              <w:top w:val="single" w:sz="4" w:space="0" w:color="142855" w:themeColor="text2"/>
              <w:bottom w:val="single" w:sz="4" w:space="0" w:color="142855" w:themeColor="text2"/>
            </w:tcBorders>
          </w:tcPr>
          <w:p w14:paraId="310BBF10" w14:textId="77777777" w:rsidR="00690670" w:rsidRPr="00F34274" w:rsidRDefault="00690670" w:rsidP="00313B64">
            <w:pPr>
              <w:contextualSpacing/>
              <w:jc w:val="right"/>
              <w:rPr>
                <w:rFonts w:eastAsia="Arial" w:cs="Arial"/>
              </w:rPr>
            </w:pPr>
            <w:r w:rsidRPr="00F34274">
              <w:rPr>
                <w:rFonts w:eastAsia="Arial" w:cs="Arial"/>
              </w:rPr>
              <w:t>£1</w:t>
            </w:r>
          </w:p>
        </w:tc>
      </w:tr>
      <w:tr w:rsidR="00690670" w:rsidRPr="00F34274" w14:paraId="0A5523DD" w14:textId="77777777" w:rsidTr="00313B64">
        <w:trPr>
          <w:trHeight w:val="564"/>
        </w:trPr>
        <w:tc>
          <w:tcPr>
            <w:tcW w:w="0" w:type="auto"/>
            <w:vMerge/>
            <w:tcBorders>
              <w:bottom w:val="single" w:sz="4" w:space="0" w:color="142855" w:themeColor="text2"/>
            </w:tcBorders>
          </w:tcPr>
          <w:p w14:paraId="5F4BF49C" w14:textId="77777777" w:rsidR="00690670" w:rsidRPr="002470D1" w:rsidRDefault="00690670" w:rsidP="00313B64">
            <w:pPr>
              <w:contextualSpacing/>
              <w:rPr>
                <w:rFonts w:eastAsia="Arial" w:cs="Arial"/>
                <w:b/>
                <w:bCs/>
              </w:rPr>
            </w:pPr>
          </w:p>
        </w:tc>
        <w:tc>
          <w:tcPr>
            <w:tcW w:w="0" w:type="auto"/>
            <w:vMerge/>
            <w:tcBorders>
              <w:bottom w:val="single" w:sz="4" w:space="0" w:color="142855" w:themeColor="text2"/>
            </w:tcBorders>
          </w:tcPr>
          <w:p w14:paraId="7FF3EFF7" w14:textId="77777777" w:rsidR="00690670" w:rsidRPr="00F34274" w:rsidRDefault="00690670" w:rsidP="00313B64">
            <w:pPr>
              <w:spacing w:line="276" w:lineRule="auto"/>
              <w:contextualSpacing/>
              <w:jc w:val="right"/>
              <w:rPr>
                <w:rFonts w:eastAsia="Arial" w:cs="Arial"/>
              </w:rPr>
            </w:pPr>
          </w:p>
        </w:tc>
        <w:tc>
          <w:tcPr>
            <w:tcW w:w="0" w:type="auto"/>
            <w:tcBorders>
              <w:top w:val="single" w:sz="4" w:space="0" w:color="142855" w:themeColor="text2"/>
              <w:bottom w:val="single" w:sz="4" w:space="0" w:color="142855" w:themeColor="text2"/>
            </w:tcBorders>
          </w:tcPr>
          <w:p w14:paraId="4C49DB21"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48685954" w14:textId="77777777" w:rsidR="00690670" w:rsidRDefault="00690670" w:rsidP="00313B64">
            <w:pPr>
              <w:ind w:right="-108"/>
              <w:contextualSpacing/>
              <w:jc w:val="right"/>
              <w:rPr>
                <w:rFonts w:eastAsia="Arial" w:cs="Arial"/>
              </w:rPr>
            </w:pPr>
            <w:r w:rsidRPr="00F34274">
              <w:rPr>
                <w:rFonts w:eastAsia="Arial" w:cs="Arial"/>
              </w:rPr>
              <w:t>151</w:t>
            </w:r>
          </w:p>
          <w:p w14:paraId="6637CB46" w14:textId="77777777" w:rsidR="00690670" w:rsidRPr="00F34274" w:rsidRDefault="00690670" w:rsidP="00313B64">
            <w:pPr>
              <w:ind w:right="-108"/>
              <w:contextualSpacing/>
              <w:jc w:val="right"/>
              <w:rPr>
                <w:rFonts w:eastAsia="Arial" w:cs="Arial"/>
              </w:rPr>
            </w:pPr>
            <w:r w:rsidRPr="00F34274">
              <w:rPr>
                <w:rFonts w:eastAsia="Arial" w:cs="Arial"/>
              </w:rPr>
              <w:t xml:space="preserve"> (97%)</w:t>
            </w:r>
          </w:p>
        </w:tc>
        <w:tc>
          <w:tcPr>
            <w:tcW w:w="0" w:type="auto"/>
            <w:tcBorders>
              <w:top w:val="single" w:sz="4" w:space="0" w:color="142855" w:themeColor="text2"/>
              <w:bottom w:val="single" w:sz="4" w:space="0" w:color="142855" w:themeColor="text2"/>
            </w:tcBorders>
          </w:tcPr>
          <w:p w14:paraId="057E1B85" w14:textId="77777777" w:rsidR="00690670" w:rsidRPr="00F34274" w:rsidRDefault="00690670" w:rsidP="00313B64">
            <w:pPr>
              <w:contextualSpacing/>
              <w:jc w:val="right"/>
              <w:rPr>
                <w:rFonts w:eastAsia="Arial" w:cs="Arial"/>
              </w:rPr>
            </w:pPr>
            <w:r w:rsidRPr="00F34274">
              <w:rPr>
                <w:rFonts w:eastAsia="Arial" w:cs="Arial"/>
              </w:rPr>
              <w:t>£275</w:t>
            </w:r>
          </w:p>
        </w:tc>
        <w:tc>
          <w:tcPr>
            <w:tcW w:w="0" w:type="auto"/>
            <w:tcBorders>
              <w:top w:val="single" w:sz="4" w:space="0" w:color="142855" w:themeColor="text2"/>
              <w:bottom w:val="single" w:sz="4" w:space="0" w:color="142855" w:themeColor="text2"/>
            </w:tcBorders>
          </w:tcPr>
          <w:p w14:paraId="51F25DAF" w14:textId="77777777" w:rsidR="00690670" w:rsidRPr="00F34274" w:rsidRDefault="00690670" w:rsidP="00313B64">
            <w:pPr>
              <w:contextualSpacing/>
              <w:jc w:val="right"/>
              <w:rPr>
                <w:rFonts w:eastAsia="Arial" w:cs="Arial"/>
              </w:rPr>
            </w:pPr>
            <w:r w:rsidRPr="00F34274">
              <w:rPr>
                <w:rFonts w:eastAsia="Arial" w:cs="Arial"/>
              </w:rPr>
              <w:t>£625</w:t>
            </w:r>
          </w:p>
        </w:tc>
        <w:tc>
          <w:tcPr>
            <w:tcW w:w="0" w:type="auto"/>
            <w:tcBorders>
              <w:top w:val="single" w:sz="4" w:space="0" w:color="142855" w:themeColor="text2"/>
              <w:bottom w:val="single" w:sz="4" w:space="0" w:color="142855" w:themeColor="text2"/>
            </w:tcBorders>
          </w:tcPr>
          <w:p w14:paraId="5A00EE65" w14:textId="77777777" w:rsidR="00690670" w:rsidRPr="00F34274" w:rsidRDefault="00690670" w:rsidP="00313B64">
            <w:pPr>
              <w:contextualSpacing/>
              <w:jc w:val="right"/>
              <w:rPr>
                <w:rFonts w:eastAsia="Arial" w:cs="Arial"/>
              </w:rPr>
            </w:pPr>
            <w:r w:rsidRPr="00F34274">
              <w:rPr>
                <w:rFonts w:eastAsia="Arial" w:cs="Arial"/>
              </w:rPr>
              <w:t>£7,194</w:t>
            </w:r>
          </w:p>
        </w:tc>
        <w:tc>
          <w:tcPr>
            <w:tcW w:w="0" w:type="auto"/>
            <w:tcBorders>
              <w:top w:val="single" w:sz="4" w:space="0" w:color="142855" w:themeColor="text2"/>
              <w:bottom w:val="single" w:sz="4" w:space="0" w:color="142855" w:themeColor="text2"/>
            </w:tcBorders>
          </w:tcPr>
          <w:p w14:paraId="70C68124" w14:textId="77777777" w:rsidR="00690670" w:rsidRPr="00F34274" w:rsidRDefault="00690670" w:rsidP="00313B64">
            <w:pPr>
              <w:contextualSpacing/>
              <w:jc w:val="right"/>
              <w:rPr>
                <w:rFonts w:eastAsia="Arial" w:cs="Arial"/>
              </w:rPr>
            </w:pPr>
            <w:r w:rsidRPr="00F34274">
              <w:rPr>
                <w:rFonts w:eastAsia="Arial" w:cs="Arial"/>
              </w:rPr>
              <w:t>£1</w:t>
            </w:r>
          </w:p>
        </w:tc>
      </w:tr>
      <w:tr w:rsidR="00690670" w:rsidRPr="00F34274" w14:paraId="52B27659" w14:textId="77777777" w:rsidTr="00313B64">
        <w:trPr>
          <w:cnfStyle w:val="000000100000" w:firstRow="0" w:lastRow="0" w:firstColumn="0" w:lastColumn="0" w:oddVBand="0" w:evenVBand="0" w:oddHBand="1" w:evenHBand="0" w:firstRowFirstColumn="0" w:firstRowLastColumn="0" w:lastRowFirstColumn="0" w:lastRowLastColumn="0"/>
          <w:trHeight w:val="293"/>
        </w:trPr>
        <w:tc>
          <w:tcPr>
            <w:tcW w:w="0" w:type="auto"/>
            <w:vMerge w:val="restart"/>
            <w:tcBorders>
              <w:top w:val="single" w:sz="4" w:space="0" w:color="142855" w:themeColor="text2"/>
            </w:tcBorders>
          </w:tcPr>
          <w:p w14:paraId="7F4D8A68" w14:textId="77777777" w:rsidR="00690670" w:rsidRPr="002470D1" w:rsidRDefault="00690670" w:rsidP="00313B64">
            <w:pPr>
              <w:spacing w:before="240" w:after="0"/>
              <w:contextualSpacing/>
              <w:rPr>
                <w:rFonts w:eastAsia="Arial" w:cs="Arial"/>
                <w:b/>
                <w:bCs/>
              </w:rPr>
            </w:pPr>
            <w:r w:rsidRPr="002470D1">
              <w:rPr>
                <w:rFonts w:eastAsia="Arial" w:cs="Arial"/>
                <w:b/>
                <w:bCs/>
              </w:rPr>
              <w:t>Matched sample - RAP funded firms</w:t>
            </w:r>
          </w:p>
        </w:tc>
        <w:tc>
          <w:tcPr>
            <w:tcW w:w="0" w:type="auto"/>
            <w:vMerge w:val="restart"/>
            <w:tcBorders>
              <w:top w:val="single" w:sz="4" w:space="0" w:color="142855" w:themeColor="text2"/>
            </w:tcBorders>
            <w:vAlign w:val="center"/>
          </w:tcPr>
          <w:p w14:paraId="5CC3AFAA" w14:textId="77777777" w:rsidR="00690670" w:rsidRPr="00F34274" w:rsidRDefault="00690670" w:rsidP="00313B64">
            <w:pPr>
              <w:spacing w:after="0" w:line="276" w:lineRule="auto"/>
              <w:contextualSpacing/>
              <w:jc w:val="right"/>
              <w:rPr>
                <w:rFonts w:eastAsia="Arial" w:cs="Arial"/>
              </w:rPr>
            </w:pPr>
            <w:r w:rsidRPr="00F34274">
              <w:rPr>
                <w:rFonts w:eastAsia="Arial" w:cs="Arial"/>
              </w:rPr>
              <w:t>84</w:t>
            </w:r>
          </w:p>
        </w:tc>
        <w:tc>
          <w:tcPr>
            <w:tcW w:w="0" w:type="auto"/>
            <w:tcBorders>
              <w:top w:val="single" w:sz="4" w:space="0" w:color="142855" w:themeColor="text2"/>
              <w:bottom w:val="single" w:sz="4" w:space="0" w:color="142855" w:themeColor="text2"/>
            </w:tcBorders>
          </w:tcPr>
          <w:p w14:paraId="5A36FE93" w14:textId="77777777" w:rsidR="00690670" w:rsidRPr="00F34274" w:rsidRDefault="00690670" w:rsidP="00313B64">
            <w:pPr>
              <w:spacing w:before="240" w:after="0"/>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0AD123E0" w14:textId="77777777" w:rsidR="00690670" w:rsidRDefault="00690670" w:rsidP="00313B64">
            <w:pPr>
              <w:spacing w:before="240" w:after="0"/>
              <w:contextualSpacing/>
              <w:jc w:val="right"/>
              <w:rPr>
                <w:rFonts w:eastAsia="Arial" w:cs="Arial"/>
              </w:rPr>
            </w:pPr>
            <w:r w:rsidRPr="00F34274">
              <w:rPr>
                <w:rFonts w:eastAsia="Arial" w:cs="Arial"/>
              </w:rPr>
              <w:t>83</w:t>
            </w:r>
          </w:p>
          <w:p w14:paraId="1459ED05" w14:textId="77777777" w:rsidR="00690670" w:rsidRPr="00F34274" w:rsidRDefault="00690670" w:rsidP="00313B64">
            <w:pPr>
              <w:spacing w:before="240" w:after="0"/>
              <w:ind w:right="-108"/>
              <w:contextualSpacing/>
              <w:jc w:val="right"/>
              <w:rPr>
                <w:rFonts w:eastAsia="Arial" w:cs="Arial"/>
              </w:rPr>
            </w:pPr>
            <w:r w:rsidRPr="00F34274">
              <w:rPr>
                <w:rFonts w:eastAsia="Arial" w:cs="Arial"/>
              </w:rPr>
              <w:t xml:space="preserve"> (99%)</w:t>
            </w:r>
          </w:p>
        </w:tc>
        <w:tc>
          <w:tcPr>
            <w:tcW w:w="0" w:type="auto"/>
            <w:tcBorders>
              <w:top w:val="single" w:sz="4" w:space="0" w:color="142855" w:themeColor="text2"/>
              <w:bottom w:val="single" w:sz="4" w:space="0" w:color="142855" w:themeColor="text2"/>
            </w:tcBorders>
          </w:tcPr>
          <w:p w14:paraId="58E68579" w14:textId="77777777" w:rsidR="00690670" w:rsidRPr="00F34274" w:rsidRDefault="00690670" w:rsidP="00313B64">
            <w:pPr>
              <w:spacing w:before="240" w:after="0"/>
              <w:contextualSpacing/>
              <w:jc w:val="right"/>
              <w:rPr>
                <w:rFonts w:eastAsia="Arial" w:cs="Arial"/>
              </w:rPr>
            </w:pPr>
            <w:r w:rsidRPr="00F34274">
              <w:rPr>
                <w:rFonts w:eastAsia="Arial" w:cs="Arial"/>
              </w:rPr>
              <w:t>£90</w:t>
            </w:r>
          </w:p>
        </w:tc>
        <w:tc>
          <w:tcPr>
            <w:tcW w:w="0" w:type="auto"/>
            <w:tcBorders>
              <w:top w:val="single" w:sz="4" w:space="0" w:color="142855" w:themeColor="text2"/>
              <w:bottom w:val="single" w:sz="4" w:space="0" w:color="142855" w:themeColor="text2"/>
            </w:tcBorders>
          </w:tcPr>
          <w:p w14:paraId="1E9B56B0" w14:textId="77777777" w:rsidR="00690670" w:rsidRPr="00F34274" w:rsidRDefault="00690670" w:rsidP="00313B64">
            <w:pPr>
              <w:spacing w:before="240" w:after="0"/>
              <w:contextualSpacing/>
              <w:jc w:val="right"/>
              <w:rPr>
                <w:rFonts w:eastAsia="Arial" w:cs="Arial"/>
              </w:rPr>
            </w:pPr>
            <w:r w:rsidRPr="00F34274">
              <w:rPr>
                <w:rFonts w:eastAsia="Arial" w:cs="Arial"/>
              </w:rPr>
              <w:t>£244</w:t>
            </w:r>
          </w:p>
        </w:tc>
        <w:tc>
          <w:tcPr>
            <w:tcW w:w="0" w:type="auto"/>
            <w:tcBorders>
              <w:top w:val="single" w:sz="4" w:space="0" w:color="142855" w:themeColor="text2"/>
              <w:bottom w:val="single" w:sz="4" w:space="0" w:color="142855" w:themeColor="text2"/>
            </w:tcBorders>
          </w:tcPr>
          <w:p w14:paraId="48596EB6" w14:textId="77777777" w:rsidR="00690670" w:rsidRPr="00F34274" w:rsidRDefault="00690670" w:rsidP="00313B64">
            <w:pPr>
              <w:spacing w:before="240" w:after="0"/>
              <w:contextualSpacing/>
              <w:jc w:val="right"/>
              <w:rPr>
                <w:rFonts w:eastAsia="Arial" w:cs="Arial"/>
              </w:rPr>
            </w:pPr>
            <w:r w:rsidRPr="00F34274">
              <w:rPr>
                <w:rFonts w:eastAsia="Arial" w:cs="Arial"/>
              </w:rPr>
              <w:t>£3,934</w:t>
            </w:r>
          </w:p>
        </w:tc>
        <w:tc>
          <w:tcPr>
            <w:tcW w:w="0" w:type="auto"/>
            <w:tcBorders>
              <w:top w:val="single" w:sz="4" w:space="0" w:color="142855" w:themeColor="text2"/>
              <w:bottom w:val="single" w:sz="4" w:space="0" w:color="142855" w:themeColor="text2"/>
            </w:tcBorders>
          </w:tcPr>
          <w:p w14:paraId="29F90E9D" w14:textId="77777777" w:rsidR="00690670" w:rsidRPr="00F34274" w:rsidRDefault="00690670" w:rsidP="00313B64">
            <w:pPr>
              <w:spacing w:before="240" w:after="0"/>
              <w:contextualSpacing/>
              <w:jc w:val="right"/>
              <w:rPr>
                <w:rFonts w:eastAsia="Arial" w:cs="Arial"/>
              </w:rPr>
            </w:pPr>
            <w:r w:rsidRPr="00F34274">
              <w:rPr>
                <w:rFonts w:eastAsia="Arial" w:cs="Arial"/>
              </w:rPr>
              <w:t>£1</w:t>
            </w:r>
          </w:p>
        </w:tc>
      </w:tr>
      <w:tr w:rsidR="00690670" w:rsidRPr="00F34274" w14:paraId="51453DAB" w14:textId="77777777" w:rsidTr="00313B64">
        <w:trPr>
          <w:trHeight w:val="305"/>
        </w:trPr>
        <w:tc>
          <w:tcPr>
            <w:tcW w:w="0" w:type="auto"/>
            <w:vMerge/>
            <w:tcBorders>
              <w:bottom w:val="single" w:sz="4" w:space="0" w:color="142855" w:themeColor="text2"/>
            </w:tcBorders>
          </w:tcPr>
          <w:p w14:paraId="237321F4" w14:textId="77777777" w:rsidR="00690670" w:rsidRPr="002470D1" w:rsidRDefault="00690670" w:rsidP="00313B64">
            <w:pPr>
              <w:contextualSpacing/>
              <w:rPr>
                <w:rFonts w:eastAsia="Arial" w:cs="Arial"/>
                <w:b/>
                <w:bCs/>
              </w:rPr>
            </w:pPr>
          </w:p>
        </w:tc>
        <w:tc>
          <w:tcPr>
            <w:tcW w:w="0" w:type="auto"/>
            <w:vMerge/>
            <w:tcBorders>
              <w:bottom w:val="single" w:sz="4" w:space="0" w:color="142855" w:themeColor="text2"/>
            </w:tcBorders>
          </w:tcPr>
          <w:p w14:paraId="12EA5D84" w14:textId="77777777" w:rsidR="00690670" w:rsidRPr="00F34274" w:rsidRDefault="00690670" w:rsidP="00313B64">
            <w:pPr>
              <w:spacing w:line="276" w:lineRule="auto"/>
              <w:contextualSpacing/>
              <w:jc w:val="right"/>
              <w:rPr>
                <w:rFonts w:eastAsia="Arial" w:cs="Arial"/>
              </w:rPr>
            </w:pPr>
          </w:p>
        </w:tc>
        <w:tc>
          <w:tcPr>
            <w:tcW w:w="0" w:type="auto"/>
            <w:tcBorders>
              <w:top w:val="single" w:sz="4" w:space="0" w:color="142855" w:themeColor="text2"/>
              <w:bottom w:val="single" w:sz="4" w:space="0" w:color="142855" w:themeColor="text2"/>
            </w:tcBorders>
          </w:tcPr>
          <w:p w14:paraId="44125C8E"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0F7597FE" w14:textId="77777777" w:rsidR="00690670" w:rsidRDefault="00690670" w:rsidP="00313B64">
            <w:pPr>
              <w:contextualSpacing/>
              <w:jc w:val="right"/>
              <w:rPr>
                <w:rFonts w:eastAsia="Arial" w:cs="Arial"/>
              </w:rPr>
            </w:pPr>
            <w:r w:rsidRPr="00F34274">
              <w:rPr>
                <w:rFonts w:eastAsia="Arial" w:cs="Arial"/>
              </w:rPr>
              <w:t xml:space="preserve">81 </w:t>
            </w:r>
          </w:p>
          <w:p w14:paraId="2D54AE09" w14:textId="77777777" w:rsidR="00690670" w:rsidRPr="00F34274" w:rsidRDefault="00690670" w:rsidP="00313B64">
            <w:pPr>
              <w:ind w:right="-108"/>
              <w:contextualSpacing/>
              <w:jc w:val="right"/>
              <w:rPr>
                <w:rFonts w:eastAsia="Arial" w:cs="Arial"/>
              </w:rPr>
            </w:pPr>
            <w:r w:rsidRPr="00F34274">
              <w:rPr>
                <w:rFonts w:eastAsia="Arial" w:cs="Arial"/>
              </w:rPr>
              <w:t>(96%)</w:t>
            </w:r>
          </w:p>
        </w:tc>
        <w:tc>
          <w:tcPr>
            <w:tcW w:w="0" w:type="auto"/>
            <w:tcBorders>
              <w:top w:val="single" w:sz="4" w:space="0" w:color="142855" w:themeColor="text2"/>
              <w:bottom w:val="single" w:sz="4" w:space="0" w:color="142855" w:themeColor="text2"/>
            </w:tcBorders>
          </w:tcPr>
          <w:p w14:paraId="24A5630B" w14:textId="77777777" w:rsidR="00690670" w:rsidRPr="00F34274" w:rsidRDefault="00690670" w:rsidP="00313B64">
            <w:pPr>
              <w:contextualSpacing/>
              <w:jc w:val="right"/>
              <w:rPr>
                <w:rFonts w:eastAsia="Arial" w:cs="Arial"/>
              </w:rPr>
            </w:pPr>
            <w:r w:rsidRPr="00F34274">
              <w:rPr>
                <w:rFonts w:eastAsia="Arial" w:cs="Arial"/>
              </w:rPr>
              <w:t>£257</w:t>
            </w:r>
          </w:p>
        </w:tc>
        <w:tc>
          <w:tcPr>
            <w:tcW w:w="0" w:type="auto"/>
            <w:tcBorders>
              <w:top w:val="single" w:sz="4" w:space="0" w:color="142855" w:themeColor="text2"/>
              <w:bottom w:val="single" w:sz="4" w:space="0" w:color="142855" w:themeColor="text2"/>
            </w:tcBorders>
          </w:tcPr>
          <w:p w14:paraId="77D55351" w14:textId="77777777" w:rsidR="00690670" w:rsidRPr="00F34274" w:rsidRDefault="00690670" w:rsidP="00313B64">
            <w:pPr>
              <w:contextualSpacing/>
              <w:jc w:val="right"/>
              <w:rPr>
                <w:rFonts w:eastAsia="Arial" w:cs="Arial"/>
              </w:rPr>
            </w:pPr>
            <w:r w:rsidRPr="00F34274">
              <w:rPr>
                <w:rFonts w:eastAsia="Arial" w:cs="Arial"/>
              </w:rPr>
              <w:t>£503</w:t>
            </w:r>
          </w:p>
        </w:tc>
        <w:tc>
          <w:tcPr>
            <w:tcW w:w="0" w:type="auto"/>
            <w:tcBorders>
              <w:top w:val="single" w:sz="4" w:space="0" w:color="142855" w:themeColor="text2"/>
              <w:bottom w:val="single" w:sz="4" w:space="0" w:color="142855" w:themeColor="text2"/>
            </w:tcBorders>
          </w:tcPr>
          <w:p w14:paraId="4DEA3EB7" w14:textId="77777777" w:rsidR="00690670" w:rsidRPr="00F34274" w:rsidRDefault="00690670" w:rsidP="00313B64">
            <w:pPr>
              <w:contextualSpacing/>
              <w:jc w:val="right"/>
              <w:rPr>
                <w:rFonts w:eastAsia="Arial" w:cs="Arial"/>
              </w:rPr>
            </w:pPr>
            <w:r w:rsidRPr="00F34274">
              <w:rPr>
                <w:rFonts w:eastAsia="Arial" w:cs="Arial"/>
              </w:rPr>
              <w:t>£2,864</w:t>
            </w:r>
          </w:p>
        </w:tc>
        <w:tc>
          <w:tcPr>
            <w:tcW w:w="0" w:type="auto"/>
            <w:tcBorders>
              <w:top w:val="single" w:sz="4" w:space="0" w:color="142855" w:themeColor="text2"/>
              <w:bottom w:val="single" w:sz="4" w:space="0" w:color="142855" w:themeColor="text2"/>
            </w:tcBorders>
          </w:tcPr>
          <w:p w14:paraId="2E74C8B9" w14:textId="77777777" w:rsidR="00690670" w:rsidRPr="00F34274" w:rsidRDefault="00690670" w:rsidP="00313B64">
            <w:pPr>
              <w:contextualSpacing/>
              <w:jc w:val="right"/>
              <w:rPr>
                <w:rFonts w:eastAsia="Arial" w:cs="Arial"/>
              </w:rPr>
            </w:pPr>
            <w:r w:rsidRPr="00F34274">
              <w:rPr>
                <w:rFonts w:eastAsia="Arial" w:cs="Arial"/>
              </w:rPr>
              <w:t>£1</w:t>
            </w:r>
          </w:p>
        </w:tc>
      </w:tr>
      <w:tr w:rsidR="00690670" w:rsidRPr="00F34274" w14:paraId="56807BDD" w14:textId="77777777" w:rsidTr="00313B64">
        <w:trPr>
          <w:cnfStyle w:val="000000100000" w:firstRow="0" w:lastRow="0" w:firstColumn="0" w:lastColumn="0" w:oddVBand="0" w:evenVBand="0" w:oddHBand="1" w:evenHBand="0" w:firstRowFirstColumn="0" w:firstRowLastColumn="0" w:lastRowFirstColumn="0" w:lastRowLastColumn="0"/>
          <w:trHeight w:val="615"/>
        </w:trPr>
        <w:tc>
          <w:tcPr>
            <w:tcW w:w="0" w:type="auto"/>
            <w:vMerge w:val="restart"/>
            <w:tcBorders>
              <w:top w:val="single" w:sz="4" w:space="0" w:color="142855" w:themeColor="text2"/>
            </w:tcBorders>
          </w:tcPr>
          <w:p w14:paraId="685BA881" w14:textId="77777777" w:rsidR="00690670" w:rsidRPr="002470D1" w:rsidRDefault="00690670" w:rsidP="00313B64">
            <w:pPr>
              <w:contextualSpacing/>
              <w:rPr>
                <w:rFonts w:eastAsia="Arial" w:cs="Arial"/>
                <w:b/>
                <w:bCs/>
              </w:rPr>
            </w:pPr>
            <w:r w:rsidRPr="002470D1">
              <w:rPr>
                <w:rFonts w:eastAsia="Arial" w:cs="Arial"/>
                <w:b/>
                <w:bCs/>
              </w:rPr>
              <w:t>Matched sample - counterfactual</w:t>
            </w:r>
          </w:p>
        </w:tc>
        <w:tc>
          <w:tcPr>
            <w:tcW w:w="0" w:type="auto"/>
            <w:vMerge w:val="restart"/>
            <w:tcBorders>
              <w:top w:val="single" w:sz="4" w:space="0" w:color="142855" w:themeColor="text2"/>
            </w:tcBorders>
            <w:vAlign w:val="center"/>
          </w:tcPr>
          <w:p w14:paraId="1F5C3F79" w14:textId="77777777" w:rsidR="00690670" w:rsidRPr="00F34274" w:rsidRDefault="00690670" w:rsidP="00313B64">
            <w:pPr>
              <w:spacing w:after="0" w:line="276" w:lineRule="auto"/>
              <w:contextualSpacing/>
              <w:jc w:val="right"/>
              <w:rPr>
                <w:rFonts w:eastAsia="Arial" w:cs="Arial"/>
              </w:rPr>
            </w:pPr>
            <w:r w:rsidRPr="00F34274">
              <w:rPr>
                <w:rFonts w:eastAsia="Arial" w:cs="Arial"/>
              </w:rPr>
              <w:t>58</w:t>
            </w:r>
          </w:p>
        </w:tc>
        <w:tc>
          <w:tcPr>
            <w:tcW w:w="0" w:type="auto"/>
            <w:tcBorders>
              <w:top w:val="single" w:sz="4" w:space="0" w:color="142855" w:themeColor="text2"/>
              <w:bottom w:val="single" w:sz="4" w:space="0" w:color="142855" w:themeColor="text2"/>
            </w:tcBorders>
          </w:tcPr>
          <w:p w14:paraId="30FBB9EF" w14:textId="77777777" w:rsidR="00690670" w:rsidRPr="00F34274" w:rsidRDefault="00690670" w:rsidP="00313B64">
            <w:pPr>
              <w:contextualSpacing/>
              <w:jc w:val="right"/>
              <w:rPr>
                <w:rFonts w:eastAsia="Arial" w:cs="Arial"/>
              </w:rPr>
            </w:pPr>
            <w:r w:rsidRPr="00F34274">
              <w:rPr>
                <w:rFonts w:eastAsia="Arial" w:cs="Arial"/>
              </w:rPr>
              <w:t>2019</w:t>
            </w:r>
          </w:p>
        </w:tc>
        <w:tc>
          <w:tcPr>
            <w:tcW w:w="0" w:type="auto"/>
            <w:tcBorders>
              <w:top w:val="single" w:sz="4" w:space="0" w:color="142855" w:themeColor="text2"/>
              <w:bottom w:val="single" w:sz="4" w:space="0" w:color="142855" w:themeColor="text2"/>
            </w:tcBorders>
          </w:tcPr>
          <w:p w14:paraId="4418C969" w14:textId="77777777" w:rsidR="00690670" w:rsidRDefault="00690670" w:rsidP="00313B64">
            <w:pPr>
              <w:contextualSpacing/>
              <w:jc w:val="right"/>
              <w:rPr>
                <w:rFonts w:eastAsia="Arial" w:cs="Arial"/>
              </w:rPr>
            </w:pPr>
            <w:r w:rsidRPr="00F34274">
              <w:rPr>
                <w:rFonts w:eastAsia="Arial" w:cs="Arial"/>
              </w:rPr>
              <w:t>57</w:t>
            </w:r>
          </w:p>
          <w:p w14:paraId="05F394D8" w14:textId="77777777" w:rsidR="00690670" w:rsidRPr="00F34274" w:rsidRDefault="00690670" w:rsidP="00313B64">
            <w:pPr>
              <w:ind w:right="-108"/>
              <w:contextualSpacing/>
              <w:jc w:val="right"/>
              <w:rPr>
                <w:rFonts w:eastAsia="Arial" w:cs="Arial"/>
              </w:rPr>
            </w:pPr>
            <w:r w:rsidRPr="00F34274">
              <w:rPr>
                <w:rFonts w:eastAsia="Arial" w:cs="Arial"/>
              </w:rPr>
              <w:t xml:space="preserve"> (98%)</w:t>
            </w:r>
          </w:p>
        </w:tc>
        <w:tc>
          <w:tcPr>
            <w:tcW w:w="0" w:type="auto"/>
            <w:tcBorders>
              <w:top w:val="single" w:sz="4" w:space="0" w:color="142855" w:themeColor="text2"/>
              <w:bottom w:val="single" w:sz="4" w:space="0" w:color="142855" w:themeColor="text2"/>
            </w:tcBorders>
          </w:tcPr>
          <w:p w14:paraId="6CA1D1D2" w14:textId="77777777" w:rsidR="00690670" w:rsidRPr="00F34274" w:rsidRDefault="00690670" w:rsidP="00313B64">
            <w:pPr>
              <w:contextualSpacing/>
              <w:jc w:val="right"/>
              <w:rPr>
                <w:rFonts w:eastAsia="Arial" w:cs="Arial"/>
              </w:rPr>
            </w:pPr>
            <w:r w:rsidRPr="00F34274">
              <w:rPr>
                <w:rFonts w:eastAsia="Arial" w:cs="Arial"/>
              </w:rPr>
              <w:t>£242</w:t>
            </w:r>
          </w:p>
        </w:tc>
        <w:tc>
          <w:tcPr>
            <w:tcW w:w="0" w:type="auto"/>
            <w:tcBorders>
              <w:top w:val="single" w:sz="4" w:space="0" w:color="142855" w:themeColor="text2"/>
              <w:bottom w:val="single" w:sz="4" w:space="0" w:color="142855" w:themeColor="text2"/>
            </w:tcBorders>
          </w:tcPr>
          <w:p w14:paraId="16FB5DB4" w14:textId="77777777" w:rsidR="00690670" w:rsidRPr="00F34274" w:rsidRDefault="00690670" w:rsidP="00313B64">
            <w:pPr>
              <w:contextualSpacing/>
              <w:jc w:val="right"/>
              <w:rPr>
                <w:rFonts w:eastAsia="Arial" w:cs="Arial"/>
              </w:rPr>
            </w:pPr>
            <w:r w:rsidRPr="00F34274">
              <w:rPr>
                <w:rFonts w:eastAsia="Arial" w:cs="Arial"/>
              </w:rPr>
              <w:t>£546</w:t>
            </w:r>
          </w:p>
        </w:tc>
        <w:tc>
          <w:tcPr>
            <w:tcW w:w="0" w:type="auto"/>
            <w:tcBorders>
              <w:top w:val="single" w:sz="4" w:space="0" w:color="142855" w:themeColor="text2"/>
              <w:bottom w:val="single" w:sz="4" w:space="0" w:color="142855" w:themeColor="text2"/>
            </w:tcBorders>
          </w:tcPr>
          <w:p w14:paraId="444671F8" w14:textId="77777777" w:rsidR="00690670" w:rsidRPr="00F34274" w:rsidRDefault="00690670" w:rsidP="00313B64">
            <w:pPr>
              <w:contextualSpacing/>
              <w:jc w:val="right"/>
              <w:rPr>
                <w:rFonts w:eastAsia="Arial" w:cs="Arial"/>
              </w:rPr>
            </w:pPr>
            <w:r w:rsidRPr="00F34274">
              <w:rPr>
                <w:rFonts w:eastAsia="Arial" w:cs="Arial"/>
              </w:rPr>
              <w:t>£4,456</w:t>
            </w:r>
          </w:p>
        </w:tc>
        <w:tc>
          <w:tcPr>
            <w:tcW w:w="0" w:type="auto"/>
            <w:tcBorders>
              <w:top w:val="single" w:sz="4" w:space="0" w:color="142855" w:themeColor="text2"/>
              <w:bottom w:val="single" w:sz="4" w:space="0" w:color="142855" w:themeColor="text2"/>
            </w:tcBorders>
          </w:tcPr>
          <w:p w14:paraId="5D8F1E0B" w14:textId="77777777" w:rsidR="00690670" w:rsidRPr="00F34274" w:rsidRDefault="00690670" w:rsidP="00313B64">
            <w:pPr>
              <w:contextualSpacing/>
              <w:jc w:val="right"/>
              <w:rPr>
                <w:rFonts w:eastAsia="Arial" w:cs="Arial"/>
              </w:rPr>
            </w:pPr>
            <w:r w:rsidRPr="00F34274">
              <w:rPr>
                <w:rFonts w:eastAsia="Arial" w:cs="Arial"/>
              </w:rPr>
              <w:t>£0</w:t>
            </w:r>
          </w:p>
        </w:tc>
      </w:tr>
      <w:tr w:rsidR="00690670" w:rsidRPr="00F34274" w14:paraId="31517970" w14:textId="77777777" w:rsidTr="00313B64">
        <w:trPr>
          <w:trHeight w:val="85"/>
        </w:trPr>
        <w:tc>
          <w:tcPr>
            <w:tcW w:w="0" w:type="auto"/>
            <w:vMerge/>
            <w:tcBorders>
              <w:bottom w:val="single" w:sz="4" w:space="0" w:color="142855" w:themeColor="text2"/>
            </w:tcBorders>
          </w:tcPr>
          <w:p w14:paraId="1A1CAE65" w14:textId="77777777" w:rsidR="00690670" w:rsidRPr="00F34274" w:rsidRDefault="00690670" w:rsidP="00313B64">
            <w:pPr>
              <w:contextualSpacing/>
              <w:rPr>
                <w:rFonts w:eastAsia="Arial" w:cs="Arial"/>
              </w:rPr>
            </w:pPr>
          </w:p>
        </w:tc>
        <w:tc>
          <w:tcPr>
            <w:tcW w:w="0" w:type="auto"/>
            <w:vMerge/>
            <w:tcBorders>
              <w:bottom w:val="single" w:sz="4" w:space="0" w:color="142855" w:themeColor="text2"/>
            </w:tcBorders>
          </w:tcPr>
          <w:p w14:paraId="595B1BC0" w14:textId="77777777" w:rsidR="00690670" w:rsidRPr="00F34274" w:rsidRDefault="00690670" w:rsidP="00313B64">
            <w:pPr>
              <w:contextualSpacing/>
              <w:jc w:val="right"/>
              <w:rPr>
                <w:rFonts w:eastAsia="Arial" w:cs="Arial"/>
              </w:rPr>
            </w:pPr>
          </w:p>
        </w:tc>
        <w:tc>
          <w:tcPr>
            <w:tcW w:w="0" w:type="auto"/>
            <w:tcBorders>
              <w:top w:val="single" w:sz="4" w:space="0" w:color="142855" w:themeColor="text2"/>
              <w:bottom w:val="single" w:sz="4" w:space="0" w:color="142855" w:themeColor="text2"/>
            </w:tcBorders>
          </w:tcPr>
          <w:p w14:paraId="17448465" w14:textId="77777777" w:rsidR="00690670" w:rsidRPr="00F34274" w:rsidRDefault="00690670" w:rsidP="00313B64">
            <w:pPr>
              <w:contextualSpacing/>
              <w:jc w:val="right"/>
              <w:rPr>
                <w:rFonts w:eastAsia="Arial" w:cs="Arial"/>
              </w:rPr>
            </w:pPr>
            <w:r w:rsidRPr="00F34274">
              <w:rPr>
                <w:rFonts w:eastAsia="Arial" w:cs="Arial"/>
              </w:rPr>
              <w:t>2022</w:t>
            </w:r>
          </w:p>
        </w:tc>
        <w:tc>
          <w:tcPr>
            <w:tcW w:w="0" w:type="auto"/>
            <w:tcBorders>
              <w:top w:val="single" w:sz="4" w:space="0" w:color="142855" w:themeColor="text2"/>
              <w:bottom w:val="single" w:sz="4" w:space="0" w:color="142855" w:themeColor="text2"/>
            </w:tcBorders>
          </w:tcPr>
          <w:p w14:paraId="3A97E2E5" w14:textId="77777777" w:rsidR="00690670" w:rsidRDefault="00690670" w:rsidP="00313B64">
            <w:pPr>
              <w:contextualSpacing/>
              <w:jc w:val="right"/>
              <w:rPr>
                <w:rFonts w:eastAsia="Arial" w:cs="Arial"/>
              </w:rPr>
            </w:pPr>
            <w:r w:rsidRPr="00F34274">
              <w:rPr>
                <w:rFonts w:eastAsia="Arial" w:cs="Arial"/>
              </w:rPr>
              <w:t>57</w:t>
            </w:r>
          </w:p>
          <w:p w14:paraId="6FE83A9D" w14:textId="77777777" w:rsidR="00690670" w:rsidRPr="00F34274" w:rsidRDefault="00690670" w:rsidP="00313B64">
            <w:pPr>
              <w:ind w:right="-108"/>
              <w:contextualSpacing/>
              <w:jc w:val="right"/>
              <w:rPr>
                <w:rFonts w:eastAsia="Arial" w:cs="Arial"/>
              </w:rPr>
            </w:pPr>
            <w:r w:rsidRPr="00F34274">
              <w:rPr>
                <w:rFonts w:eastAsia="Arial" w:cs="Arial"/>
              </w:rPr>
              <w:t xml:space="preserve"> (98%)</w:t>
            </w:r>
          </w:p>
        </w:tc>
        <w:tc>
          <w:tcPr>
            <w:tcW w:w="0" w:type="auto"/>
            <w:tcBorders>
              <w:top w:val="single" w:sz="4" w:space="0" w:color="142855" w:themeColor="text2"/>
              <w:bottom w:val="single" w:sz="4" w:space="0" w:color="142855" w:themeColor="text2"/>
            </w:tcBorders>
          </w:tcPr>
          <w:p w14:paraId="3B1D878E" w14:textId="77777777" w:rsidR="00690670" w:rsidRPr="00F34274" w:rsidRDefault="00690670" w:rsidP="00313B64">
            <w:pPr>
              <w:contextualSpacing/>
              <w:jc w:val="right"/>
              <w:rPr>
                <w:rFonts w:eastAsia="Arial" w:cs="Arial"/>
              </w:rPr>
            </w:pPr>
            <w:r w:rsidRPr="00F34274">
              <w:rPr>
                <w:rFonts w:eastAsia="Arial" w:cs="Arial"/>
              </w:rPr>
              <w:t>£873</w:t>
            </w:r>
          </w:p>
        </w:tc>
        <w:tc>
          <w:tcPr>
            <w:tcW w:w="0" w:type="auto"/>
            <w:tcBorders>
              <w:top w:val="single" w:sz="4" w:space="0" w:color="142855" w:themeColor="text2"/>
              <w:bottom w:val="single" w:sz="4" w:space="0" w:color="142855" w:themeColor="text2"/>
            </w:tcBorders>
          </w:tcPr>
          <w:p w14:paraId="76E6296D" w14:textId="77777777" w:rsidR="00690670" w:rsidRPr="00F34274" w:rsidRDefault="00690670" w:rsidP="00313B64">
            <w:pPr>
              <w:contextualSpacing/>
              <w:jc w:val="right"/>
              <w:rPr>
                <w:rFonts w:eastAsia="Arial" w:cs="Arial"/>
              </w:rPr>
            </w:pPr>
            <w:r w:rsidRPr="00F34274">
              <w:rPr>
                <w:rFonts w:eastAsia="Arial" w:cs="Arial"/>
              </w:rPr>
              <w:t>£3163</w:t>
            </w:r>
          </w:p>
        </w:tc>
        <w:tc>
          <w:tcPr>
            <w:tcW w:w="0" w:type="auto"/>
            <w:tcBorders>
              <w:top w:val="single" w:sz="4" w:space="0" w:color="142855" w:themeColor="text2"/>
              <w:bottom w:val="single" w:sz="4" w:space="0" w:color="142855" w:themeColor="text2"/>
            </w:tcBorders>
          </w:tcPr>
          <w:p w14:paraId="76D02871" w14:textId="77777777" w:rsidR="00690670" w:rsidRPr="00F34274" w:rsidRDefault="00690670" w:rsidP="00313B64">
            <w:pPr>
              <w:contextualSpacing/>
              <w:jc w:val="right"/>
              <w:rPr>
                <w:rFonts w:eastAsia="Arial" w:cs="Arial"/>
              </w:rPr>
            </w:pPr>
            <w:r w:rsidRPr="00F34274">
              <w:rPr>
                <w:rFonts w:eastAsia="Arial" w:cs="Arial"/>
              </w:rPr>
              <w:t>£27,860</w:t>
            </w:r>
          </w:p>
        </w:tc>
        <w:tc>
          <w:tcPr>
            <w:tcW w:w="0" w:type="auto"/>
            <w:tcBorders>
              <w:top w:val="single" w:sz="4" w:space="0" w:color="142855" w:themeColor="text2"/>
              <w:bottom w:val="single" w:sz="4" w:space="0" w:color="142855" w:themeColor="text2"/>
            </w:tcBorders>
          </w:tcPr>
          <w:p w14:paraId="2AAC5BFB" w14:textId="77777777" w:rsidR="00690670" w:rsidRPr="00F34274" w:rsidRDefault="00690670" w:rsidP="00313B64">
            <w:pPr>
              <w:contextualSpacing/>
              <w:jc w:val="right"/>
              <w:rPr>
                <w:rFonts w:eastAsia="Arial" w:cs="Arial"/>
              </w:rPr>
            </w:pPr>
            <w:r w:rsidRPr="00F34274">
              <w:rPr>
                <w:rFonts w:eastAsia="Arial" w:cs="Arial"/>
              </w:rPr>
              <w:t>£2</w:t>
            </w:r>
          </w:p>
        </w:tc>
      </w:tr>
    </w:tbl>
    <w:p w14:paraId="4EFB0077" w14:textId="77777777" w:rsidR="00CD60C2" w:rsidRDefault="00CD60C2" w:rsidP="00270A72">
      <w:pPr>
        <w:keepNext/>
        <w:keepLines/>
        <w:spacing w:before="320" w:after="120"/>
        <w:outlineLvl w:val="4"/>
        <w:rPr>
          <w:rFonts w:eastAsia="SimHei" w:cs="Arial"/>
          <w:b/>
          <w:color w:val="1D1D1B"/>
        </w:rPr>
      </w:pPr>
    </w:p>
    <w:p w14:paraId="6EEB2CC3" w14:textId="334DE946" w:rsidR="00270A72" w:rsidRPr="00F34274" w:rsidRDefault="00270A72" w:rsidP="00270A72">
      <w:pPr>
        <w:keepNext/>
        <w:keepLines/>
        <w:spacing w:before="320" w:after="120"/>
        <w:outlineLvl w:val="4"/>
        <w:rPr>
          <w:rFonts w:eastAsia="SimHei" w:cs="Arial"/>
          <w:b/>
          <w:color w:val="1D1D1B"/>
        </w:rPr>
      </w:pPr>
      <w:r w:rsidRPr="00F34274">
        <w:rPr>
          <w:rFonts w:eastAsia="SimHei" w:cs="Arial"/>
          <w:b/>
          <w:color w:val="1D1D1B"/>
        </w:rPr>
        <w:t>E.4 Employment</w:t>
      </w:r>
    </w:p>
    <w:p w14:paraId="4F213797" w14:textId="770C0A09" w:rsidR="00270A72" w:rsidRPr="00F34274" w:rsidRDefault="00270A72" w:rsidP="00270A72">
      <w:pPr>
        <w:rPr>
          <w:rFonts w:eastAsia="Arial" w:cs="Arial"/>
        </w:rPr>
      </w:pPr>
      <w:r w:rsidRPr="00F34274">
        <w:rPr>
          <w:rFonts w:eastAsia="Arial" w:cs="Arial"/>
        </w:rPr>
        <w:t>For the matched funded group, the average employment doubles</w:t>
      </w:r>
      <w:r>
        <w:rPr>
          <w:rFonts w:eastAsia="Arial" w:cs="Arial"/>
        </w:rPr>
        <w:t xml:space="preserve"> from 5 to 12, </w:t>
      </w:r>
      <w:r w:rsidRPr="00F34274" w:rsidDel="00F34274">
        <w:rPr>
          <w:rFonts w:eastAsia="Arial" w:cs="Arial"/>
        </w:rPr>
        <w:t>and this</w:t>
      </w:r>
      <w:r w:rsidRPr="00F34274">
        <w:rPr>
          <w:rFonts w:eastAsia="Arial" w:cs="Arial"/>
        </w:rPr>
        <w:t xml:space="preserve"> increase </w:t>
      </w:r>
      <w:r w:rsidRPr="00F34274" w:rsidDel="00F34274">
        <w:rPr>
          <w:rFonts w:eastAsia="Arial" w:cs="Arial"/>
        </w:rPr>
        <w:t xml:space="preserve">is lower </w:t>
      </w:r>
      <w:r w:rsidRPr="00F34274">
        <w:rPr>
          <w:rFonts w:eastAsia="Arial" w:cs="Arial"/>
        </w:rPr>
        <w:t>than that of the counterfactual group. The median funded firm does outperform the counterfactual (more than doubling of employment versus a doubling of employment).</w:t>
      </w:r>
      <w:r>
        <w:rPr>
          <w:rFonts w:eastAsia="Arial" w:cs="Arial"/>
        </w:rPr>
        <w:t xml:space="preserve"> One potential explanation from the qualitative interviews indicates that RAP </w:t>
      </w:r>
      <w:r>
        <w:rPr>
          <w:rFonts w:eastAsia="Arial" w:cs="Arial"/>
        </w:rPr>
        <w:lastRenderedPageBreak/>
        <w:t>funding was used to support salary payments of existing staff as well as expanding the number of employees.</w:t>
      </w:r>
      <w:r w:rsidRPr="00F34274">
        <w:rPr>
          <w:rFonts w:eastAsia="Arial" w:cs="Arial"/>
        </w:rPr>
        <w:t xml:space="preserve"> Some firms in the funded group and in the counterfactual have zero employment in 2022. Most RAP funded firms employed at least six employees before benefitting from the Programme and were able to more than triple employment by 2022. Average employment also more than doubles from 15 in 2019 to 41 in 2022.</w:t>
      </w:r>
    </w:p>
    <w:p w14:paraId="5D5D884A" w14:textId="28824368" w:rsidR="00CD60C2" w:rsidRDefault="00270A72" w:rsidP="00270A72">
      <w:pPr>
        <w:rPr>
          <w:rFonts w:eastAsia="Arial" w:cs="Arial"/>
        </w:rPr>
      </w:pPr>
      <w:r w:rsidRPr="00F34274" w:rsidDel="00F34274">
        <w:rPr>
          <w:rFonts w:eastAsia="Arial" w:cs="Arial"/>
        </w:rPr>
        <w:t>Six of the 350 RAP funded firms (1.6%) for which we have data went into liquidation in 2020 (two firms) or 2021 (four firms). The average size of RAP funding received was £228k, this is lower than the funded firms average (£444k), and together these firms have received £1.4m of RAP funding. Those 84% that survived were able to meet working capital commitments.</w:t>
      </w:r>
    </w:p>
    <w:p w14:paraId="68426E99" w14:textId="18F95018" w:rsidR="00CD60C2" w:rsidRPr="00F34274" w:rsidRDefault="00CD60C2" w:rsidP="00957DB2">
      <w:pPr>
        <w:spacing w:before="120"/>
        <w:rPr>
          <w:rFonts w:eastAsia="Arial" w:cs="Arial"/>
          <w:iCs/>
          <w:color w:val="555674"/>
          <w:szCs w:val="18"/>
        </w:rPr>
      </w:pPr>
      <w:r w:rsidRPr="00F34274">
        <w:rPr>
          <w:rFonts w:eastAsia="Arial" w:cs="Arial"/>
          <w:iCs/>
          <w:color w:val="555674"/>
          <w:szCs w:val="18"/>
        </w:rPr>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14</w:t>
      </w:r>
      <w:r w:rsidRPr="00F34274">
        <w:rPr>
          <w:rFonts w:eastAsia="Arial" w:cs="Arial"/>
          <w:iCs/>
          <w:color w:val="555674"/>
          <w:szCs w:val="18"/>
        </w:rPr>
        <w:fldChar w:fldCharType="end"/>
      </w:r>
      <w:r w:rsidRPr="00F34274">
        <w:rPr>
          <w:rFonts w:eastAsia="Arial" w:cs="Arial"/>
          <w:iCs/>
          <w:color w:val="555674"/>
          <w:szCs w:val="18"/>
        </w:rPr>
        <w:t>: Employment of funded firms and a counterfactual</w:t>
      </w:r>
    </w:p>
    <w:tbl>
      <w:tblPr>
        <w:tblStyle w:val="PlainTable21"/>
        <w:tblW w:w="0" w:type="auto"/>
        <w:tblBorders>
          <w:top w:val="single" w:sz="4" w:space="0" w:color="142855" w:themeColor="text2"/>
          <w:bottom w:val="single" w:sz="4" w:space="0" w:color="142855" w:themeColor="text2"/>
          <w:insideH w:val="single" w:sz="4" w:space="0" w:color="142855" w:themeColor="text2"/>
        </w:tblBorders>
        <w:tblLook w:val="0420" w:firstRow="1" w:lastRow="0" w:firstColumn="0" w:lastColumn="0" w:noHBand="0" w:noVBand="1"/>
      </w:tblPr>
      <w:tblGrid>
        <w:gridCol w:w="2456"/>
        <w:gridCol w:w="999"/>
        <w:gridCol w:w="706"/>
        <w:gridCol w:w="2503"/>
        <w:gridCol w:w="974"/>
        <w:gridCol w:w="1085"/>
        <w:gridCol w:w="644"/>
        <w:gridCol w:w="595"/>
      </w:tblGrid>
      <w:tr w:rsidR="00F3182D" w:rsidRPr="00F34274" w14:paraId="188EFF81" w14:textId="77777777" w:rsidTr="00313B64">
        <w:trPr>
          <w:cnfStyle w:val="100000000000" w:firstRow="1" w:lastRow="0" w:firstColumn="0" w:lastColumn="0" w:oddVBand="0" w:evenVBand="0" w:oddHBand="0" w:evenHBand="0" w:firstRowFirstColumn="0" w:firstRowLastColumn="0" w:lastRowFirstColumn="0" w:lastRowLastColumn="0"/>
          <w:trHeight w:val="1070"/>
        </w:trPr>
        <w:tc>
          <w:tcPr>
            <w:tcW w:w="0" w:type="auto"/>
          </w:tcPr>
          <w:p w14:paraId="7785318D" w14:textId="77777777" w:rsidR="00F3182D" w:rsidRPr="00EB6A21" w:rsidRDefault="00F3182D" w:rsidP="00313B64">
            <w:pPr>
              <w:contextualSpacing/>
              <w:rPr>
                <w:rFonts w:eastAsia="Arial" w:cs="Arial"/>
                <w:color w:val="142855" w:themeColor="text2"/>
              </w:rPr>
            </w:pPr>
            <w:r w:rsidRPr="00EB6A21">
              <w:rPr>
                <w:rFonts w:eastAsia="Arial" w:cs="Arial"/>
                <w:color w:val="142855" w:themeColor="text2"/>
              </w:rPr>
              <w:t>Group</w:t>
            </w:r>
          </w:p>
        </w:tc>
        <w:tc>
          <w:tcPr>
            <w:tcW w:w="0" w:type="auto"/>
          </w:tcPr>
          <w:p w14:paraId="4BCAEA87"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Sample</w:t>
            </w:r>
          </w:p>
        </w:tc>
        <w:tc>
          <w:tcPr>
            <w:tcW w:w="0" w:type="auto"/>
          </w:tcPr>
          <w:p w14:paraId="42942412"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Year</w:t>
            </w:r>
          </w:p>
        </w:tc>
        <w:tc>
          <w:tcPr>
            <w:tcW w:w="0" w:type="auto"/>
          </w:tcPr>
          <w:p w14:paraId="48389703"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 xml:space="preserve">Number of firms that have </w:t>
            </w:r>
            <w:proofErr w:type="gramStart"/>
            <w:r w:rsidRPr="00EB6A21">
              <w:rPr>
                <w:rFonts w:eastAsia="Arial" w:cs="Arial"/>
                <w:color w:val="142855" w:themeColor="text2"/>
              </w:rPr>
              <w:t>employees</w:t>
            </w:r>
            <w:proofErr w:type="gramEnd"/>
            <w:r w:rsidRPr="00EB6A21">
              <w:rPr>
                <w:rFonts w:eastAsia="Arial" w:cs="Arial"/>
                <w:color w:val="142855" w:themeColor="text2"/>
              </w:rPr>
              <w:t xml:space="preserve"> entries </w:t>
            </w:r>
          </w:p>
        </w:tc>
        <w:tc>
          <w:tcPr>
            <w:tcW w:w="0" w:type="auto"/>
          </w:tcPr>
          <w:p w14:paraId="3E062B14"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 xml:space="preserve">Median </w:t>
            </w:r>
          </w:p>
        </w:tc>
        <w:tc>
          <w:tcPr>
            <w:tcW w:w="0" w:type="auto"/>
          </w:tcPr>
          <w:p w14:paraId="0DAF61B4"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 xml:space="preserve">Average </w:t>
            </w:r>
          </w:p>
        </w:tc>
        <w:tc>
          <w:tcPr>
            <w:tcW w:w="0" w:type="auto"/>
          </w:tcPr>
          <w:p w14:paraId="1C43FC27"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Max</w:t>
            </w:r>
          </w:p>
        </w:tc>
        <w:tc>
          <w:tcPr>
            <w:tcW w:w="0" w:type="auto"/>
          </w:tcPr>
          <w:p w14:paraId="772D1BC3" w14:textId="77777777" w:rsidR="00F3182D" w:rsidRPr="00EB6A21" w:rsidRDefault="00F3182D" w:rsidP="00313B64">
            <w:pPr>
              <w:contextualSpacing/>
              <w:jc w:val="right"/>
              <w:rPr>
                <w:rFonts w:eastAsia="Arial" w:cs="Arial"/>
                <w:color w:val="142855" w:themeColor="text2"/>
              </w:rPr>
            </w:pPr>
            <w:r w:rsidRPr="00EB6A21">
              <w:rPr>
                <w:rFonts w:eastAsia="Arial" w:cs="Arial"/>
                <w:color w:val="142855" w:themeColor="text2"/>
              </w:rPr>
              <w:t>Min</w:t>
            </w:r>
          </w:p>
        </w:tc>
      </w:tr>
      <w:tr w:rsidR="00F3182D" w:rsidRPr="00F34274" w14:paraId="06763221" w14:textId="77777777" w:rsidTr="00313B64">
        <w:trPr>
          <w:cnfStyle w:val="000000100000" w:firstRow="0" w:lastRow="0" w:firstColumn="0" w:lastColumn="0" w:oddVBand="0" w:evenVBand="0" w:oddHBand="1" w:evenHBand="0" w:firstRowFirstColumn="0" w:firstRowLastColumn="0" w:lastRowFirstColumn="0" w:lastRowLastColumn="0"/>
          <w:trHeight w:val="525"/>
        </w:trPr>
        <w:tc>
          <w:tcPr>
            <w:tcW w:w="0" w:type="auto"/>
            <w:vMerge w:val="restart"/>
          </w:tcPr>
          <w:p w14:paraId="40ECAE7C" w14:textId="77777777" w:rsidR="00F3182D" w:rsidRPr="00EB6A21" w:rsidRDefault="00F3182D" w:rsidP="00313B64">
            <w:pPr>
              <w:contextualSpacing/>
              <w:rPr>
                <w:rFonts w:eastAsia="Arial" w:cs="Arial"/>
                <w:b/>
                <w:bCs/>
              </w:rPr>
            </w:pPr>
            <w:r w:rsidRPr="00EB6A21">
              <w:rPr>
                <w:rFonts w:eastAsia="Arial" w:cs="Arial"/>
                <w:b/>
                <w:bCs/>
              </w:rPr>
              <w:t>RAP funded firms</w:t>
            </w:r>
          </w:p>
        </w:tc>
        <w:tc>
          <w:tcPr>
            <w:tcW w:w="0" w:type="auto"/>
            <w:vMerge w:val="restart"/>
            <w:vAlign w:val="center"/>
          </w:tcPr>
          <w:p w14:paraId="52EEB4D8" w14:textId="77777777" w:rsidR="00F3182D" w:rsidRPr="00F34274" w:rsidRDefault="00F3182D" w:rsidP="00313B64">
            <w:pPr>
              <w:spacing w:after="0" w:line="240" w:lineRule="auto"/>
              <w:contextualSpacing/>
              <w:jc w:val="right"/>
              <w:rPr>
                <w:rFonts w:eastAsia="Arial" w:cs="Arial"/>
              </w:rPr>
            </w:pPr>
            <w:r w:rsidRPr="00F34274">
              <w:rPr>
                <w:rFonts w:eastAsia="Arial" w:cs="Arial"/>
              </w:rPr>
              <w:t>155</w:t>
            </w:r>
          </w:p>
        </w:tc>
        <w:tc>
          <w:tcPr>
            <w:tcW w:w="0" w:type="auto"/>
          </w:tcPr>
          <w:p w14:paraId="2A9CAE98" w14:textId="77777777" w:rsidR="00F3182D" w:rsidRPr="00F34274" w:rsidRDefault="00F3182D" w:rsidP="00313B64">
            <w:pPr>
              <w:contextualSpacing/>
              <w:jc w:val="right"/>
              <w:rPr>
                <w:rFonts w:eastAsia="Arial" w:cs="Arial"/>
              </w:rPr>
            </w:pPr>
            <w:r w:rsidRPr="00F34274">
              <w:rPr>
                <w:rFonts w:eastAsia="Arial" w:cs="Arial"/>
              </w:rPr>
              <w:t>2019</w:t>
            </w:r>
          </w:p>
        </w:tc>
        <w:tc>
          <w:tcPr>
            <w:tcW w:w="0" w:type="auto"/>
          </w:tcPr>
          <w:p w14:paraId="57E2B4D0" w14:textId="77777777" w:rsidR="00F3182D" w:rsidRDefault="00F3182D" w:rsidP="00313B64">
            <w:pPr>
              <w:contextualSpacing/>
              <w:jc w:val="right"/>
              <w:rPr>
                <w:rFonts w:eastAsia="Arial" w:cs="Arial"/>
              </w:rPr>
            </w:pPr>
            <w:r w:rsidRPr="00F34274">
              <w:rPr>
                <w:rFonts w:eastAsia="Arial" w:cs="Arial"/>
              </w:rPr>
              <w:t>154</w:t>
            </w:r>
          </w:p>
          <w:p w14:paraId="2F3F8739" w14:textId="77777777" w:rsidR="00F3182D" w:rsidRPr="00F34274" w:rsidRDefault="00F3182D" w:rsidP="00313B64">
            <w:pPr>
              <w:ind w:right="-110"/>
              <w:contextualSpacing/>
              <w:jc w:val="right"/>
              <w:rPr>
                <w:rFonts w:eastAsia="Arial" w:cs="Arial"/>
              </w:rPr>
            </w:pPr>
            <w:r w:rsidRPr="00F34274">
              <w:rPr>
                <w:rFonts w:eastAsia="Arial" w:cs="Arial"/>
              </w:rPr>
              <w:t xml:space="preserve"> (99%)</w:t>
            </w:r>
          </w:p>
        </w:tc>
        <w:tc>
          <w:tcPr>
            <w:tcW w:w="0" w:type="auto"/>
          </w:tcPr>
          <w:p w14:paraId="3333729F" w14:textId="77777777" w:rsidR="00F3182D" w:rsidRPr="00F34274" w:rsidRDefault="00F3182D" w:rsidP="00313B64">
            <w:pPr>
              <w:contextualSpacing/>
              <w:jc w:val="right"/>
              <w:rPr>
                <w:rFonts w:eastAsia="Arial" w:cs="Arial"/>
              </w:rPr>
            </w:pPr>
            <w:r w:rsidRPr="00F34274">
              <w:rPr>
                <w:rFonts w:eastAsia="Arial" w:cs="Arial"/>
              </w:rPr>
              <w:t>6</w:t>
            </w:r>
          </w:p>
        </w:tc>
        <w:tc>
          <w:tcPr>
            <w:tcW w:w="0" w:type="auto"/>
          </w:tcPr>
          <w:p w14:paraId="57C0FA3A" w14:textId="77777777" w:rsidR="00F3182D" w:rsidRPr="00F34274" w:rsidRDefault="00F3182D" w:rsidP="00313B64">
            <w:pPr>
              <w:contextualSpacing/>
              <w:jc w:val="right"/>
              <w:rPr>
                <w:rFonts w:eastAsia="Arial" w:cs="Arial"/>
              </w:rPr>
            </w:pPr>
            <w:r w:rsidRPr="00F34274">
              <w:rPr>
                <w:rFonts w:eastAsia="Arial" w:cs="Arial"/>
              </w:rPr>
              <w:t>15</w:t>
            </w:r>
          </w:p>
        </w:tc>
        <w:tc>
          <w:tcPr>
            <w:tcW w:w="0" w:type="auto"/>
          </w:tcPr>
          <w:p w14:paraId="214C7351" w14:textId="77777777" w:rsidR="00F3182D" w:rsidRPr="00F34274" w:rsidRDefault="00F3182D" w:rsidP="00313B64">
            <w:pPr>
              <w:contextualSpacing/>
              <w:jc w:val="right"/>
              <w:rPr>
                <w:rFonts w:eastAsia="Arial" w:cs="Arial"/>
              </w:rPr>
            </w:pPr>
            <w:r w:rsidRPr="00F34274">
              <w:rPr>
                <w:rFonts w:eastAsia="Arial" w:cs="Arial"/>
              </w:rPr>
              <w:t>954</w:t>
            </w:r>
          </w:p>
        </w:tc>
        <w:tc>
          <w:tcPr>
            <w:tcW w:w="0" w:type="auto"/>
          </w:tcPr>
          <w:p w14:paraId="0CF0A1A7" w14:textId="77777777" w:rsidR="00F3182D" w:rsidRPr="00F34274" w:rsidRDefault="00F3182D" w:rsidP="00313B64">
            <w:pPr>
              <w:contextualSpacing/>
              <w:jc w:val="right"/>
              <w:rPr>
                <w:rFonts w:eastAsia="Arial" w:cs="Arial"/>
              </w:rPr>
            </w:pPr>
            <w:r w:rsidRPr="00F34274">
              <w:rPr>
                <w:rFonts w:eastAsia="Arial" w:cs="Arial"/>
              </w:rPr>
              <w:t>1</w:t>
            </w:r>
          </w:p>
        </w:tc>
      </w:tr>
      <w:tr w:rsidR="00F3182D" w:rsidRPr="00F34274" w14:paraId="3E1F1673" w14:textId="77777777" w:rsidTr="00313B64">
        <w:trPr>
          <w:trHeight w:val="601"/>
        </w:trPr>
        <w:tc>
          <w:tcPr>
            <w:tcW w:w="0" w:type="auto"/>
            <w:vMerge/>
          </w:tcPr>
          <w:p w14:paraId="7F6DC0C6" w14:textId="77777777" w:rsidR="00F3182D" w:rsidRPr="00EB6A21" w:rsidRDefault="00F3182D" w:rsidP="00313B64">
            <w:pPr>
              <w:contextualSpacing/>
              <w:rPr>
                <w:rFonts w:eastAsia="Arial" w:cs="Arial"/>
                <w:b/>
                <w:bCs/>
              </w:rPr>
            </w:pPr>
          </w:p>
        </w:tc>
        <w:tc>
          <w:tcPr>
            <w:tcW w:w="0" w:type="auto"/>
            <w:vMerge/>
          </w:tcPr>
          <w:p w14:paraId="30897340" w14:textId="77777777" w:rsidR="00F3182D" w:rsidRPr="00F34274" w:rsidRDefault="00F3182D" w:rsidP="00313B64">
            <w:pPr>
              <w:contextualSpacing/>
              <w:jc w:val="right"/>
              <w:rPr>
                <w:rFonts w:eastAsia="Arial" w:cs="Arial"/>
              </w:rPr>
            </w:pPr>
          </w:p>
        </w:tc>
        <w:tc>
          <w:tcPr>
            <w:tcW w:w="0" w:type="auto"/>
          </w:tcPr>
          <w:p w14:paraId="241739E4" w14:textId="77777777" w:rsidR="00F3182D" w:rsidRPr="00F34274" w:rsidRDefault="00F3182D" w:rsidP="00313B64">
            <w:pPr>
              <w:contextualSpacing/>
              <w:jc w:val="right"/>
              <w:rPr>
                <w:rFonts w:eastAsia="Arial" w:cs="Arial"/>
              </w:rPr>
            </w:pPr>
            <w:r w:rsidRPr="00F34274">
              <w:rPr>
                <w:rFonts w:eastAsia="Arial" w:cs="Arial"/>
              </w:rPr>
              <w:t>2022</w:t>
            </w:r>
          </w:p>
        </w:tc>
        <w:tc>
          <w:tcPr>
            <w:tcW w:w="0" w:type="auto"/>
          </w:tcPr>
          <w:p w14:paraId="2A1498ED" w14:textId="77777777" w:rsidR="00F3182D" w:rsidRDefault="00F3182D" w:rsidP="00313B64">
            <w:pPr>
              <w:contextualSpacing/>
              <w:jc w:val="right"/>
              <w:rPr>
                <w:rFonts w:eastAsia="Arial" w:cs="Arial"/>
              </w:rPr>
            </w:pPr>
            <w:r w:rsidRPr="00F34274">
              <w:rPr>
                <w:rFonts w:eastAsia="Arial" w:cs="Arial"/>
              </w:rPr>
              <w:t>151</w:t>
            </w:r>
          </w:p>
          <w:p w14:paraId="733B7F4E" w14:textId="77777777" w:rsidR="00F3182D" w:rsidRPr="00F34274" w:rsidRDefault="00F3182D" w:rsidP="00313B64">
            <w:pPr>
              <w:ind w:right="-110"/>
              <w:contextualSpacing/>
              <w:jc w:val="right"/>
              <w:rPr>
                <w:rFonts w:eastAsia="Arial" w:cs="Arial"/>
              </w:rPr>
            </w:pPr>
            <w:r w:rsidRPr="00F34274">
              <w:rPr>
                <w:rFonts w:eastAsia="Arial" w:cs="Arial"/>
              </w:rPr>
              <w:t xml:space="preserve"> (97%)</w:t>
            </w:r>
          </w:p>
        </w:tc>
        <w:tc>
          <w:tcPr>
            <w:tcW w:w="0" w:type="auto"/>
          </w:tcPr>
          <w:p w14:paraId="4C8FD0EA" w14:textId="77777777" w:rsidR="00F3182D" w:rsidRPr="00F34274" w:rsidRDefault="00F3182D" w:rsidP="00313B64">
            <w:pPr>
              <w:contextualSpacing/>
              <w:jc w:val="right"/>
              <w:rPr>
                <w:rFonts w:eastAsia="Arial" w:cs="Arial"/>
              </w:rPr>
            </w:pPr>
            <w:r w:rsidRPr="00F34274">
              <w:rPr>
                <w:rFonts w:eastAsia="Arial" w:cs="Arial"/>
              </w:rPr>
              <w:t>20</w:t>
            </w:r>
          </w:p>
        </w:tc>
        <w:tc>
          <w:tcPr>
            <w:tcW w:w="0" w:type="auto"/>
          </w:tcPr>
          <w:p w14:paraId="444E8B55" w14:textId="77777777" w:rsidR="00F3182D" w:rsidRPr="00F34274" w:rsidRDefault="00F3182D" w:rsidP="00313B64">
            <w:pPr>
              <w:contextualSpacing/>
              <w:jc w:val="right"/>
              <w:rPr>
                <w:rFonts w:eastAsia="Arial" w:cs="Arial"/>
              </w:rPr>
            </w:pPr>
            <w:r w:rsidRPr="00F34274">
              <w:rPr>
                <w:rFonts w:eastAsia="Arial" w:cs="Arial"/>
              </w:rPr>
              <w:t>41</w:t>
            </w:r>
          </w:p>
        </w:tc>
        <w:tc>
          <w:tcPr>
            <w:tcW w:w="0" w:type="auto"/>
          </w:tcPr>
          <w:p w14:paraId="14440C0E" w14:textId="77777777" w:rsidR="00F3182D" w:rsidRPr="00F34274" w:rsidRDefault="00F3182D" w:rsidP="00313B64">
            <w:pPr>
              <w:contextualSpacing/>
              <w:jc w:val="right"/>
              <w:rPr>
                <w:rFonts w:eastAsia="Arial" w:cs="Arial"/>
              </w:rPr>
            </w:pPr>
            <w:r w:rsidRPr="00F34274">
              <w:rPr>
                <w:rFonts w:eastAsia="Arial" w:cs="Arial"/>
              </w:rPr>
              <w:t>316</w:t>
            </w:r>
          </w:p>
        </w:tc>
        <w:tc>
          <w:tcPr>
            <w:tcW w:w="0" w:type="auto"/>
          </w:tcPr>
          <w:p w14:paraId="118F3634" w14:textId="77777777" w:rsidR="00F3182D" w:rsidRPr="00F34274" w:rsidRDefault="00F3182D" w:rsidP="00313B64">
            <w:pPr>
              <w:contextualSpacing/>
              <w:jc w:val="right"/>
              <w:rPr>
                <w:rFonts w:eastAsia="Arial" w:cs="Arial"/>
              </w:rPr>
            </w:pPr>
            <w:r w:rsidRPr="00F34274">
              <w:rPr>
                <w:rFonts w:eastAsia="Arial" w:cs="Arial"/>
              </w:rPr>
              <w:t>0</w:t>
            </w:r>
          </w:p>
        </w:tc>
      </w:tr>
      <w:tr w:rsidR="00F3182D" w:rsidRPr="00F34274" w14:paraId="504AAFFB" w14:textId="77777777" w:rsidTr="00313B64">
        <w:trPr>
          <w:cnfStyle w:val="000000100000" w:firstRow="0" w:lastRow="0" w:firstColumn="0" w:lastColumn="0" w:oddVBand="0" w:evenVBand="0" w:oddHBand="1" w:evenHBand="0" w:firstRowFirstColumn="0" w:firstRowLastColumn="0" w:lastRowFirstColumn="0" w:lastRowLastColumn="0"/>
          <w:trHeight w:val="85"/>
        </w:trPr>
        <w:tc>
          <w:tcPr>
            <w:tcW w:w="0" w:type="auto"/>
            <w:vMerge w:val="restart"/>
          </w:tcPr>
          <w:p w14:paraId="49ACFE09" w14:textId="77777777" w:rsidR="00F3182D" w:rsidRPr="00EB6A21" w:rsidRDefault="00F3182D" w:rsidP="00313B64">
            <w:pPr>
              <w:contextualSpacing/>
              <w:rPr>
                <w:rFonts w:eastAsia="Arial" w:cs="Arial"/>
                <w:b/>
                <w:bCs/>
              </w:rPr>
            </w:pPr>
            <w:r w:rsidRPr="00EB6A21">
              <w:rPr>
                <w:rFonts w:eastAsia="Arial" w:cs="Arial"/>
                <w:b/>
                <w:bCs/>
              </w:rPr>
              <w:t>Matched sample - RAP funded firms</w:t>
            </w:r>
          </w:p>
        </w:tc>
        <w:tc>
          <w:tcPr>
            <w:tcW w:w="0" w:type="auto"/>
            <w:vMerge w:val="restart"/>
            <w:vAlign w:val="center"/>
          </w:tcPr>
          <w:p w14:paraId="0C9A8B52" w14:textId="77777777" w:rsidR="00F3182D" w:rsidRPr="00F34274" w:rsidRDefault="00F3182D" w:rsidP="00313B64">
            <w:pPr>
              <w:spacing w:after="0" w:line="240" w:lineRule="auto"/>
              <w:contextualSpacing/>
              <w:jc w:val="right"/>
              <w:rPr>
                <w:rFonts w:eastAsia="Arial" w:cs="Arial"/>
              </w:rPr>
            </w:pPr>
            <w:r w:rsidRPr="00F34274">
              <w:rPr>
                <w:rFonts w:eastAsia="Arial" w:cs="Arial"/>
              </w:rPr>
              <w:t>84</w:t>
            </w:r>
          </w:p>
        </w:tc>
        <w:tc>
          <w:tcPr>
            <w:tcW w:w="0" w:type="auto"/>
          </w:tcPr>
          <w:p w14:paraId="1FDF796B" w14:textId="77777777" w:rsidR="00F3182D" w:rsidRPr="00F34274" w:rsidRDefault="00F3182D" w:rsidP="00313B64">
            <w:pPr>
              <w:contextualSpacing/>
              <w:jc w:val="right"/>
              <w:rPr>
                <w:rFonts w:eastAsia="Arial" w:cs="Arial"/>
              </w:rPr>
            </w:pPr>
            <w:r w:rsidRPr="00F34274">
              <w:rPr>
                <w:rFonts w:eastAsia="Arial" w:cs="Arial"/>
              </w:rPr>
              <w:t>2019</w:t>
            </w:r>
          </w:p>
        </w:tc>
        <w:tc>
          <w:tcPr>
            <w:tcW w:w="0" w:type="auto"/>
          </w:tcPr>
          <w:p w14:paraId="5B41D34A" w14:textId="77777777" w:rsidR="00F3182D" w:rsidRDefault="00F3182D" w:rsidP="00313B64">
            <w:pPr>
              <w:contextualSpacing/>
              <w:jc w:val="right"/>
              <w:rPr>
                <w:rFonts w:eastAsia="Arial" w:cs="Arial"/>
              </w:rPr>
            </w:pPr>
            <w:r w:rsidRPr="00F34274">
              <w:rPr>
                <w:rFonts w:eastAsia="Arial" w:cs="Arial"/>
              </w:rPr>
              <w:t>83</w:t>
            </w:r>
          </w:p>
          <w:p w14:paraId="07539A6C" w14:textId="77777777" w:rsidR="00F3182D" w:rsidRPr="00F34274" w:rsidRDefault="00F3182D" w:rsidP="00313B64">
            <w:pPr>
              <w:ind w:right="-110"/>
              <w:contextualSpacing/>
              <w:jc w:val="right"/>
              <w:rPr>
                <w:rFonts w:eastAsia="Arial" w:cs="Arial"/>
              </w:rPr>
            </w:pPr>
            <w:r w:rsidRPr="00F34274">
              <w:rPr>
                <w:rFonts w:eastAsia="Arial" w:cs="Arial"/>
              </w:rPr>
              <w:t xml:space="preserve"> (99%)</w:t>
            </w:r>
          </w:p>
        </w:tc>
        <w:tc>
          <w:tcPr>
            <w:tcW w:w="0" w:type="auto"/>
          </w:tcPr>
          <w:p w14:paraId="2D57E139" w14:textId="77777777" w:rsidR="00F3182D" w:rsidRPr="00F34274" w:rsidRDefault="00F3182D" w:rsidP="00313B64">
            <w:pPr>
              <w:contextualSpacing/>
              <w:jc w:val="right"/>
              <w:rPr>
                <w:rFonts w:eastAsia="Arial" w:cs="Arial"/>
              </w:rPr>
            </w:pPr>
            <w:r w:rsidRPr="00F34274">
              <w:rPr>
                <w:rFonts w:eastAsia="Arial" w:cs="Arial"/>
              </w:rPr>
              <w:t>5</w:t>
            </w:r>
          </w:p>
        </w:tc>
        <w:tc>
          <w:tcPr>
            <w:tcW w:w="0" w:type="auto"/>
          </w:tcPr>
          <w:p w14:paraId="1F682632" w14:textId="77777777" w:rsidR="00F3182D" w:rsidRPr="00F34274" w:rsidRDefault="00F3182D" w:rsidP="00313B64">
            <w:pPr>
              <w:contextualSpacing/>
              <w:jc w:val="right"/>
              <w:rPr>
                <w:rFonts w:eastAsia="Arial" w:cs="Arial"/>
              </w:rPr>
            </w:pPr>
            <w:r w:rsidRPr="00F34274">
              <w:rPr>
                <w:rFonts w:eastAsia="Arial" w:cs="Arial"/>
              </w:rPr>
              <w:t>9</w:t>
            </w:r>
          </w:p>
        </w:tc>
        <w:tc>
          <w:tcPr>
            <w:tcW w:w="0" w:type="auto"/>
          </w:tcPr>
          <w:p w14:paraId="798E0183" w14:textId="77777777" w:rsidR="00F3182D" w:rsidRPr="00F34274" w:rsidRDefault="00F3182D" w:rsidP="00313B64">
            <w:pPr>
              <w:contextualSpacing/>
              <w:jc w:val="right"/>
              <w:rPr>
                <w:rFonts w:eastAsia="Arial" w:cs="Arial"/>
              </w:rPr>
            </w:pPr>
            <w:r w:rsidRPr="00F34274">
              <w:rPr>
                <w:rFonts w:eastAsia="Arial" w:cs="Arial"/>
              </w:rPr>
              <w:t>61</w:t>
            </w:r>
          </w:p>
        </w:tc>
        <w:tc>
          <w:tcPr>
            <w:tcW w:w="0" w:type="auto"/>
          </w:tcPr>
          <w:p w14:paraId="57DCE504" w14:textId="77777777" w:rsidR="00F3182D" w:rsidRPr="00F34274" w:rsidRDefault="00F3182D" w:rsidP="00313B64">
            <w:pPr>
              <w:contextualSpacing/>
              <w:jc w:val="right"/>
              <w:rPr>
                <w:rFonts w:eastAsia="Arial" w:cs="Arial"/>
              </w:rPr>
            </w:pPr>
            <w:r w:rsidRPr="00F34274">
              <w:rPr>
                <w:rFonts w:eastAsia="Arial" w:cs="Arial"/>
              </w:rPr>
              <w:t>1</w:t>
            </w:r>
          </w:p>
        </w:tc>
      </w:tr>
      <w:tr w:rsidR="00F3182D" w:rsidRPr="00F34274" w14:paraId="3F47CA4B" w14:textId="77777777" w:rsidTr="00313B64">
        <w:trPr>
          <w:trHeight w:val="601"/>
        </w:trPr>
        <w:tc>
          <w:tcPr>
            <w:tcW w:w="0" w:type="auto"/>
            <w:vMerge/>
          </w:tcPr>
          <w:p w14:paraId="5C4E0EBE" w14:textId="77777777" w:rsidR="00F3182D" w:rsidRPr="00EB6A21" w:rsidRDefault="00F3182D" w:rsidP="00313B64">
            <w:pPr>
              <w:contextualSpacing/>
              <w:rPr>
                <w:rFonts w:eastAsia="Arial" w:cs="Arial"/>
                <w:b/>
                <w:bCs/>
              </w:rPr>
            </w:pPr>
          </w:p>
        </w:tc>
        <w:tc>
          <w:tcPr>
            <w:tcW w:w="0" w:type="auto"/>
            <w:vMerge/>
          </w:tcPr>
          <w:p w14:paraId="399871B4" w14:textId="77777777" w:rsidR="00F3182D" w:rsidRPr="00F34274" w:rsidRDefault="00F3182D" w:rsidP="00313B64">
            <w:pPr>
              <w:contextualSpacing/>
              <w:jc w:val="right"/>
              <w:rPr>
                <w:rFonts w:eastAsia="Arial" w:cs="Arial"/>
              </w:rPr>
            </w:pPr>
          </w:p>
        </w:tc>
        <w:tc>
          <w:tcPr>
            <w:tcW w:w="0" w:type="auto"/>
          </w:tcPr>
          <w:p w14:paraId="284EE8B3" w14:textId="77777777" w:rsidR="00F3182D" w:rsidRPr="00F34274" w:rsidRDefault="00F3182D" w:rsidP="00313B64">
            <w:pPr>
              <w:contextualSpacing/>
              <w:jc w:val="right"/>
              <w:rPr>
                <w:rFonts w:eastAsia="Arial" w:cs="Arial"/>
              </w:rPr>
            </w:pPr>
            <w:r w:rsidRPr="00F34274">
              <w:rPr>
                <w:rFonts w:eastAsia="Arial" w:cs="Arial"/>
              </w:rPr>
              <w:t>2022</w:t>
            </w:r>
          </w:p>
        </w:tc>
        <w:tc>
          <w:tcPr>
            <w:tcW w:w="0" w:type="auto"/>
          </w:tcPr>
          <w:p w14:paraId="7641DA7D" w14:textId="77777777" w:rsidR="00F3182D" w:rsidRDefault="00F3182D" w:rsidP="00313B64">
            <w:pPr>
              <w:contextualSpacing/>
              <w:jc w:val="right"/>
              <w:rPr>
                <w:rFonts w:eastAsia="Arial" w:cs="Arial"/>
              </w:rPr>
            </w:pPr>
            <w:r w:rsidRPr="00F34274">
              <w:rPr>
                <w:rFonts w:eastAsia="Arial" w:cs="Arial"/>
              </w:rPr>
              <w:t>81</w:t>
            </w:r>
          </w:p>
          <w:p w14:paraId="5767E7D8" w14:textId="77777777" w:rsidR="00F3182D" w:rsidRPr="00F34274" w:rsidRDefault="00F3182D" w:rsidP="00313B64">
            <w:pPr>
              <w:ind w:right="-110"/>
              <w:contextualSpacing/>
              <w:jc w:val="right"/>
              <w:rPr>
                <w:rFonts w:eastAsia="Arial" w:cs="Arial"/>
              </w:rPr>
            </w:pPr>
            <w:r w:rsidRPr="00F34274">
              <w:rPr>
                <w:rFonts w:eastAsia="Arial" w:cs="Arial"/>
              </w:rPr>
              <w:t xml:space="preserve"> (96%)</w:t>
            </w:r>
          </w:p>
        </w:tc>
        <w:tc>
          <w:tcPr>
            <w:tcW w:w="0" w:type="auto"/>
          </w:tcPr>
          <w:p w14:paraId="48361BD1" w14:textId="77777777" w:rsidR="00F3182D" w:rsidRPr="00F34274" w:rsidRDefault="00F3182D" w:rsidP="00313B64">
            <w:pPr>
              <w:contextualSpacing/>
              <w:jc w:val="right"/>
              <w:rPr>
                <w:rFonts w:eastAsia="Arial" w:cs="Arial"/>
              </w:rPr>
            </w:pPr>
            <w:r w:rsidRPr="00F34274">
              <w:rPr>
                <w:rFonts w:eastAsia="Arial" w:cs="Arial"/>
              </w:rPr>
              <w:t>12</w:t>
            </w:r>
          </w:p>
        </w:tc>
        <w:tc>
          <w:tcPr>
            <w:tcW w:w="0" w:type="auto"/>
          </w:tcPr>
          <w:p w14:paraId="5ED5EC4D" w14:textId="77777777" w:rsidR="00F3182D" w:rsidRPr="00F34274" w:rsidRDefault="00F3182D" w:rsidP="00313B64">
            <w:pPr>
              <w:contextualSpacing/>
              <w:jc w:val="right"/>
              <w:rPr>
                <w:rFonts w:eastAsia="Arial" w:cs="Arial"/>
              </w:rPr>
            </w:pPr>
            <w:r w:rsidRPr="00F34274">
              <w:rPr>
                <w:rFonts w:eastAsia="Arial" w:cs="Arial"/>
              </w:rPr>
              <w:t>18</w:t>
            </w:r>
          </w:p>
        </w:tc>
        <w:tc>
          <w:tcPr>
            <w:tcW w:w="0" w:type="auto"/>
          </w:tcPr>
          <w:p w14:paraId="4FD73BD6" w14:textId="77777777" w:rsidR="00F3182D" w:rsidRPr="00F34274" w:rsidRDefault="00F3182D" w:rsidP="00313B64">
            <w:pPr>
              <w:contextualSpacing/>
              <w:jc w:val="right"/>
              <w:rPr>
                <w:rFonts w:eastAsia="Arial" w:cs="Arial"/>
              </w:rPr>
            </w:pPr>
            <w:r w:rsidRPr="00F34274">
              <w:rPr>
                <w:rFonts w:eastAsia="Arial" w:cs="Arial"/>
              </w:rPr>
              <w:t>175</w:t>
            </w:r>
          </w:p>
        </w:tc>
        <w:tc>
          <w:tcPr>
            <w:tcW w:w="0" w:type="auto"/>
          </w:tcPr>
          <w:p w14:paraId="0F1F4FDF" w14:textId="77777777" w:rsidR="00F3182D" w:rsidRPr="00F34274" w:rsidRDefault="00F3182D" w:rsidP="00313B64">
            <w:pPr>
              <w:contextualSpacing/>
              <w:jc w:val="right"/>
              <w:rPr>
                <w:rFonts w:eastAsia="Arial" w:cs="Arial"/>
              </w:rPr>
            </w:pPr>
            <w:r w:rsidRPr="00F34274">
              <w:rPr>
                <w:rFonts w:eastAsia="Arial" w:cs="Arial"/>
              </w:rPr>
              <w:t>1</w:t>
            </w:r>
          </w:p>
        </w:tc>
      </w:tr>
      <w:tr w:rsidR="00F3182D" w:rsidRPr="00F34274" w14:paraId="3D952A50" w14:textId="77777777" w:rsidTr="00313B64">
        <w:trPr>
          <w:cnfStyle w:val="000000100000" w:firstRow="0" w:lastRow="0" w:firstColumn="0" w:lastColumn="0" w:oddVBand="0" w:evenVBand="0" w:oddHBand="1" w:evenHBand="0" w:firstRowFirstColumn="0" w:firstRowLastColumn="0" w:lastRowFirstColumn="0" w:lastRowLastColumn="0"/>
          <w:trHeight w:val="147"/>
        </w:trPr>
        <w:tc>
          <w:tcPr>
            <w:tcW w:w="0" w:type="auto"/>
            <w:vMerge w:val="restart"/>
          </w:tcPr>
          <w:p w14:paraId="4028867F" w14:textId="77777777" w:rsidR="00F3182D" w:rsidRPr="00EB6A21" w:rsidRDefault="00F3182D" w:rsidP="00313B64">
            <w:pPr>
              <w:contextualSpacing/>
              <w:rPr>
                <w:rFonts w:eastAsia="Arial" w:cs="Arial"/>
                <w:b/>
                <w:bCs/>
              </w:rPr>
            </w:pPr>
            <w:r w:rsidRPr="00EB6A21">
              <w:rPr>
                <w:rFonts w:eastAsia="Arial" w:cs="Arial"/>
                <w:b/>
                <w:bCs/>
              </w:rPr>
              <w:t>Matched sample - counterfactual</w:t>
            </w:r>
          </w:p>
        </w:tc>
        <w:tc>
          <w:tcPr>
            <w:tcW w:w="0" w:type="auto"/>
            <w:vMerge w:val="restart"/>
            <w:vAlign w:val="center"/>
          </w:tcPr>
          <w:p w14:paraId="6DBC9B83" w14:textId="77777777" w:rsidR="00F3182D" w:rsidRPr="00F34274" w:rsidRDefault="00F3182D" w:rsidP="00313B64">
            <w:pPr>
              <w:spacing w:after="0" w:line="240" w:lineRule="auto"/>
              <w:contextualSpacing/>
              <w:jc w:val="right"/>
              <w:rPr>
                <w:rFonts w:eastAsia="Arial" w:cs="Arial"/>
              </w:rPr>
            </w:pPr>
            <w:r w:rsidRPr="00F34274">
              <w:rPr>
                <w:rFonts w:eastAsia="Arial" w:cs="Arial"/>
              </w:rPr>
              <w:t>58</w:t>
            </w:r>
          </w:p>
        </w:tc>
        <w:tc>
          <w:tcPr>
            <w:tcW w:w="0" w:type="auto"/>
          </w:tcPr>
          <w:p w14:paraId="77A6E793" w14:textId="77777777" w:rsidR="00F3182D" w:rsidRPr="00F34274" w:rsidRDefault="00F3182D" w:rsidP="00313B64">
            <w:pPr>
              <w:contextualSpacing/>
              <w:jc w:val="right"/>
              <w:rPr>
                <w:rFonts w:eastAsia="Arial" w:cs="Arial"/>
              </w:rPr>
            </w:pPr>
            <w:r w:rsidRPr="00F34274">
              <w:rPr>
                <w:rFonts w:eastAsia="Arial" w:cs="Arial"/>
              </w:rPr>
              <w:t>2019</w:t>
            </w:r>
          </w:p>
        </w:tc>
        <w:tc>
          <w:tcPr>
            <w:tcW w:w="0" w:type="auto"/>
          </w:tcPr>
          <w:p w14:paraId="590EDD53" w14:textId="77777777" w:rsidR="00F3182D" w:rsidRDefault="00F3182D" w:rsidP="00313B64">
            <w:pPr>
              <w:contextualSpacing/>
              <w:jc w:val="right"/>
              <w:rPr>
                <w:rFonts w:eastAsia="Arial" w:cs="Arial"/>
              </w:rPr>
            </w:pPr>
            <w:r w:rsidRPr="00F34274">
              <w:rPr>
                <w:rFonts w:eastAsia="Arial" w:cs="Arial"/>
              </w:rPr>
              <w:t>57</w:t>
            </w:r>
          </w:p>
          <w:p w14:paraId="2A4D9AC9" w14:textId="77777777" w:rsidR="00F3182D" w:rsidRPr="00F34274" w:rsidRDefault="00F3182D" w:rsidP="00313B64">
            <w:pPr>
              <w:ind w:right="-110"/>
              <w:contextualSpacing/>
              <w:jc w:val="right"/>
              <w:rPr>
                <w:rFonts w:eastAsia="Arial" w:cs="Arial"/>
              </w:rPr>
            </w:pPr>
            <w:r w:rsidRPr="00F34274">
              <w:rPr>
                <w:rFonts w:eastAsia="Arial" w:cs="Arial"/>
              </w:rPr>
              <w:t xml:space="preserve"> (98%)</w:t>
            </w:r>
          </w:p>
        </w:tc>
        <w:tc>
          <w:tcPr>
            <w:tcW w:w="0" w:type="auto"/>
          </w:tcPr>
          <w:p w14:paraId="7E37DE7E" w14:textId="77777777" w:rsidR="00F3182D" w:rsidRPr="00F34274" w:rsidRDefault="00F3182D" w:rsidP="00313B64">
            <w:pPr>
              <w:contextualSpacing/>
              <w:jc w:val="right"/>
              <w:rPr>
                <w:rFonts w:eastAsia="Arial" w:cs="Arial"/>
              </w:rPr>
            </w:pPr>
            <w:r w:rsidRPr="00F34274">
              <w:rPr>
                <w:rFonts w:eastAsia="Arial" w:cs="Arial"/>
              </w:rPr>
              <w:t>7</w:t>
            </w:r>
          </w:p>
        </w:tc>
        <w:tc>
          <w:tcPr>
            <w:tcW w:w="0" w:type="auto"/>
          </w:tcPr>
          <w:p w14:paraId="405F80EF" w14:textId="77777777" w:rsidR="00F3182D" w:rsidRPr="00F34274" w:rsidRDefault="00F3182D" w:rsidP="00313B64">
            <w:pPr>
              <w:contextualSpacing/>
              <w:jc w:val="right"/>
              <w:rPr>
                <w:rFonts w:eastAsia="Arial" w:cs="Arial"/>
              </w:rPr>
            </w:pPr>
            <w:r w:rsidRPr="00F34274">
              <w:rPr>
                <w:rFonts w:eastAsia="Arial" w:cs="Arial"/>
              </w:rPr>
              <w:t>12</w:t>
            </w:r>
          </w:p>
        </w:tc>
        <w:tc>
          <w:tcPr>
            <w:tcW w:w="0" w:type="auto"/>
          </w:tcPr>
          <w:p w14:paraId="2AE21FBA" w14:textId="77777777" w:rsidR="00F3182D" w:rsidRPr="00F34274" w:rsidRDefault="00F3182D" w:rsidP="00313B64">
            <w:pPr>
              <w:contextualSpacing/>
              <w:jc w:val="right"/>
              <w:rPr>
                <w:rFonts w:eastAsia="Arial" w:cs="Arial"/>
              </w:rPr>
            </w:pPr>
            <w:r w:rsidRPr="00F34274">
              <w:rPr>
                <w:rFonts w:eastAsia="Arial" w:cs="Arial"/>
              </w:rPr>
              <w:t>63</w:t>
            </w:r>
          </w:p>
        </w:tc>
        <w:tc>
          <w:tcPr>
            <w:tcW w:w="0" w:type="auto"/>
          </w:tcPr>
          <w:p w14:paraId="3FE7E050" w14:textId="77777777" w:rsidR="00F3182D" w:rsidRPr="00F34274" w:rsidRDefault="00F3182D" w:rsidP="00313B64">
            <w:pPr>
              <w:contextualSpacing/>
              <w:jc w:val="right"/>
              <w:rPr>
                <w:rFonts w:eastAsia="Arial" w:cs="Arial"/>
              </w:rPr>
            </w:pPr>
            <w:r w:rsidRPr="00F34274">
              <w:rPr>
                <w:rFonts w:eastAsia="Arial" w:cs="Arial"/>
              </w:rPr>
              <w:t>1</w:t>
            </w:r>
          </w:p>
        </w:tc>
      </w:tr>
      <w:tr w:rsidR="00F3182D" w:rsidRPr="00F34274" w14:paraId="4269AB8D" w14:textId="77777777" w:rsidTr="00313B64">
        <w:trPr>
          <w:trHeight w:val="85"/>
        </w:trPr>
        <w:tc>
          <w:tcPr>
            <w:tcW w:w="0" w:type="auto"/>
            <w:vMerge/>
          </w:tcPr>
          <w:p w14:paraId="1E852352" w14:textId="77777777" w:rsidR="00F3182D" w:rsidRPr="00F34274" w:rsidRDefault="00F3182D" w:rsidP="00313B64">
            <w:pPr>
              <w:contextualSpacing/>
              <w:rPr>
                <w:rFonts w:eastAsia="Arial" w:cs="Arial"/>
              </w:rPr>
            </w:pPr>
          </w:p>
        </w:tc>
        <w:tc>
          <w:tcPr>
            <w:tcW w:w="0" w:type="auto"/>
            <w:vMerge/>
          </w:tcPr>
          <w:p w14:paraId="74A8B59C" w14:textId="77777777" w:rsidR="00F3182D" w:rsidRPr="00F34274" w:rsidRDefault="00F3182D" w:rsidP="00313B64">
            <w:pPr>
              <w:contextualSpacing/>
              <w:jc w:val="right"/>
              <w:rPr>
                <w:rFonts w:eastAsia="Arial" w:cs="Arial"/>
              </w:rPr>
            </w:pPr>
          </w:p>
        </w:tc>
        <w:tc>
          <w:tcPr>
            <w:tcW w:w="0" w:type="auto"/>
          </w:tcPr>
          <w:p w14:paraId="074C240D" w14:textId="77777777" w:rsidR="00F3182D" w:rsidRPr="00F34274" w:rsidRDefault="00F3182D" w:rsidP="00313B64">
            <w:pPr>
              <w:contextualSpacing/>
              <w:jc w:val="right"/>
              <w:rPr>
                <w:rFonts w:eastAsia="Arial" w:cs="Arial"/>
              </w:rPr>
            </w:pPr>
            <w:r w:rsidRPr="00F34274">
              <w:rPr>
                <w:rFonts w:eastAsia="Arial" w:cs="Arial"/>
              </w:rPr>
              <w:t>2022</w:t>
            </w:r>
          </w:p>
        </w:tc>
        <w:tc>
          <w:tcPr>
            <w:tcW w:w="0" w:type="auto"/>
          </w:tcPr>
          <w:p w14:paraId="0F0FBC4D" w14:textId="77777777" w:rsidR="00F3182D" w:rsidRDefault="00F3182D" w:rsidP="00313B64">
            <w:pPr>
              <w:contextualSpacing/>
              <w:jc w:val="right"/>
              <w:rPr>
                <w:rFonts w:eastAsia="Arial" w:cs="Arial"/>
              </w:rPr>
            </w:pPr>
            <w:r w:rsidRPr="00F34274">
              <w:rPr>
                <w:rFonts w:eastAsia="Arial" w:cs="Arial"/>
              </w:rPr>
              <w:t>57</w:t>
            </w:r>
          </w:p>
          <w:p w14:paraId="69B78493" w14:textId="77777777" w:rsidR="00F3182D" w:rsidRPr="00F34274" w:rsidRDefault="00F3182D" w:rsidP="00313B64">
            <w:pPr>
              <w:ind w:right="-110"/>
              <w:contextualSpacing/>
              <w:jc w:val="right"/>
              <w:rPr>
                <w:rFonts w:eastAsia="Arial" w:cs="Arial"/>
              </w:rPr>
            </w:pPr>
            <w:r w:rsidRPr="00F34274">
              <w:rPr>
                <w:rFonts w:eastAsia="Arial" w:cs="Arial"/>
              </w:rPr>
              <w:t xml:space="preserve"> (98%)</w:t>
            </w:r>
          </w:p>
        </w:tc>
        <w:tc>
          <w:tcPr>
            <w:tcW w:w="0" w:type="auto"/>
          </w:tcPr>
          <w:p w14:paraId="4065FADB" w14:textId="77777777" w:rsidR="00F3182D" w:rsidRPr="00F34274" w:rsidRDefault="00F3182D" w:rsidP="00313B64">
            <w:pPr>
              <w:contextualSpacing/>
              <w:jc w:val="right"/>
              <w:rPr>
                <w:rFonts w:eastAsia="Arial" w:cs="Arial"/>
              </w:rPr>
            </w:pPr>
            <w:r w:rsidRPr="00F34274">
              <w:rPr>
                <w:rFonts w:eastAsia="Arial" w:cs="Arial"/>
              </w:rPr>
              <w:t>14</w:t>
            </w:r>
          </w:p>
        </w:tc>
        <w:tc>
          <w:tcPr>
            <w:tcW w:w="0" w:type="auto"/>
          </w:tcPr>
          <w:p w14:paraId="23557C47" w14:textId="77777777" w:rsidR="00F3182D" w:rsidRPr="00F34274" w:rsidRDefault="00F3182D" w:rsidP="00313B64">
            <w:pPr>
              <w:contextualSpacing/>
              <w:jc w:val="right"/>
              <w:rPr>
                <w:rFonts w:eastAsia="Arial" w:cs="Arial"/>
              </w:rPr>
            </w:pPr>
            <w:r w:rsidRPr="00F34274">
              <w:rPr>
                <w:rFonts w:eastAsia="Arial" w:cs="Arial"/>
              </w:rPr>
              <w:t>39</w:t>
            </w:r>
          </w:p>
        </w:tc>
        <w:tc>
          <w:tcPr>
            <w:tcW w:w="0" w:type="auto"/>
          </w:tcPr>
          <w:p w14:paraId="218D65AB" w14:textId="77777777" w:rsidR="00F3182D" w:rsidRPr="00F34274" w:rsidRDefault="00F3182D" w:rsidP="00313B64">
            <w:pPr>
              <w:contextualSpacing/>
              <w:jc w:val="right"/>
              <w:rPr>
                <w:rFonts w:eastAsia="Arial" w:cs="Arial"/>
              </w:rPr>
            </w:pPr>
            <w:r w:rsidRPr="00F34274">
              <w:rPr>
                <w:rFonts w:eastAsia="Arial" w:cs="Arial"/>
              </w:rPr>
              <w:t>341</w:t>
            </w:r>
          </w:p>
        </w:tc>
        <w:tc>
          <w:tcPr>
            <w:tcW w:w="0" w:type="auto"/>
          </w:tcPr>
          <w:p w14:paraId="48821B9A" w14:textId="77777777" w:rsidR="00F3182D" w:rsidRPr="00F34274" w:rsidRDefault="00F3182D" w:rsidP="00313B64">
            <w:pPr>
              <w:contextualSpacing/>
              <w:jc w:val="right"/>
              <w:rPr>
                <w:rFonts w:eastAsia="Arial" w:cs="Arial"/>
              </w:rPr>
            </w:pPr>
            <w:r w:rsidRPr="00F34274">
              <w:rPr>
                <w:rFonts w:eastAsia="Arial" w:cs="Arial"/>
              </w:rPr>
              <w:t>0</w:t>
            </w:r>
          </w:p>
        </w:tc>
      </w:tr>
    </w:tbl>
    <w:p w14:paraId="42473100" w14:textId="77777777" w:rsidR="00F3182D" w:rsidRDefault="00F3182D" w:rsidP="00957DB2">
      <w:pPr>
        <w:spacing w:before="120"/>
        <w:rPr>
          <w:rFonts w:eastAsia="Arial" w:cs="Arial"/>
          <w:iCs/>
          <w:color w:val="555674"/>
          <w:szCs w:val="18"/>
        </w:rPr>
      </w:pPr>
    </w:p>
    <w:p w14:paraId="30D22AE8" w14:textId="77777777" w:rsidR="00F3182D" w:rsidRDefault="00F3182D" w:rsidP="00957DB2">
      <w:pPr>
        <w:spacing w:before="120"/>
        <w:rPr>
          <w:rFonts w:eastAsia="Arial" w:cs="Arial"/>
          <w:iCs/>
          <w:color w:val="555674"/>
          <w:szCs w:val="18"/>
        </w:rPr>
      </w:pPr>
    </w:p>
    <w:p w14:paraId="5C2FE2C0" w14:textId="77777777" w:rsidR="00F3182D" w:rsidRDefault="00F3182D" w:rsidP="00957DB2">
      <w:pPr>
        <w:spacing w:before="120"/>
        <w:rPr>
          <w:rFonts w:eastAsia="Arial" w:cs="Arial"/>
          <w:iCs/>
          <w:color w:val="555674"/>
          <w:szCs w:val="18"/>
        </w:rPr>
      </w:pPr>
    </w:p>
    <w:p w14:paraId="14929799" w14:textId="77777777" w:rsidR="004B1C7A" w:rsidRDefault="004B1C7A" w:rsidP="00957DB2">
      <w:pPr>
        <w:spacing w:before="120"/>
        <w:rPr>
          <w:rFonts w:eastAsia="Arial" w:cs="Arial"/>
          <w:iCs/>
          <w:color w:val="555674"/>
          <w:szCs w:val="18"/>
        </w:rPr>
      </w:pPr>
    </w:p>
    <w:p w14:paraId="3B5E9C5B" w14:textId="77777777" w:rsidR="00F3182D" w:rsidRDefault="00F3182D" w:rsidP="00957DB2">
      <w:pPr>
        <w:spacing w:before="120"/>
        <w:rPr>
          <w:rFonts w:eastAsia="Arial" w:cs="Arial"/>
          <w:iCs/>
          <w:color w:val="555674"/>
          <w:szCs w:val="18"/>
        </w:rPr>
      </w:pPr>
    </w:p>
    <w:p w14:paraId="05F41DC2" w14:textId="77777777" w:rsidR="00F3182D" w:rsidRDefault="00F3182D" w:rsidP="00957DB2">
      <w:pPr>
        <w:spacing w:before="120"/>
        <w:rPr>
          <w:rFonts w:eastAsia="Arial" w:cs="Arial"/>
          <w:iCs/>
          <w:color w:val="555674"/>
          <w:szCs w:val="18"/>
        </w:rPr>
      </w:pPr>
    </w:p>
    <w:p w14:paraId="6796902F" w14:textId="77777777" w:rsidR="00450781" w:rsidRDefault="00450781" w:rsidP="00957DB2">
      <w:pPr>
        <w:spacing w:before="120"/>
        <w:rPr>
          <w:rFonts w:eastAsia="Arial" w:cs="Arial"/>
          <w:iCs/>
          <w:color w:val="555674"/>
          <w:szCs w:val="18"/>
        </w:rPr>
      </w:pPr>
    </w:p>
    <w:p w14:paraId="302D0905" w14:textId="77777777" w:rsidR="00450781" w:rsidRPr="00F34274" w:rsidRDefault="00450781" w:rsidP="00957DB2">
      <w:pPr>
        <w:spacing w:before="120"/>
        <w:rPr>
          <w:rFonts w:eastAsia="Arial" w:cs="Arial"/>
          <w:iCs/>
          <w:color w:val="555674"/>
          <w:szCs w:val="18"/>
        </w:rPr>
      </w:pPr>
    </w:p>
    <w:p w14:paraId="68C1CAC2" w14:textId="77777777" w:rsidR="00270A72" w:rsidRPr="00F34274" w:rsidRDefault="00270A72" w:rsidP="00784475">
      <w:pPr>
        <w:pStyle w:val="Heading2"/>
      </w:pPr>
      <w:bookmarkStart w:id="272" w:name="_Toc144830593"/>
      <w:bookmarkStart w:id="273" w:name="_Toc165482249"/>
      <w:bookmarkStart w:id="274" w:name="_Toc165497214"/>
      <w:bookmarkEnd w:id="266"/>
      <w:r w:rsidRPr="00F34274">
        <w:t>Annex F: Mapping of other schemes</w:t>
      </w:r>
      <w:bookmarkEnd w:id="272"/>
      <w:bookmarkEnd w:id="273"/>
      <w:bookmarkEnd w:id="274"/>
    </w:p>
    <w:p w14:paraId="47A2A3F6" w14:textId="07E317A0" w:rsidR="00CD60C2" w:rsidRDefault="00270A72" w:rsidP="00270A72">
      <w:pPr>
        <w:rPr>
          <w:rFonts w:eastAsia="Arial" w:cs="Arial"/>
        </w:rPr>
      </w:pPr>
      <w:r w:rsidRPr="00F34274">
        <w:rPr>
          <w:rFonts w:eastAsia="Arial" w:cs="Arial"/>
        </w:rPr>
        <w:t xml:space="preserve">In </w:t>
      </w:r>
      <w:r w:rsidRPr="00F34274">
        <w:rPr>
          <w:rFonts w:eastAsia="Arial" w:cs="Arial"/>
        </w:rPr>
        <w:fldChar w:fldCharType="begin"/>
      </w:r>
      <w:r w:rsidRPr="00F34274">
        <w:rPr>
          <w:rFonts w:eastAsia="Arial" w:cs="Arial"/>
        </w:rPr>
        <w:instrText xml:space="preserve"> REF _Ref136347396 \h  \* MERGEFORMAT </w:instrText>
      </w:r>
      <w:r w:rsidRPr="00F34274">
        <w:rPr>
          <w:rFonts w:eastAsia="Arial" w:cs="Arial"/>
        </w:rPr>
      </w:r>
      <w:r w:rsidRPr="00F34274">
        <w:rPr>
          <w:rFonts w:eastAsia="Arial" w:cs="Arial"/>
        </w:rPr>
        <w:fldChar w:fldCharType="separate"/>
      </w:r>
      <w:r w:rsidR="00BC412E" w:rsidRPr="00BC412E">
        <w:rPr>
          <w:rFonts w:eastAsia="Arial" w:cs="Arial"/>
        </w:rPr>
        <w:t xml:space="preserve">Table </w:t>
      </w:r>
      <w:r w:rsidR="00BC412E" w:rsidRPr="00BC412E">
        <w:rPr>
          <w:rFonts w:eastAsia="Arial" w:cs="Arial"/>
          <w:noProof/>
        </w:rPr>
        <w:t>15</w:t>
      </w:r>
      <w:r w:rsidRPr="00F34274">
        <w:rPr>
          <w:rFonts w:eastAsia="Arial" w:cs="Arial"/>
        </w:rPr>
        <w:fldChar w:fldCharType="end"/>
      </w:r>
      <w:r w:rsidRPr="00F34274">
        <w:rPr>
          <w:rFonts w:eastAsia="Arial" w:cs="Arial"/>
        </w:rPr>
        <w:t xml:space="preserve"> below are the schemes that have been identified to have some similarities in certain characteristics to the Regional Angels Programme.</w:t>
      </w:r>
      <w:r w:rsidR="00322892">
        <w:rPr>
          <w:rFonts w:eastAsia="Arial" w:cs="Arial"/>
        </w:rPr>
        <w:t xml:space="preserve"> Given the limited number of schemes </w:t>
      </w:r>
      <w:proofErr w:type="gramStart"/>
      <w:r w:rsidR="00322892">
        <w:rPr>
          <w:rFonts w:eastAsia="Arial" w:cs="Arial"/>
        </w:rPr>
        <w:t>similar to</w:t>
      </w:r>
      <w:proofErr w:type="gramEnd"/>
      <w:r w:rsidR="00322892">
        <w:rPr>
          <w:rFonts w:eastAsia="Arial" w:cs="Arial"/>
        </w:rPr>
        <w:t xml:space="preserve"> the RAP, schemes were chosen based on whether they were equity funding, had a regionality component, British Business Bank based schemes etc. The Angel </w:t>
      </w:r>
      <w:proofErr w:type="spellStart"/>
      <w:r w:rsidR="00322892">
        <w:rPr>
          <w:rFonts w:eastAsia="Arial" w:cs="Arial"/>
        </w:rPr>
        <w:t>CoFund</w:t>
      </w:r>
      <w:proofErr w:type="spellEnd"/>
      <w:r w:rsidR="00322892">
        <w:rPr>
          <w:rFonts w:eastAsia="Arial" w:cs="Arial"/>
        </w:rPr>
        <w:t xml:space="preserve"> had the most alignment to the RAP however, it is inherently different given the limited regionality component of the scheme.</w:t>
      </w:r>
      <w:r w:rsidRPr="00F34274">
        <w:rPr>
          <w:rFonts w:eastAsia="Arial" w:cs="Arial"/>
        </w:rPr>
        <w:t xml:space="preserve"> For the matching purposes we have used indicator variables for firms that participated in the Angel </w:t>
      </w:r>
      <w:proofErr w:type="spellStart"/>
      <w:r w:rsidRPr="00F34274">
        <w:rPr>
          <w:rFonts w:eastAsia="Arial" w:cs="Arial"/>
        </w:rPr>
        <w:t>CoFund</w:t>
      </w:r>
      <w:proofErr w:type="spellEnd"/>
      <w:r w:rsidRPr="00F34274">
        <w:rPr>
          <w:rFonts w:eastAsia="Arial" w:cs="Arial"/>
        </w:rPr>
        <w:t>, BBLS, CBILS, and the Future Fund as these were the most likely sources of alternative finance the portfolio and counterfactual groups would have accessed to apportion the impact from the Regional Angels Programme.</w:t>
      </w:r>
      <w:r w:rsidR="00CD60C2" w:rsidRPr="00F34274">
        <w:rPr>
          <w:rFonts w:eastAsia="Arial" w:cs="Arial"/>
        </w:rPr>
        <w:t xml:space="preserve"> </w:t>
      </w:r>
    </w:p>
    <w:p w14:paraId="45790030" w14:textId="5CC80747" w:rsidR="00CD60C2" w:rsidRPr="00F34274" w:rsidRDefault="00CD60C2" w:rsidP="00957DB2">
      <w:pPr>
        <w:spacing w:before="120"/>
        <w:rPr>
          <w:rFonts w:eastAsia="Arial" w:cs="Arial"/>
          <w:iCs/>
          <w:color w:val="555674"/>
          <w:szCs w:val="18"/>
        </w:rPr>
      </w:pPr>
      <w:bookmarkStart w:id="275" w:name="_Ref136347396"/>
      <w:r w:rsidRPr="00F34274">
        <w:rPr>
          <w:rFonts w:eastAsia="Arial" w:cs="Arial"/>
          <w:iCs/>
          <w:color w:val="555674"/>
          <w:szCs w:val="18"/>
        </w:rPr>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15</w:t>
      </w:r>
      <w:r w:rsidRPr="00F34274">
        <w:rPr>
          <w:rFonts w:eastAsia="Arial" w:cs="Arial"/>
          <w:iCs/>
          <w:noProof/>
          <w:color w:val="555674"/>
          <w:szCs w:val="18"/>
        </w:rPr>
        <w:fldChar w:fldCharType="end"/>
      </w:r>
      <w:bookmarkEnd w:id="275"/>
      <w:r w:rsidRPr="00F34274">
        <w:rPr>
          <w:rFonts w:eastAsia="Arial" w:cs="Arial"/>
          <w:iCs/>
          <w:color w:val="555674"/>
          <w:szCs w:val="18"/>
        </w:rPr>
        <w:t xml:space="preserve">: Schemes identified to have similar </w:t>
      </w:r>
      <w:proofErr w:type="gramStart"/>
      <w:r w:rsidRPr="00F34274">
        <w:rPr>
          <w:rFonts w:eastAsia="Arial" w:cs="Arial"/>
          <w:iCs/>
          <w:color w:val="555674"/>
          <w:szCs w:val="18"/>
        </w:rPr>
        <w:t>characteristics</w:t>
      </w:r>
      <w:proofErr w:type="gramEnd"/>
      <w:r w:rsidRPr="00F34274">
        <w:rPr>
          <w:rFonts w:eastAsia="Arial" w:cs="Arial"/>
          <w:iCs/>
          <w:color w:val="555674"/>
          <w:szCs w:val="18"/>
        </w:rPr>
        <w:t xml:space="preserve"> </w:t>
      </w:r>
    </w:p>
    <w:tbl>
      <w:tblPr>
        <w:tblStyle w:val="PlainTable21"/>
        <w:tblW w:w="9776" w:type="dxa"/>
        <w:tblBorders>
          <w:top w:val="none" w:sz="0" w:space="0" w:color="auto"/>
          <w:bottom w:val="none" w:sz="0" w:space="0" w:color="auto"/>
          <w:insideH w:val="single" w:sz="4" w:space="0" w:color="142855" w:themeColor="text2"/>
        </w:tblBorders>
        <w:tblLook w:val="04A0" w:firstRow="1" w:lastRow="0" w:firstColumn="1" w:lastColumn="0" w:noHBand="0" w:noVBand="1"/>
      </w:tblPr>
      <w:tblGrid>
        <w:gridCol w:w="3052"/>
        <w:gridCol w:w="3880"/>
        <w:gridCol w:w="2844"/>
      </w:tblGrid>
      <w:tr w:rsidR="00CD60C2" w:rsidRPr="00F34274" w14:paraId="06DD8678" w14:textId="77777777" w:rsidTr="00295D4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noWrap/>
            <w:hideMark/>
          </w:tcPr>
          <w:p w14:paraId="59826D67" w14:textId="77777777" w:rsidR="00CD60C2" w:rsidRPr="00CD10A6" w:rsidRDefault="00CD60C2" w:rsidP="00CD10A6">
            <w:pPr>
              <w:rPr>
                <w:rFonts w:eastAsia="Arial" w:cs="Arial"/>
                <w:color w:val="142855" w:themeColor="text2"/>
              </w:rPr>
            </w:pPr>
            <w:r w:rsidRPr="00CD10A6">
              <w:rPr>
                <w:rFonts w:eastAsia="Arial" w:cs="Arial"/>
                <w:color w:val="142855" w:themeColor="text2"/>
              </w:rPr>
              <w:t>Programme</w:t>
            </w:r>
          </w:p>
        </w:tc>
        <w:tc>
          <w:tcPr>
            <w:tcW w:w="3880" w:type="dxa"/>
            <w:tcBorders>
              <w:top w:val="single" w:sz="4" w:space="0" w:color="142855" w:themeColor="text2"/>
              <w:bottom w:val="single" w:sz="4" w:space="0" w:color="142855" w:themeColor="text2"/>
            </w:tcBorders>
            <w:noWrap/>
            <w:hideMark/>
          </w:tcPr>
          <w:p w14:paraId="7BABDBA9" w14:textId="77777777" w:rsidR="00CD60C2" w:rsidRPr="00CD10A6" w:rsidRDefault="00CD60C2" w:rsidP="00CD10A6">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Description</w:t>
            </w:r>
          </w:p>
        </w:tc>
        <w:tc>
          <w:tcPr>
            <w:tcW w:w="2844" w:type="dxa"/>
            <w:tcBorders>
              <w:top w:val="single" w:sz="4" w:space="0" w:color="142855" w:themeColor="text2"/>
              <w:bottom w:val="single" w:sz="4" w:space="0" w:color="142855" w:themeColor="text2"/>
            </w:tcBorders>
            <w:noWrap/>
            <w:hideMark/>
          </w:tcPr>
          <w:p w14:paraId="0B16DB08" w14:textId="77777777" w:rsidR="00CD60C2" w:rsidRPr="00CD10A6" w:rsidRDefault="00CD60C2" w:rsidP="00CD10A6">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Organisation</w:t>
            </w:r>
          </w:p>
        </w:tc>
      </w:tr>
      <w:tr w:rsidR="00270A72" w:rsidRPr="00F34274" w14:paraId="49DE41C8" w14:textId="77777777" w:rsidTr="00313B6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noWrap/>
            <w:hideMark/>
          </w:tcPr>
          <w:p w14:paraId="7B7C64C9" w14:textId="77777777" w:rsidR="00270A72" w:rsidRPr="00F34274" w:rsidRDefault="00270A72" w:rsidP="00270A72">
            <w:pPr>
              <w:rPr>
                <w:rFonts w:eastAsia="Arial" w:cs="Arial"/>
              </w:rPr>
            </w:pPr>
            <w:r w:rsidRPr="00F34274">
              <w:rPr>
                <w:rFonts w:eastAsia="Arial" w:cs="Arial"/>
              </w:rPr>
              <w:t xml:space="preserve">Angel </w:t>
            </w:r>
            <w:proofErr w:type="spellStart"/>
            <w:r w:rsidRPr="00F34274">
              <w:rPr>
                <w:rFonts w:eastAsia="Arial" w:cs="Arial"/>
              </w:rPr>
              <w:t>CoFund</w:t>
            </w:r>
            <w:proofErr w:type="spellEnd"/>
          </w:p>
        </w:tc>
        <w:tc>
          <w:tcPr>
            <w:tcW w:w="3880" w:type="dxa"/>
            <w:tcBorders>
              <w:top w:val="single" w:sz="4" w:space="0" w:color="142855" w:themeColor="text2"/>
            </w:tcBorders>
            <w:hideMark/>
          </w:tcPr>
          <w:p w14:paraId="6E335FE3"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The Angel </w:t>
            </w:r>
            <w:proofErr w:type="spellStart"/>
            <w:r w:rsidRPr="00F34274">
              <w:rPr>
                <w:rFonts w:eastAsia="Arial" w:cs="Arial"/>
              </w:rPr>
              <w:t>CoFund</w:t>
            </w:r>
            <w:proofErr w:type="spellEnd"/>
            <w:r w:rsidRPr="00F34274">
              <w:rPr>
                <w:rFonts w:eastAsia="Arial" w:cs="Arial"/>
              </w:rPr>
              <w:t xml:space="preserve"> provides equity investments of between £100,000 and £1 million in smaller businesses in the UK. It invests alongside strong syndicates of business </w:t>
            </w:r>
            <w:r>
              <w:rPr>
                <w:rFonts w:eastAsia="Arial" w:cs="Arial"/>
              </w:rPr>
              <w:t>a</w:t>
            </w:r>
            <w:r w:rsidRPr="00F34274">
              <w:rPr>
                <w:rFonts w:eastAsia="Arial" w:cs="Arial"/>
              </w:rPr>
              <w:t>ngels to support businesses with strong growth potential.</w:t>
            </w:r>
          </w:p>
        </w:tc>
        <w:tc>
          <w:tcPr>
            <w:tcW w:w="2844" w:type="dxa"/>
            <w:hideMark/>
          </w:tcPr>
          <w:p w14:paraId="43F284D2"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British Business Bank</w:t>
            </w:r>
          </w:p>
        </w:tc>
      </w:tr>
      <w:tr w:rsidR="00270A72" w:rsidRPr="00F34274" w14:paraId="4934EB2F" w14:textId="77777777" w:rsidTr="00313B64">
        <w:trPr>
          <w:trHeight w:val="150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6E8E7929" w14:textId="77777777" w:rsidR="00270A72" w:rsidRPr="00F34274" w:rsidRDefault="00270A72" w:rsidP="00270A72">
            <w:pPr>
              <w:rPr>
                <w:rFonts w:eastAsia="Arial" w:cs="Arial"/>
              </w:rPr>
            </w:pPr>
            <w:r w:rsidRPr="00F34274">
              <w:rPr>
                <w:rFonts w:eastAsia="Arial" w:cs="Arial"/>
              </w:rPr>
              <w:t>Seed Enterprise Investment Scheme (SEIS)</w:t>
            </w:r>
          </w:p>
        </w:tc>
        <w:tc>
          <w:tcPr>
            <w:tcW w:w="3880" w:type="dxa"/>
            <w:tcBorders>
              <w:bottom w:val="single" w:sz="4" w:space="0" w:color="142855" w:themeColor="text2"/>
            </w:tcBorders>
            <w:hideMark/>
          </w:tcPr>
          <w:p w14:paraId="6ACAFC20"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SEIS helps start-ups raise money for their business. You get a maximum of £150,000 including state aid awarded in the three years running up to the date of investment. Eligible companies for the scheme must carry out a new qualifying trade, must </w:t>
            </w:r>
            <w:r w:rsidRPr="00F34274">
              <w:rPr>
                <w:rFonts w:eastAsia="Arial" w:cs="Arial"/>
              </w:rPr>
              <w:lastRenderedPageBreak/>
              <w:t>be established in the UK, and not be trading on a recognised stock exchange at the time of the share issue.</w:t>
            </w:r>
          </w:p>
        </w:tc>
        <w:tc>
          <w:tcPr>
            <w:tcW w:w="2844" w:type="dxa"/>
            <w:tcBorders>
              <w:bottom w:val="single" w:sz="4" w:space="0" w:color="142855" w:themeColor="text2"/>
            </w:tcBorders>
            <w:hideMark/>
          </w:tcPr>
          <w:p w14:paraId="08373690"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lastRenderedPageBreak/>
              <w:t>HMRC</w:t>
            </w:r>
          </w:p>
        </w:tc>
      </w:tr>
      <w:tr w:rsidR="00270A72" w:rsidRPr="00F34274" w14:paraId="1874C12F" w14:textId="77777777" w:rsidTr="00313B6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0E2F3EBF" w14:textId="77777777" w:rsidR="00270A72" w:rsidRPr="00F34274" w:rsidRDefault="00270A72" w:rsidP="00270A72">
            <w:pPr>
              <w:rPr>
                <w:rFonts w:eastAsia="Arial" w:cs="Arial"/>
              </w:rPr>
            </w:pPr>
            <w:r w:rsidRPr="00F34274">
              <w:rPr>
                <w:rFonts w:eastAsia="Arial" w:cs="Arial"/>
              </w:rPr>
              <w:t>Enterprise Investment Scheme (EIS)</w:t>
            </w:r>
          </w:p>
        </w:tc>
        <w:tc>
          <w:tcPr>
            <w:tcW w:w="3880" w:type="dxa"/>
            <w:tcBorders>
              <w:top w:val="single" w:sz="4" w:space="0" w:color="142855" w:themeColor="text2"/>
              <w:bottom w:val="single" w:sz="4" w:space="0" w:color="142855" w:themeColor="text2"/>
            </w:tcBorders>
            <w:hideMark/>
          </w:tcPr>
          <w:p w14:paraId="4586E29A"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EIS is designed so that businesses can raise money by offering tax reliefs to individual investors who buy new shares in their company. Under EIS, businesses can raise up to £5 million each year, and a maximum of £12 million in the company’s lifetime.</w:t>
            </w:r>
          </w:p>
        </w:tc>
        <w:tc>
          <w:tcPr>
            <w:tcW w:w="2844" w:type="dxa"/>
            <w:tcBorders>
              <w:top w:val="single" w:sz="4" w:space="0" w:color="142855" w:themeColor="text2"/>
              <w:bottom w:val="single" w:sz="4" w:space="0" w:color="142855" w:themeColor="text2"/>
            </w:tcBorders>
            <w:hideMark/>
          </w:tcPr>
          <w:p w14:paraId="62B01725"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HMRC</w:t>
            </w:r>
          </w:p>
        </w:tc>
      </w:tr>
      <w:tr w:rsidR="00270A72" w:rsidRPr="00F34274" w14:paraId="4D8C59E8" w14:textId="77777777" w:rsidTr="00313B64">
        <w:trPr>
          <w:trHeight w:val="2055"/>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5223DA47" w14:textId="77777777" w:rsidR="00270A72" w:rsidRPr="00F34274" w:rsidRDefault="00270A72" w:rsidP="00270A72">
            <w:pPr>
              <w:rPr>
                <w:rFonts w:eastAsia="Arial" w:cs="Arial"/>
              </w:rPr>
            </w:pPr>
            <w:r w:rsidRPr="00F34274">
              <w:rPr>
                <w:rFonts w:eastAsia="Arial" w:cs="Arial"/>
              </w:rPr>
              <w:t>The Angel Investment Accelerator</w:t>
            </w:r>
          </w:p>
        </w:tc>
        <w:tc>
          <w:tcPr>
            <w:tcW w:w="3880" w:type="dxa"/>
            <w:tcBorders>
              <w:top w:val="single" w:sz="4" w:space="0" w:color="142855" w:themeColor="text2"/>
            </w:tcBorders>
            <w:hideMark/>
          </w:tcPr>
          <w:p w14:paraId="4479A418"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This scheme is funded by Innovate UK and Spearheaded by </w:t>
            </w:r>
            <w:proofErr w:type="spellStart"/>
            <w:r w:rsidRPr="00F34274">
              <w:rPr>
                <w:rFonts w:eastAsia="Arial" w:cs="Arial"/>
              </w:rPr>
              <w:t>SETsquared</w:t>
            </w:r>
            <w:proofErr w:type="spellEnd"/>
            <w:r w:rsidRPr="00F34274">
              <w:rPr>
                <w:rFonts w:eastAsia="Arial" w:cs="Arial"/>
              </w:rPr>
              <w:t xml:space="preserve">, alongside UKBAA, this Programme offers an array of resources and support for </w:t>
            </w:r>
            <w:r>
              <w:rPr>
                <w:rFonts w:eastAsia="Arial" w:cs="Arial"/>
              </w:rPr>
              <w:t>a</w:t>
            </w:r>
            <w:r w:rsidRPr="00F34274">
              <w:rPr>
                <w:rFonts w:eastAsia="Arial" w:cs="Arial"/>
              </w:rPr>
              <w:t xml:space="preserve">ngels, shining light on the opportunities available in the </w:t>
            </w:r>
            <w:proofErr w:type="gramStart"/>
            <w:r w:rsidRPr="00F34274">
              <w:rPr>
                <w:rFonts w:eastAsia="Arial" w:cs="Arial"/>
              </w:rPr>
              <w:t>South West</w:t>
            </w:r>
            <w:proofErr w:type="gramEnd"/>
            <w:r w:rsidRPr="00F34274">
              <w:rPr>
                <w:rFonts w:eastAsia="Arial" w:cs="Arial"/>
              </w:rPr>
              <w:t xml:space="preserve"> and Wales.</w:t>
            </w:r>
          </w:p>
        </w:tc>
        <w:tc>
          <w:tcPr>
            <w:tcW w:w="2844" w:type="dxa"/>
            <w:tcBorders>
              <w:top w:val="single" w:sz="4" w:space="0" w:color="142855" w:themeColor="text2"/>
            </w:tcBorders>
            <w:hideMark/>
          </w:tcPr>
          <w:p w14:paraId="0998FF71"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UKRI</w:t>
            </w:r>
          </w:p>
        </w:tc>
      </w:tr>
      <w:tr w:rsidR="00270A72" w:rsidRPr="00F34274" w14:paraId="07173749" w14:textId="77777777" w:rsidTr="00295D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52" w:type="dxa"/>
            <w:hideMark/>
          </w:tcPr>
          <w:p w14:paraId="1C61FA8A" w14:textId="77777777" w:rsidR="00270A72" w:rsidRPr="00F34274" w:rsidRDefault="00270A72" w:rsidP="00270A72">
            <w:pPr>
              <w:rPr>
                <w:rFonts w:eastAsia="Arial" w:cs="Arial"/>
              </w:rPr>
            </w:pPr>
            <w:r w:rsidRPr="00F34274">
              <w:rPr>
                <w:rFonts w:eastAsia="Arial" w:cs="Arial"/>
              </w:rPr>
              <w:t>Future Fund</w:t>
            </w:r>
          </w:p>
        </w:tc>
        <w:tc>
          <w:tcPr>
            <w:tcW w:w="3880" w:type="dxa"/>
            <w:hideMark/>
          </w:tcPr>
          <w:p w14:paraId="75D55121"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Future Fund is a £1.1 billion lifeline of Treasury funding for innovative companies facing financial difficulties due to the Covid-19 outbreak.</w:t>
            </w:r>
          </w:p>
        </w:tc>
        <w:tc>
          <w:tcPr>
            <w:tcW w:w="2844" w:type="dxa"/>
            <w:hideMark/>
          </w:tcPr>
          <w:p w14:paraId="13964664"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British Business Bank</w:t>
            </w:r>
          </w:p>
        </w:tc>
      </w:tr>
      <w:tr w:rsidR="00270A72" w:rsidRPr="00F34274" w14:paraId="758F8F55" w14:textId="77777777" w:rsidTr="00F3182D">
        <w:trPr>
          <w:trHeight w:val="699"/>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20B08D8A" w14:textId="77777777" w:rsidR="00270A72" w:rsidRPr="00F34274" w:rsidRDefault="00270A72" w:rsidP="00270A72">
            <w:pPr>
              <w:rPr>
                <w:rFonts w:eastAsia="Arial" w:cs="Arial"/>
              </w:rPr>
            </w:pPr>
            <w:r w:rsidRPr="00F34274">
              <w:rPr>
                <w:rFonts w:eastAsia="Arial" w:cs="Arial"/>
              </w:rPr>
              <w:t>Coronavirus Business Interruption Loan Scheme (CBILS)</w:t>
            </w:r>
          </w:p>
        </w:tc>
        <w:tc>
          <w:tcPr>
            <w:tcW w:w="3880" w:type="dxa"/>
            <w:tcBorders>
              <w:bottom w:val="single" w:sz="4" w:space="0" w:color="142855" w:themeColor="text2"/>
            </w:tcBorders>
            <w:hideMark/>
          </w:tcPr>
          <w:p w14:paraId="3032AC71"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The scheme helped small and medium-sized businesses to access loans and other kinds of finance up to £5 million during the Covid-19 pandemic.</w:t>
            </w:r>
            <w:r w:rsidRPr="00F34274">
              <w:rPr>
                <w:rFonts w:eastAsia="Arial" w:cs="Arial"/>
              </w:rPr>
              <w:br/>
              <w:t>The government guarantees 80% of the finance to the lender and pays interest and any fees for the first 12 months. is based in the UK</w:t>
            </w:r>
            <w:r w:rsidRPr="00F34274">
              <w:rPr>
                <w:rFonts w:eastAsia="Arial" w:cs="Arial"/>
              </w:rPr>
              <w:br/>
              <w:t>has an annual turnover of up to £45 million.</w:t>
            </w:r>
          </w:p>
        </w:tc>
        <w:tc>
          <w:tcPr>
            <w:tcW w:w="2844" w:type="dxa"/>
            <w:tcBorders>
              <w:bottom w:val="single" w:sz="4" w:space="0" w:color="142855" w:themeColor="text2"/>
            </w:tcBorders>
            <w:hideMark/>
          </w:tcPr>
          <w:p w14:paraId="230E4591"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6B465A05" w14:textId="77777777" w:rsidTr="00313B6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1F7AB0E8" w14:textId="77777777" w:rsidR="00270A72" w:rsidRPr="00F34274" w:rsidRDefault="00270A72" w:rsidP="00270A72">
            <w:pPr>
              <w:rPr>
                <w:rFonts w:eastAsia="Arial" w:cs="Arial"/>
              </w:rPr>
            </w:pPr>
            <w:r w:rsidRPr="00F34274">
              <w:rPr>
                <w:rFonts w:eastAsia="Arial" w:cs="Arial"/>
              </w:rPr>
              <w:lastRenderedPageBreak/>
              <w:t>Coronavirus Large Business Interruption Loan Scheme (CLBILS)</w:t>
            </w:r>
          </w:p>
        </w:tc>
        <w:tc>
          <w:tcPr>
            <w:tcW w:w="3880" w:type="dxa"/>
            <w:tcBorders>
              <w:top w:val="single" w:sz="4" w:space="0" w:color="142855" w:themeColor="text2"/>
              <w:bottom w:val="single" w:sz="4" w:space="0" w:color="142855" w:themeColor="text2"/>
            </w:tcBorders>
            <w:hideMark/>
          </w:tcPr>
          <w:p w14:paraId="40E18607"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The scheme helped businesses with a turnover of more than £250m to borrow £50m from banks during the Covid-19 pandemic.</w:t>
            </w:r>
          </w:p>
        </w:tc>
        <w:tc>
          <w:tcPr>
            <w:tcW w:w="2844" w:type="dxa"/>
            <w:tcBorders>
              <w:top w:val="single" w:sz="4" w:space="0" w:color="142855" w:themeColor="text2"/>
              <w:bottom w:val="single" w:sz="4" w:space="0" w:color="142855" w:themeColor="text2"/>
            </w:tcBorders>
            <w:hideMark/>
          </w:tcPr>
          <w:p w14:paraId="26DF9AE7"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62AD0897" w14:textId="77777777" w:rsidTr="00313B64">
        <w:trPr>
          <w:trHeight w:val="20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04F86450" w14:textId="77777777" w:rsidR="00270A72" w:rsidRPr="00F34274" w:rsidRDefault="00270A72" w:rsidP="00270A72">
            <w:pPr>
              <w:rPr>
                <w:rFonts w:eastAsia="Arial" w:cs="Arial"/>
              </w:rPr>
            </w:pPr>
            <w:r w:rsidRPr="00F34274">
              <w:rPr>
                <w:rFonts w:eastAsia="Arial" w:cs="Arial"/>
              </w:rPr>
              <w:t>Bounce Back Loan Scheme (BBLS)</w:t>
            </w:r>
          </w:p>
        </w:tc>
        <w:tc>
          <w:tcPr>
            <w:tcW w:w="3880" w:type="dxa"/>
            <w:tcBorders>
              <w:top w:val="single" w:sz="4" w:space="0" w:color="142855" w:themeColor="text2"/>
            </w:tcBorders>
            <w:hideMark/>
          </w:tcPr>
          <w:p w14:paraId="482CF328"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The scheme provided financial support to businesses across the UK that were losing revenue, and seeing their cashflow disrupted, </w:t>
            </w:r>
            <w:proofErr w:type="gramStart"/>
            <w:r w:rsidRPr="00F34274">
              <w:rPr>
                <w:rFonts w:eastAsia="Arial" w:cs="Arial"/>
              </w:rPr>
              <w:t>as a result of</w:t>
            </w:r>
            <w:proofErr w:type="gramEnd"/>
            <w:r w:rsidRPr="00F34274">
              <w:rPr>
                <w:rFonts w:eastAsia="Arial" w:cs="Arial"/>
              </w:rPr>
              <w:t xml:space="preserve"> the Covid-19 outbreak. The businesses could benefit from £50,000 or less in finance.</w:t>
            </w:r>
          </w:p>
        </w:tc>
        <w:tc>
          <w:tcPr>
            <w:tcW w:w="2844" w:type="dxa"/>
            <w:tcBorders>
              <w:top w:val="single" w:sz="4" w:space="0" w:color="142855" w:themeColor="text2"/>
            </w:tcBorders>
            <w:hideMark/>
          </w:tcPr>
          <w:p w14:paraId="7F7911CE"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1818C62B" w14:textId="77777777" w:rsidTr="00313B64">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232F7355" w14:textId="77777777" w:rsidR="00270A72" w:rsidRPr="00F34274" w:rsidRDefault="00270A72" w:rsidP="00270A72">
            <w:pPr>
              <w:rPr>
                <w:rFonts w:eastAsia="Arial" w:cs="Arial"/>
              </w:rPr>
            </w:pPr>
            <w:r w:rsidRPr="00F34274">
              <w:rPr>
                <w:rFonts w:eastAsia="Arial" w:cs="Arial"/>
              </w:rPr>
              <w:t>Coronavirus Job Retention ‘furlough’ Scheme</w:t>
            </w:r>
          </w:p>
        </w:tc>
        <w:tc>
          <w:tcPr>
            <w:tcW w:w="3880" w:type="dxa"/>
            <w:tcBorders>
              <w:bottom w:val="single" w:sz="4" w:space="0" w:color="142855" w:themeColor="text2"/>
            </w:tcBorders>
            <w:hideMark/>
          </w:tcPr>
          <w:p w14:paraId="6E683BA0"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The Coronavirus Job Retention Scheme (CJRS) was a temporary scheme designed to protect the UK economy by helping employers whose operations were affected by Covid-19 to retain their employees. Through the scheme, Government paid up to 80% of staff wages to businesses (capped at £2,500 a month).</w:t>
            </w:r>
          </w:p>
        </w:tc>
        <w:tc>
          <w:tcPr>
            <w:tcW w:w="2844" w:type="dxa"/>
            <w:tcBorders>
              <w:bottom w:val="single" w:sz="4" w:space="0" w:color="142855" w:themeColor="text2"/>
            </w:tcBorders>
            <w:hideMark/>
          </w:tcPr>
          <w:p w14:paraId="2FC4485C"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HMRC</w:t>
            </w:r>
          </w:p>
        </w:tc>
      </w:tr>
      <w:tr w:rsidR="00270A72" w:rsidRPr="00F34274" w14:paraId="5581004E" w14:textId="77777777" w:rsidTr="00F3182D">
        <w:trPr>
          <w:trHeight w:val="1692"/>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097723CF" w14:textId="77777777" w:rsidR="00270A72" w:rsidRPr="00F34274" w:rsidRDefault="00270A72" w:rsidP="00270A72">
            <w:pPr>
              <w:rPr>
                <w:rFonts w:eastAsia="Arial" w:cs="Arial"/>
              </w:rPr>
            </w:pPr>
            <w:r w:rsidRPr="00F34274">
              <w:rPr>
                <w:rFonts w:eastAsia="Arial" w:cs="Arial"/>
              </w:rPr>
              <w:t>Self-Employment Income Support Scheme (SEISS)</w:t>
            </w:r>
          </w:p>
        </w:tc>
        <w:tc>
          <w:tcPr>
            <w:tcW w:w="3880" w:type="dxa"/>
            <w:tcBorders>
              <w:top w:val="single" w:sz="4" w:space="0" w:color="142855" w:themeColor="text2"/>
              <w:bottom w:val="single" w:sz="4" w:space="0" w:color="142855" w:themeColor="text2"/>
            </w:tcBorders>
            <w:hideMark/>
          </w:tcPr>
          <w:p w14:paraId="3AA57AEA"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The Self-Employment Income Support Scheme (SEISS) was designed to support self-employed individuals (including members of partnerships) whose self-employment activities have been adversely affected by Covid-19. The Scheme covers up to 70% of the average monthly trading profits for the business.</w:t>
            </w:r>
          </w:p>
        </w:tc>
        <w:tc>
          <w:tcPr>
            <w:tcW w:w="2844" w:type="dxa"/>
            <w:tcBorders>
              <w:top w:val="single" w:sz="4" w:space="0" w:color="142855" w:themeColor="text2"/>
              <w:bottom w:val="single" w:sz="4" w:space="0" w:color="142855" w:themeColor="text2"/>
            </w:tcBorders>
            <w:hideMark/>
          </w:tcPr>
          <w:p w14:paraId="79693E1E"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HMRC</w:t>
            </w:r>
          </w:p>
        </w:tc>
      </w:tr>
      <w:tr w:rsidR="00270A72" w:rsidRPr="00F34274" w14:paraId="530D6796" w14:textId="77777777" w:rsidTr="00313B6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50F59078" w14:textId="77777777" w:rsidR="00270A72" w:rsidRPr="00F34274" w:rsidRDefault="00270A72" w:rsidP="00270A72">
            <w:pPr>
              <w:rPr>
                <w:rFonts w:eastAsia="Arial" w:cs="Arial"/>
              </w:rPr>
            </w:pPr>
            <w:r w:rsidRPr="00F34274">
              <w:rPr>
                <w:rFonts w:eastAsia="Arial" w:cs="Arial"/>
              </w:rPr>
              <w:lastRenderedPageBreak/>
              <w:t>Statutory Sick Pay (SSP) Rebate Scheme</w:t>
            </w:r>
          </w:p>
        </w:tc>
        <w:tc>
          <w:tcPr>
            <w:tcW w:w="3880" w:type="dxa"/>
            <w:tcBorders>
              <w:top w:val="single" w:sz="4" w:space="0" w:color="142855" w:themeColor="text2"/>
              <w:bottom w:val="single" w:sz="4" w:space="0" w:color="142855" w:themeColor="text2"/>
            </w:tcBorders>
            <w:hideMark/>
          </w:tcPr>
          <w:p w14:paraId="77B42727"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SSP helped businesses with fewer than 250 employees to apply to recover the costs of paying out SSP throughout the Covid-19 pandemic.</w:t>
            </w:r>
          </w:p>
        </w:tc>
        <w:tc>
          <w:tcPr>
            <w:tcW w:w="2844" w:type="dxa"/>
            <w:tcBorders>
              <w:top w:val="single" w:sz="4" w:space="0" w:color="142855" w:themeColor="text2"/>
              <w:bottom w:val="single" w:sz="4" w:space="0" w:color="142855" w:themeColor="text2"/>
            </w:tcBorders>
            <w:hideMark/>
          </w:tcPr>
          <w:p w14:paraId="554F0205"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HMRC</w:t>
            </w:r>
          </w:p>
        </w:tc>
      </w:tr>
      <w:tr w:rsidR="00270A72" w:rsidRPr="00F34274" w14:paraId="36FDFB02" w14:textId="77777777" w:rsidTr="00313B64">
        <w:trPr>
          <w:trHeight w:val="19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noWrap/>
            <w:hideMark/>
          </w:tcPr>
          <w:p w14:paraId="444BC34D" w14:textId="77777777" w:rsidR="00270A72" w:rsidRPr="00F34274" w:rsidRDefault="00270A72" w:rsidP="00270A72">
            <w:pPr>
              <w:rPr>
                <w:rFonts w:eastAsia="Arial" w:cs="Arial"/>
              </w:rPr>
            </w:pPr>
            <w:r w:rsidRPr="00F34274">
              <w:rPr>
                <w:rFonts w:eastAsia="Arial" w:cs="Arial"/>
              </w:rPr>
              <w:t>Covid-19 Corporate Financing Facility</w:t>
            </w:r>
          </w:p>
        </w:tc>
        <w:tc>
          <w:tcPr>
            <w:tcW w:w="3880" w:type="dxa"/>
            <w:tcBorders>
              <w:top w:val="single" w:sz="4" w:space="0" w:color="142855" w:themeColor="text2"/>
            </w:tcBorders>
            <w:hideMark/>
          </w:tcPr>
          <w:p w14:paraId="29904AB3"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Under the Covid-19 Corporate Financing Facility (CCFF), the Bank of England will buy short-term debt from large companies.</w:t>
            </w:r>
            <w:r w:rsidRPr="00F34274">
              <w:rPr>
                <w:rFonts w:eastAsia="Arial" w:cs="Arial"/>
              </w:rPr>
              <w:br/>
              <w:t xml:space="preserve">This scheme will support companies that have been affected by a short-term funding </w:t>
            </w:r>
            <w:proofErr w:type="gramStart"/>
            <w:r w:rsidRPr="00F34274">
              <w:rPr>
                <w:rFonts w:eastAsia="Arial" w:cs="Arial"/>
              </w:rPr>
              <w:t>squeeze, and</w:t>
            </w:r>
            <w:proofErr w:type="gramEnd"/>
            <w:r w:rsidRPr="00F34274">
              <w:rPr>
                <w:rFonts w:eastAsia="Arial" w:cs="Arial"/>
              </w:rPr>
              <w:t xml:space="preserve"> allow them to finance their short-term liabilities.</w:t>
            </w:r>
            <w:r w:rsidRPr="00F34274">
              <w:rPr>
                <w:rFonts w:eastAsia="Arial" w:cs="Arial"/>
              </w:rPr>
              <w:br/>
              <w:t>It will also support corporate finance markets overall and ease the supply of credit to all firms.</w:t>
            </w:r>
          </w:p>
        </w:tc>
        <w:tc>
          <w:tcPr>
            <w:tcW w:w="2844" w:type="dxa"/>
            <w:tcBorders>
              <w:top w:val="single" w:sz="4" w:space="0" w:color="142855" w:themeColor="text2"/>
            </w:tcBorders>
            <w:hideMark/>
          </w:tcPr>
          <w:p w14:paraId="1F8E73D2"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 </w:t>
            </w:r>
          </w:p>
        </w:tc>
      </w:tr>
      <w:tr w:rsidR="00270A72" w:rsidRPr="00F34274" w14:paraId="25F0E74E" w14:textId="77777777" w:rsidTr="00295D4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52" w:type="dxa"/>
            <w:noWrap/>
            <w:hideMark/>
          </w:tcPr>
          <w:p w14:paraId="48934CA6" w14:textId="77777777" w:rsidR="00270A72" w:rsidRPr="00F34274" w:rsidRDefault="00270A72" w:rsidP="00270A72">
            <w:pPr>
              <w:rPr>
                <w:rFonts w:eastAsia="Arial" w:cs="Arial"/>
              </w:rPr>
            </w:pPr>
            <w:r w:rsidRPr="00F34274">
              <w:rPr>
                <w:rFonts w:eastAsia="Arial" w:cs="Arial"/>
              </w:rPr>
              <w:t>Business Rate Relief Due to Coronavirus</w:t>
            </w:r>
          </w:p>
        </w:tc>
        <w:tc>
          <w:tcPr>
            <w:tcW w:w="3880" w:type="dxa"/>
            <w:hideMark/>
          </w:tcPr>
          <w:p w14:paraId="55F05CBD"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This scheme helped companies that were impacted by Covid-19 to claim business rates relief from the local council on their business rates. </w:t>
            </w:r>
          </w:p>
        </w:tc>
        <w:tc>
          <w:tcPr>
            <w:tcW w:w="2844" w:type="dxa"/>
            <w:hideMark/>
          </w:tcPr>
          <w:p w14:paraId="01228FBD"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01DD0DAC" w14:textId="77777777" w:rsidTr="00313B64">
        <w:trPr>
          <w:trHeight w:val="56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25E6642B" w14:textId="77777777" w:rsidR="00270A72" w:rsidRPr="00F34274" w:rsidRDefault="00270A72" w:rsidP="00270A72">
            <w:pPr>
              <w:rPr>
                <w:rFonts w:eastAsia="Arial" w:cs="Arial"/>
              </w:rPr>
            </w:pPr>
            <w:r w:rsidRPr="00F34274">
              <w:rPr>
                <w:rFonts w:eastAsia="Arial" w:cs="Arial"/>
              </w:rPr>
              <w:t>Small Business Coronavirus cash grant</w:t>
            </w:r>
          </w:p>
        </w:tc>
        <w:tc>
          <w:tcPr>
            <w:tcW w:w="3880" w:type="dxa"/>
            <w:tcBorders>
              <w:bottom w:val="single" w:sz="4" w:space="0" w:color="142855" w:themeColor="text2"/>
            </w:tcBorders>
            <w:hideMark/>
          </w:tcPr>
          <w:p w14:paraId="129D99E2"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The Small Business Grant Fund (SBGF) supports small and rural businesses in England with their business costs incurred during the Covid-19 pandemic.</w:t>
            </w:r>
          </w:p>
        </w:tc>
        <w:tc>
          <w:tcPr>
            <w:tcW w:w="2844" w:type="dxa"/>
            <w:tcBorders>
              <w:bottom w:val="single" w:sz="4" w:space="0" w:color="142855" w:themeColor="text2"/>
            </w:tcBorders>
            <w:hideMark/>
          </w:tcPr>
          <w:p w14:paraId="43251D2D"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62A42FA9" w14:textId="77777777" w:rsidTr="00313B64">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186231D7" w14:textId="77777777" w:rsidR="00270A72" w:rsidRPr="00F34274" w:rsidRDefault="00270A72" w:rsidP="00270A72">
            <w:pPr>
              <w:rPr>
                <w:rFonts w:eastAsia="Arial" w:cs="Arial"/>
              </w:rPr>
            </w:pPr>
            <w:r w:rsidRPr="00F34274">
              <w:rPr>
                <w:rFonts w:eastAsia="Arial" w:cs="Arial"/>
              </w:rPr>
              <w:t>Coventry and Warwickshire Green Business Programme</w:t>
            </w:r>
          </w:p>
        </w:tc>
        <w:tc>
          <w:tcPr>
            <w:tcW w:w="3880" w:type="dxa"/>
            <w:tcBorders>
              <w:top w:val="single" w:sz="4" w:space="0" w:color="142855" w:themeColor="text2"/>
              <w:bottom w:val="single" w:sz="4" w:space="0" w:color="142855" w:themeColor="text2"/>
            </w:tcBorders>
            <w:hideMark/>
          </w:tcPr>
          <w:p w14:paraId="0A1EBAFC"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scheme provides firms in the Coventry, North Warwickshire, Nuneaton and Bedworth, Rugby, Leamington Spa, Stratford on Avon, and Warwick areas grants of between £1,000 and £50,000 (at up to 40% of projects costs).</w:t>
            </w:r>
          </w:p>
        </w:tc>
        <w:tc>
          <w:tcPr>
            <w:tcW w:w="2844" w:type="dxa"/>
            <w:tcBorders>
              <w:top w:val="single" w:sz="4" w:space="0" w:color="142855" w:themeColor="text2"/>
              <w:bottom w:val="single" w:sz="4" w:space="0" w:color="142855" w:themeColor="text2"/>
            </w:tcBorders>
            <w:hideMark/>
          </w:tcPr>
          <w:p w14:paraId="57F810AA"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756F6003" w14:textId="77777777" w:rsidTr="00313B64">
        <w:trPr>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4FC5416F" w14:textId="77777777" w:rsidR="00270A72" w:rsidRPr="00F34274" w:rsidRDefault="00270A72" w:rsidP="00270A72">
            <w:pPr>
              <w:rPr>
                <w:rFonts w:eastAsia="Arial" w:cs="Arial"/>
              </w:rPr>
            </w:pPr>
            <w:r w:rsidRPr="00F34274">
              <w:rPr>
                <w:rFonts w:eastAsia="Arial" w:cs="Arial"/>
              </w:rPr>
              <w:t xml:space="preserve">Staffordshire Business </w:t>
            </w:r>
            <w:r w:rsidRPr="00F34274">
              <w:rPr>
                <w:rFonts w:eastAsia="Arial" w:cs="Arial"/>
              </w:rPr>
              <w:lastRenderedPageBreak/>
              <w:t>Funding</w:t>
            </w:r>
          </w:p>
        </w:tc>
        <w:tc>
          <w:tcPr>
            <w:tcW w:w="3880" w:type="dxa"/>
            <w:tcBorders>
              <w:top w:val="single" w:sz="4" w:space="0" w:color="142855" w:themeColor="text2"/>
              <w:bottom w:val="single" w:sz="4" w:space="0" w:color="142855" w:themeColor="text2"/>
            </w:tcBorders>
            <w:hideMark/>
          </w:tcPr>
          <w:p w14:paraId="5D6C0D66"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lastRenderedPageBreak/>
              <w:t xml:space="preserve">This grant scheme is for Staffordshire </w:t>
            </w:r>
            <w:r w:rsidRPr="00F34274">
              <w:rPr>
                <w:rFonts w:eastAsia="Arial" w:cs="Arial"/>
              </w:rPr>
              <w:lastRenderedPageBreak/>
              <w:t>businesses to pay for external specialist advice to help develop or market a new product or service. The scheme offers up to £9,000 in funds.</w:t>
            </w:r>
          </w:p>
        </w:tc>
        <w:tc>
          <w:tcPr>
            <w:tcW w:w="2844" w:type="dxa"/>
            <w:tcBorders>
              <w:top w:val="single" w:sz="4" w:space="0" w:color="142855" w:themeColor="text2"/>
              <w:bottom w:val="single" w:sz="4" w:space="0" w:color="142855" w:themeColor="text2"/>
            </w:tcBorders>
            <w:hideMark/>
          </w:tcPr>
          <w:p w14:paraId="154AE63D"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lastRenderedPageBreak/>
              <w:t>BEIS</w:t>
            </w:r>
            <w:r>
              <w:rPr>
                <w:rFonts w:eastAsia="Arial" w:cs="Arial"/>
              </w:rPr>
              <w:t xml:space="preserve"> (now DBT)</w:t>
            </w:r>
          </w:p>
        </w:tc>
      </w:tr>
      <w:tr w:rsidR="00270A72" w:rsidRPr="00F34274" w14:paraId="1D322F24"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4CC35996" w14:textId="77777777" w:rsidR="00270A72" w:rsidRPr="00F34274" w:rsidRDefault="00270A72" w:rsidP="00270A72">
            <w:pPr>
              <w:rPr>
                <w:rFonts w:eastAsia="Arial" w:cs="Arial"/>
              </w:rPr>
            </w:pPr>
            <w:r w:rsidRPr="00F34274">
              <w:rPr>
                <w:rFonts w:eastAsia="Arial" w:cs="Arial"/>
              </w:rPr>
              <w:t>The Hive - North Somerset</w:t>
            </w:r>
          </w:p>
        </w:tc>
        <w:tc>
          <w:tcPr>
            <w:tcW w:w="3880" w:type="dxa"/>
            <w:tcBorders>
              <w:top w:val="single" w:sz="4" w:space="0" w:color="142855" w:themeColor="text2"/>
            </w:tcBorders>
            <w:hideMark/>
          </w:tcPr>
          <w:p w14:paraId="7D50AB20"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scheme provides workspace with on-site business support in Weston-Super-Mare.</w:t>
            </w:r>
          </w:p>
        </w:tc>
        <w:tc>
          <w:tcPr>
            <w:tcW w:w="2844" w:type="dxa"/>
            <w:tcBorders>
              <w:top w:val="single" w:sz="4" w:space="0" w:color="142855" w:themeColor="text2"/>
            </w:tcBorders>
            <w:hideMark/>
          </w:tcPr>
          <w:p w14:paraId="1AC1F073"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3EA553FE" w14:textId="77777777" w:rsidTr="00295D42">
        <w:trPr>
          <w:trHeight w:val="560"/>
        </w:trPr>
        <w:tc>
          <w:tcPr>
            <w:cnfStyle w:val="001000000000" w:firstRow="0" w:lastRow="0" w:firstColumn="1" w:lastColumn="0" w:oddVBand="0" w:evenVBand="0" w:oddHBand="0" w:evenHBand="0" w:firstRowFirstColumn="0" w:firstRowLastColumn="0" w:lastRowFirstColumn="0" w:lastRowLastColumn="0"/>
            <w:tcW w:w="3052" w:type="dxa"/>
            <w:hideMark/>
          </w:tcPr>
          <w:p w14:paraId="294736DF" w14:textId="77777777" w:rsidR="00270A72" w:rsidRPr="00F34274" w:rsidRDefault="00270A72" w:rsidP="00270A72">
            <w:pPr>
              <w:rPr>
                <w:rFonts w:eastAsia="Arial" w:cs="Arial"/>
              </w:rPr>
            </w:pPr>
            <w:r w:rsidRPr="00F34274">
              <w:rPr>
                <w:rFonts w:eastAsia="Arial" w:cs="Arial"/>
              </w:rPr>
              <w:t>Tourism grants - Eden</w:t>
            </w:r>
          </w:p>
        </w:tc>
        <w:tc>
          <w:tcPr>
            <w:tcW w:w="3880" w:type="dxa"/>
            <w:hideMark/>
          </w:tcPr>
          <w:p w14:paraId="2C10C4BB"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This scheme provides small grants to help fund projects that will generate tourism and similar economic benefits in Eden.</w:t>
            </w:r>
          </w:p>
        </w:tc>
        <w:tc>
          <w:tcPr>
            <w:tcW w:w="2844" w:type="dxa"/>
            <w:hideMark/>
          </w:tcPr>
          <w:p w14:paraId="1A580ADC"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7E769170" w14:textId="77777777" w:rsidTr="00313B6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67940858" w14:textId="77777777" w:rsidR="00270A72" w:rsidRPr="00F34274" w:rsidRDefault="00270A72" w:rsidP="00270A72">
            <w:pPr>
              <w:rPr>
                <w:rFonts w:eastAsia="Arial" w:cs="Arial"/>
              </w:rPr>
            </w:pPr>
            <w:r w:rsidRPr="00F34274">
              <w:rPr>
                <w:rFonts w:eastAsia="Arial" w:cs="Arial"/>
              </w:rPr>
              <w:t>Future Focus - Cornwall and the Isles of Scilly</w:t>
            </w:r>
          </w:p>
        </w:tc>
        <w:tc>
          <w:tcPr>
            <w:tcW w:w="3880" w:type="dxa"/>
            <w:tcBorders>
              <w:bottom w:val="single" w:sz="4" w:space="0" w:color="142855" w:themeColor="text2"/>
            </w:tcBorders>
            <w:hideMark/>
          </w:tcPr>
          <w:p w14:paraId="35110657"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This scheme provides tools, resources, and collaborative networks to help businesses innovate, </w:t>
            </w:r>
            <w:proofErr w:type="gramStart"/>
            <w:r w:rsidRPr="00F34274">
              <w:rPr>
                <w:rFonts w:eastAsia="Arial" w:cs="Arial"/>
              </w:rPr>
              <w:t>grow</w:t>
            </w:r>
            <w:proofErr w:type="gramEnd"/>
            <w:r w:rsidRPr="00F34274">
              <w:rPr>
                <w:rFonts w:eastAsia="Arial" w:cs="Arial"/>
              </w:rPr>
              <w:t xml:space="preserve"> and adapt for long-term success.</w:t>
            </w:r>
          </w:p>
        </w:tc>
        <w:tc>
          <w:tcPr>
            <w:tcW w:w="2844" w:type="dxa"/>
            <w:tcBorders>
              <w:bottom w:val="single" w:sz="4" w:space="0" w:color="142855" w:themeColor="text2"/>
            </w:tcBorders>
            <w:hideMark/>
          </w:tcPr>
          <w:p w14:paraId="692D006F"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4C405390" w14:textId="77777777" w:rsidTr="00313B64">
        <w:trPr>
          <w:cantSplit/>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25B68434" w14:textId="77777777" w:rsidR="00270A72" w:rsidRPr="00F34274" w:rsidRDefault="00270A72" w:rsidP="00270A72">
            <w:pPr>
              <w:rPr>
                <w:rFonts w:eastAsia="Arial" w:cs="Arial"/>
              </w:rPr>
            </w:pPr>
            <w:r w:rsidRPr="00F34274">
              <w:rPr>
                <w:rFonts w:eastAsia="Arial" w:cs="Arial"/>
              </w:rPr>
              <w:t>GC Business Finance - Northwest England</w:t>
            </w:r>
          </w:p>
        </w:tc>
        <w:tc>
          <w:tcPr>
            <w:tcW w:w="3880" w:type="dxa"/>
            <w:tcBorders>
              <w:top w:val="single" w:sz="4" w:space="0" w:color="142855" w:themeColor="text2"/>
              <w:bottom w:val="single" w:sz="4" w:space="0" w:color="142855" w:themeColor="text2"/>
            </w:tcBorders>
            <w:hideMark/>
          </w:tcPr>
          <w:p w14:paraId="65FA84F2"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This scheme provides start-up loans and equity investment for small and medium-sized businesses (firms) based in Greater Manchester and the Northwest. Small unsecured business loans from £500 up to £300,000, equity investment up to £2,000,000.</w:t>
            </w:r>
          </w:p>
        </w:tc>
        <w:tc>
          <w:tcPr>
            <w:tcW w:w="2844" w:type="dxa"/>
            <w:tcBorders>
              <w:top w:val="single" w:sz="4" w:space="0" w:color="142855" w:themeColor="text2"/>
              <w:bottom w:val="single" w:sz="4" w:space="0" w:color="142855" w:themeColor="text2"/>
            </w:tcBorders>
            <w:hideMark/>
          </w:tcPr>
          <w:p w14:paraId="56CB31BF"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2D24B9BB" w14:textId="77777777" w:rsidTr="00313B6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5AD299B9" w14:textId="77777777" w:rsidR="00270A72" w:rsidRPr="00F34274" w:rsidRDefault="00270A72" w:rsidP="00270A72">
            <w:pPr>
              <w:rPr>
                <w:rFonts w:eastAsia="Arial" w:cs="Arial"/>
              </w:rPr>
            </w:pPr>
            <w:bookmarkStart w:id="276" w:name="_Hlk136612984"/>
            <w:r w:rsidRPr="00F34274">
              <w:rPr>
                <w:rFonts w:eastAsia="Arial" w:cs="Arial"/>
              </w:rPr>
              <w:t>Investment Fund - North of England</w:t>
            </w:r>
            <w:bookmarkEnd w:id="276"/>
          </w:p>
        </w:tc>
        <w:tc>
          <w:tcPr>
            <w:tcW w:w="3880" w:type="dxa"/>
            <w:tcBorders>
              <w:top w:val="single" w:sz="4" w:space="0" w:color="142855" w:themeColor="text2"/>
              <w:bottom w:val="single" w:sz="4" w:space="0" w:color="142855" w:themeColor="text2"/>
            </w:tcBorders>
            <w:hideMark/>
          </w:tcPr>
          <w:p w14:paraId="5C6022F3"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fund provides finance to help small and medium-sized enterprises (firms) in the Northwest, Yorkshire, the Humber, and Tees Valley. Funds between £25,000 to £2,000,000 can be accessed.</w:t>
            </w:r>
          </w:p>
        </w:tc>
        <w:tc>
          <w:tcPr>
            <w:tcW w:w="2844" w:type="dxa"/>
            <w:tcBorders>
              <w:top w:val="single" w:sz="4" w:space="0" w:color="142855" w:themeColor="text2"/>
              <w:bottom w:val="single" w:sz="4" w:space="0" w:color="142855" w:themeColor="text2"/>
            </w:tcBorders>
            <w:hideMark/>
          </w:tcPr>
          <w:p w14:paraId="6F29AED3"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/UKRI</w:t>
            </w:r>
          </w:p>
        </w:tc>
      </w:tr>
      <w:tr w:rsidR="00270A72" w:rsidRPr="00F34274" w14:paraId="01C5F71F" w14:textId="77777777" w:rsidTr="00313B64">
        <w:trPr>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74F6161E" w14:textId="77777777" w:rsidR="00270A72" w:rsidRPr="00F34274" w:rsidRDefault="00270A72" w:rsidP="00270A72">
            <w:pPr>
              <w:rPr>
                <w:rFonts w:eastAsia="Arial" w:cs="Arial"/>
              </w:rPr>
            </w:pPr>
            <w:r w:rsidRPr="00F34274">
              <w:rPr>
                <w:rFonts w:eastAsia="Arial" w:cs="Arial"/>
              </w:rPr>
              <w:t>Tees Valley Catalyst Fund - Northeast England</w:t>
            </w:r>
          </w:p>
        </w:tc>
        <w:tc>
          <w:tcPr>
            <w:tcW w:w="3880" w:type="dxa"/>
            <w:tcBorders>
              <w:top w:val="single" w:sz="4" w:space="0" w:color="142855" w:themeColor="text2"/>
              <w:bottom w:val="single" w:sz="4" w:space="0" w:color="142855" w:themeColor="text2"/>
            </w:tcBorders>
            <w:hideMark/>
          </w:tcPr>
          <w:p w14:paraId="1FBB7F47"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The loan provides the cash security required for performance, warranty, or advanced payment bonds, to </w:t>
            </w:r>
            <w:r w:rsidRPr="00F34274">
              <w:rPr>
                <w:rFonts w:eastAsia="Arial" w:cs="Arial"/>
              </w:rPr>
              <w:lastRenderedPageBreak/>
              <w:t>provide access to large contracts. Funds of £100,000 to £2,000,000 can be accessed. The limit is £4m to a business in any 36-month period.</w:t>
            </w:r>
          </w:p>
        </w:tc>
        <w:tc>
          <w:tcPr>
            <w:tcW w:w="2844" w:type="dxa"/>
            <w:tcBorders>
              <w:top w:val="single" w:sz="4" w:space="0" w:color="142855" w:themeColor="text2"/>
              <w:bottom w:val="single" w:sz="4" w:space="0" w:color="142855" w:themeColor="text2"/>
            </w:tcBorders>
            <w:hideMark/>
          </w:tcPr>
          <w:p w14:paraId="770E7C5D"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lastRenderedPageBreak/>
              <w:t>BEIS</w:t>
            </w:r>
            <w:r>
              <w:rPr>
                <w:rFonts w:eastAsia="Arial" w:cs="Arial"/>
              </w:rPr>
              <w:t xml:space="preserve"> (now DBT)</w:t>
            </w:r>
          </w:p>
        </w:tc>
      </w:tr>
      <w:tr w:rsidR="00270A72" w:rsidRPr="00F34274" w14:paraId="4CAE3CF7" w14:textId="77777777" w:rsidTr="00313B64">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22A61324" w14:textId="77777777" w:rsidR="00270A72" w:rsidRPr="00F34274" w:rsidRDefault="00270A72" w:rsidP="00270A72">
            <w:pPr>
              <w:rPr>
                <w:rFonts w:eastAsia="Arial" w:cs="Arial"/>
              </w:rPr>
            </w:pPr>
            <w:r w:rsidRPr="00F34274">
              <w:rPr>
                <w:rFonts w:eastAsia="Arial" w:cs="Arial"/>
              </w:rPr>
              <w:t>Key Fund - Midlands and the North of England</w:t>
            </w:r>
          </w:p>
        </w:tc>
        <w:tc>
          <w:tcPr>
            <w:tcW w:w="3880" w:type="dxa"/>
            <w:tcBorders>
              <w:top w:val="single" w:sz="4" w:space="0" w:color="142855" w:themeColor="text2"/>
            </w:tcBorders>
            <w:hideMark/>
          </w:tcPr>
          <w:p w14:paraId="58390C5E"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fund provides social enterprises grants and loans to help increase their community, economic and environmental impact, such as: restoring a derelict building, buying equipment, meeting start-up costs. Funding of £5,000 up to £300,000 is available.</w:t>
            </w:r>
          </w:p>
        </w:tc>
        <w:tc>
          <w:tcPr>
            <w:tcW w:w="2844" w:type="dxa"/>
            <w:tcBorders>
              <w:top w:val="single" w:sz="4" w:space="0" w:color="142855" w:themeColor="text2"/>
            </w:tcBorders>
            <w:hideMark/>
          </w:tcPr>
          <w:p w14:paraId="1F9C5D26"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0F4BF3CF" w14:textId="77777777" w:rsidTr="00295D42">
        <w:trPr>
          <w:trHeight w:val="840"/>
        </w:trPr>
        <w:tc>
          <w:tcPr>
            <w:cnfStyle w:val="001000000000" w:firstRow="0" w:lastRow="0" w:firstColumn="1" w:lastColumn="0" w:oddVBand="0" w:evenVBand="0" w:oddHBand="0" w:evenHBand="0" w:firstRowFirstColumn="0" w:firstRowLastColumn="0" w:lastRowFirstColumn="0" w:lastRowLastColumn="0"/>
            <w:tcW w:w="3052" w:type="dxa"/>
            <w:hideMark/>
          </w:tcPr>
          <w:p w14:paraId="5365B87B" w14:textId="77777777" w:rsidR="00270A72" w:rsidRPr="00F34274" w:rsidRDefault="00270A72" w:rsidP="00270A72">
            <w:pPr>
              <w:rPr>
                <w:rFonts w:eastAsia="Arial" w:cs="Arial"/>
              </w:rPr>
            </w:pPr>
            <w:r w:rsidRPr="00F34274">
              <w:rPr>
                <w:rFonts w:eastAsia="Arial" w:cs="Arial"/>
              </w:rPr>
              <w:t>ART Business Loans - West Midlands</w:t>
            </w:r>
          </w:p>
        </w:tc>
        <w:tc>
          <w:tcPr>
            <w:tcW w:w="3880" w:type="dxa"/>
            <w:hideMark/>
          </w:tcPr>
          <w:p w14:paraId="00631DFB" w14:textId="093515F8"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This </w:t>
            </w:r>
            <w:r>
              <w:rPr>
                <w:rFonts w:eastAsia="Arial" w:cs="Arial"/>
              </w:rPr>
              <w:t>Community Development Finance Institution (</w:t>
            </w:r>
            <w:r w:rsidR="00450781">
              <w:rPr>
                <w:rFonts w:eastAsia="Arial" w:cs="Arial"/>
              </w:rPr>
              <w:t xml:space="preserve">CDFI) </w:t>
            </w:r>
            <w:r w:rsidR="00450781" w:rsidRPr="00F34274">
              <w:rPr>
                <w:rFonts w:eastAsia="Arial" w:cs="Arial"/>
              </w:rPr>
              <w:t>provides</w:t>
            </w:r>
            <w:r w:rsidRPr="00F34274">
              <w:rPr>
                <w:rFonts w:eastAsia="Arial" w:cs="Arial"/>
              </w:rPr>
              <w:t xml:space="preserve"> loans for new and existing small businesses </w:t>
            </w:r>
            <w:r>
              <w:rPr>
                <w:rFonts w:eastAsia="Arial" w:cs="Arial"/>
              </w:rPr>
              <w:t xml:space="preserve">unable to access finance </w:t>
            </w:r>
            <w:r w:rsidRPr="00F34274">
              <w:rPr>
                <w:rFonts w:eastAsia="Arial" w:cs="Arial"/>
              </w:rPr>
              <w:t>in the West Midlands.</w:t>
            </w:r>
            <w:r>
              <w:rPr>
                <w:rFonts w:eastAsia="Arial" w:cs="Arial"/>
              </w:rPr>
              <w:t xml:space="preserve"> The loans are funded by corporate and individual investors primarily motivated by philanthropic reasons. </w:t>
            </w:r>
            <w:r w:rsidRPr="00F34274">
              <w:rPr>
                <w:rFonts w:eastAsia="Arial" w:cs="Arial"/>
              </w:rPr>
              <w:t xml:space="preserve"> Businesses can get loans for any business purpose, </w:t>
            </w:r>
            <w:r w:rsidR="00450781" w:rsidRPr="00F34274">
              <w:rPr>
                <w:rFonts w:eastAsia="Arial" w:cs="Arial"/>
              </w:rPr>
              <w:t>including</w:t>
            </w:r>
            <w:r w:rsidRPr="00F34274">
              <w:rPr>
                <w:rFonts w:eastAsia="Arial" w:cs="Arial"/>
              </w:rPr>
              <w:t xml:space="preserve"> asset purchase and working capital. Funding of £10,000 up to £150,000 is available.</w:t>
            </w:r>
          </w:p>
        </w:tc>
        <w:tc>
          <w:tcPr>
            <w:tcW w:w="2844" w:type="dxa"/>
            <w:hideMark/>
          </w:tcPr>
          <w:p w14:paraId="7581CABF"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1158C6F5" w14:textId="77777777" w:rsidTr="00313B64">
        <w:trPr>
          <w:cnfStyle w:val="000000100000" w:firstRow="0" w:lastRow="0" w:firstColumn="0" w:lastColumn="0" w:oddVBand="0" w:evenVBand="0" w:oddHBand="1" w:evenHBand="0" w:firstRowFirstColumn="0" w:firstRowLastColumn="0" w:lastRowFirstColumn="0" w:lastRowLastColumn="0"/>
          <w:cantSplit/>
          <w:trHeight w:val="102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6FD4F5C8" w14:textId="77777777" w:rsidR="00270A72" w:rsidRPr="00F34274" w:rsidRDefault="00270A72" w:rsidP="00270A72">
            <w:pPr>
              <w:rPr>
                <w:rFonts w:eastAsia="Arial" w:cs="Arial"/>
              </w:rPr>
            </w:pPr>
            <w:r w:rsidRPr="00F34274">
              <w:rPr>
                <w:rFonts w:eastAsia="Arial" w:cs="Arial"/>
              </w:rPr>
              <w:t>Business loan scheme (CWRT) - Coventry and Warwickshire</w:t>
            </w:r>
          </w:p>
        </w:tc>
        <w:tc>
          <w:tcPr>
            <w:tcW w:w="3880" w:type="dxa"/>
            <w:tcBorders>
              <w:bottom w:val="single" w:sz="4" w:space="0" w:color="142855" w:themeColor="text2"/>
            </w:tcBorders>
            <w:hideMark/>
          </w:tcPr>
          <w:p w14:paraId="57E5F297" w14:textId="787EC13E"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This scheme is available to sole traders, partnerships, limited companies, not for profit and other community-based organisations that: are based or operate mainly in Coventry and </w:t>
            </w:r>
            <w:r w:rsidR="00450781" w:rsidRPr="00F34274">
              <w:rPr>
                <w:rFonts w:eastAsia="Arial" w:cs="Arial"/>
              </w:rPr>
              <w:t>Warwickshire and</w:t>
            </w:r>
            <w:r w:rsidRPr="00F34274">
              <w:rPr>
                <w:rFonts w:eastAsia="Arial" w:cs="Arial"/>
              </w:rPr>
              <w:t xml:space="preserve"> have been unable to secure sufficient funds through other sources. They can get £1,000 to £100,000 in funding.</w:t>
            </w:r>
          </w:p>
        </w:tc>
        <w:tc>
          <w:tcPr>
            <w:tcW w:w="2844" w:type="dxa"/>
            <w:tcBorders>
              <w:bottom w:val="single" w:sz="4" w:space="0" w:color="142855" w:themeColor="text2"/>
            </w:tcBorders>
            <w:hideMark/>
          </w:tcPr>
          <w:p w14:paraId="2B986B4A"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2986E590" w14:textId="77777777" w:rsidTr="00313B64">
        <w:trPr>
          <w:trHeight w:val="19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15D56D03" w14:textId="77777777" w:rsidR="00270A72" w:rsidRPr="00F34274" w:rsidRDefault="00270A72" w:rsidP="00270A72">
            <w:pPr>
              <w:rPr>
                <w:rFonts w:eastAsia="Arial" w:cs="Arial"/>
              </w:rPr>
            </w:pPr>
            <w:r w:rsidRPr="00F34274">
              <w:rPr>
                <w:rFonts w:eastAsia="Arial" w:cs="Arial"/>
              </w:rPr>
              <w:lastRenderedPageBreak/>
              <w:t>Social Investment Tax Relief (SITR)</w:t>
            </w:r>
          </w:p>
        </w:tc>
        <w:tc>
          <w:tcPr>
            <w:tcW w:w="3880" w:type="dxa"/>
            <w:tcBorders>
              <w:top w:val="single" w:sz="4" w:space="0" w:color="142855" w:themeColor="text2"/>
              <w:bottom w:val="single" w:sz="4" w:space="0" w:color="142855" w:themeColor="text2"/>
            </w:tcBorders>
            <w:hideMark/>
          </w:tcPr>
          <w:p w14:paraId="37C3D4EC"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SITR is a state aid designed to help you raise money to support the trading activity of the following type of companies:</w:t>
            </w:r>
            <w:r w:rsidRPr="00F34274">
              <w:rPr>
                <w:rFonts w:eastAsia="Arial" w:cs="Arial"/>
              </w:rPr>
              <w:br/>
              <w:t>- Registered charity</w:t>
            </w:r>
            <w:r w:rsidRPr="00F34274">
              <w:rPr>
                <w:rFonts w:eastAsia="Arial" w:cs="Arial"/>
              </w:rPr>
              <w:br/>
              <w:t>- Community interest company</w:t>
            </w:r>
            <w:r w:rsidRPr="00F34274">
              <w:rPr>
                <w:rFonts w:eastAsia="Arial" w:cs="Arial"/>
              </w:rPr>
              <w:br/>
              <w:t>- Community benefit society</w:t>
            </w:r>
            <w:r w:rsidRPr="00F34274">
              <w:rPr>
                <w:rFonts w:eastAsia="Arial" w:cs="Arial"/>
              </w:rPr>
              <w:br/>
              <w:t>The social enterprise applying for the scheme may qualify if they have no more than £15 million in gross assets and fewer than 250 employees.</w:t>
            </w:r>
          </w:p>
        </w:tc>
        <w:tc>
          <w:tcPr>
            <w:tcW w:w="2844" w:type="dxa"/>
            <w:tcBorders>
              <w:top w:val="single" w:sz="4" w:space="0" w:color="142855" w:themeColor="text2"/>
              <w:bottom w:val="single" w:sz="4" w:space="0" w:color="142855" w:themeColor="text2"/>
            </w:tcBorders>
            <w:hideMark/>
          </w:tcPr>
          <w:p w14:paraId="6ECC2A7D"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HMRC</w:t>
            </w:r>
          </w:p>
        </w:tc>
      </w:tr>
      <w:tr w:rsidR="00270A72" w:rsidRPr="00F34274" w14:paraId="489E19D5" w14:textId="77777777" w:rsidTr="00313B64">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37218B5F" w14:textId="77777777" w:rsidR="00270A72" w:rsidRPr="00F34274" w:rsidRDefault="00270A72" w:rsidP="00270A72">
            <w:pPr>
              <w:rPr>
                <w:rFonts w:eastAsia="Arial" w:cs="Arial"/>
              </w:rPr>
            </w:pPr>
            <w:r w:rsidRPr="00F34274">
              <w:rPr>
                <w:rFonts w:eastAsia="Arial" w:cs="Arial"/>
              </w:rPr>
              <w:t>Venture Capital Trust (VCT)</w:t>
            </w:r>
          </w:p>
        </w:tc>
        <w:tc>
          <w:tcPr>
            <w:tcW w:w="3880" w:type="dxa"/>
            <w:tcBorders>
              <w:top w:val="single" w:sz="4" w:space="0" w:color="142855" w:themeColor="text2"/>
              <w:bottom w:val="single" w:sz="4" w:space="0" w:color="142855" w:themeColor="text2"/>
            </w:tcBorders>
            <w:hideMark/>
          </w:tcPr>
          <w:p w14:paraId="1CEC8EFC"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A VCT is a company (like an investment trust) that’s been approved by HMRC and invests in, or lends money to, unlisted companies that have no more than £15 million in gross assets, less than 250 employees, and its first commercial sale took place less than 7 years since the investment.</w:t>
            </w:r>
          </w:p>
        </w:tc>
        <w:tc>
          <w:tcPr>
            <w:tcW w:w="2844" w:type="dxa"/>
            <w:tcBorders>
              <w:top w:val="single" w:sz="4" w:space="0" w:color="142855" w:themeColor="text2"/>
              <w:bottom w:val="single" w:sz="4" w:space="0" w:color="142855" w:themeColor="text2"/>
            </w:tcBorders>
            <w:hideMark/>
          </w:tcPr>
          <w:p w14:paraId="3A361A5C"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HMRC</w:t>
            </w:r>
          </w:p>
        </w:tc>
      </w:tr>
      <w:tr w:rsidR="00270A72" w:rsidRPr="00F34274" w14:paraId="2A2AB0A7" w14:textId="77777777" w:rsidTr="00313B64">
        <w:trPr>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7451D51F" w14:textId="77777777" w:rsidR="00270A72" w:rsidRPr="00F34274" w:rsidRDefault="00270A72" w:rsidP="00270A72">
            <w:pPr>
              <w:rPr>
                <w:rFonts w:eastAsia="Arial" w:cs="Arial"/>
              </w:rPr>
            </w:pPr>
            <w:r w:rsidRPr="00F34274">
              <w:rPr>
                <w:rFonts w:eastAsia="Arial" w:cs="Arial"/>
              </w:rPr>
              <w:t>Creative Scale Up Programme</w:t>
            </w:r>
          </w:p>
        </w:tc>
        <w:tc>
          <w:tcPr>
            <w:tcW w:w="3880" w:type="dxa"/>
            <w:tcBorders>
              <w:top w:val="single" w:sz="4" w:space="0" w:color="142855" w:themeColor="text2"/>
              <w:bottom w:val="single" w:sz="4" w:space="0" w:color="142855" w:themeColor="text2"/>
            </w:tcBorders>
            <w:hideMark/>
          </w:tcPr>
          <w:p w14:paraId="0269F0D0"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The scheme is a £4 million investment Programme supporting creative businesses across three English Combined Authority regions (West of England, West </w:t>
            </w:r>
            <w:proofErr w:type="gramStart"/>
            <w:r w:rsidRPr="00F34274">
              <w:rPr>
                <w:rFonts w:eastAsia="Arial" w:cs="Arial"/>
              </w:rPr>
              <w:t>Midlands</w:t>
            </w:r>
            <w:proofErr w:type="gramEnd"/>
            <w:r w:rsidRPr="00F34274">
              <w:rPr>
                <w:rFonts w:eastAsia="Arial" w:cs="Arial"/>
              </w:rPr>
              <w:t xml:space="preserve"> and Greater Manchester).</w:t>
            </w:r>
          </w:p>
        </w:tc>
        <w:tc>
          <w:tcPr>
            <w:tcW w:w="2844" w:type="dxa"/>
            <w:tcBorders>
              <w:top w:val="single" w:sz="4" w:space="0" w:color="142855" w:themeColor="text2"/>
              <w:bottom w:val="single" w:sz="4" w:space="0" w:color="142855" w:themeColor="text2"/>
            </w:tcBorders>
            <w:hideMark/>
          </w:tcPr>
          <w:p w14:paraId="35481A6E"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DCMS</w:t>
            </w:r>
          </w:p>
        </w:tc>
      </w:tr>
      <w:tr w:rsidR="00270A72" w:rsidRPr="00F34274" w14:paraId="5025214B" w14:textId="77777777" w:rsidTr="00313B64">
        <w:trPr>
          <w:cnfStyle w:val="000000100000" w:firstRow="0" w:lastRow="0" w:firstColumn="0" w:lastColumn="0" w:oddVBand="0" w:evenVBand="0" w:oddHBand="1" w:evenHBand="0" w:firstRowFirstColumn="0" w:firstRowLastColumn="0" w:lastRowFirstColumn="0" w:lastRowLastColumn="0"/>
          <w:trHeight w:val="2055"/>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42C7B41C" w14:textId="77777777" w:rsidR="00270A72" w:rsidRPr="00F34274" w:rsidRDefault="00270A72" w:rsidP="00270A72">
            <w:pPr>
              <w:rPr>
                <w:rFonts w:eastAsia="Arial" w:cs="Arial"/>
              </w:rPr>
            </w:pPr>
            <w:r w:rsidRPr="00F34274">
              <w:rPr>
                <w:rFonts w:eastAsia="Arial" w:cs="Arial"/>
              </w:rPr>
              <w:t>Retail, leisure, and hospitality scheme</w:t>
            </w:r>
          </w:p>
        </w:tc>
        <w:tc>
          <w:tcPr>
            <w:tcW w:w="3880" w:type="dxa"/>
            <w:tcBorders>
              <w:top w:val="single" w:sz="4" w:space="0" w:color="142855" w:themeColor="text2"/>
            </w:tcBorders>
            <w:hideMark/>
          </w:tcPr>
          <w:p w14:paraId="02556DEB"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scheme provides eligible and occupied retail, hospitality, and leisure properties with a 50% relief, up to a cash cap limit of £110,000 per business.</w:t>
            </w:r>
          </w:p>
        </w:tc>
        <w:tc>
          <w:tcPr>
            <w:tcW w:w="2844" w:type="dxa"/>
            <w:tcBorders>
              <w:top w:val="single" w:sz="4" w:space="0" w:color="142855" w:themeColor="text2"/>
            </w:tcBorders>
            <w:hideMark/>
          </w:tcPr>
          <w:p w14:paraId="22667863"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64FB9289" w14:textId="77777777" w:rsidTr="00295D42">
        <w:trPr>
          <w:trHeight w:val="1400"/>
        </w:trPr>
        <w:tc>
          <w:tcPr>
            <w:cnfStyle w:val="001000000000" w:firstRow="0" w:lastRow="0" w:firstColumn="1" w:lastColumn="0" w:oddVBand="0" w:evenVBand="0" w:oddHBand="0" w:evenHBand="0" w:firstRowFirstColumn="0" w:firstRowLastColumn="0" w:lastRowFirstColumn="0" w:lastRowLastColumn="0"/>
            <w:tcW w:w="3052" w:type="dxa"/>
            <w:hideMark/>
          </w:tcPr>
          <w:p w14:paraId="3B7B14FC" w14:textId="77777777" w:rsidR="00270A72" w:rsidRPr="00F34274" w:rsidRDefault="00270A72" w:rsidP="00270A72">
            <w:pPr>
              <w:rPr>
                <w:rFonts w:eastAsia="Arial" w:cs="Arial"/>
              </w:rPr>
            </w:pPr>
            <w:r w:rsidRPr="00F34274">
              <w:rPr>
                <w:rFonts w:eastAsia="Arial" w:cs="Arial"/>
              </w:rPr>
              <w:lastRenderedPageBreak/>
              <w:t>AWS Activate</w:t>
            </w:r>
          </w:p>
        </w:tc>
        <w:tc>
          <w:tcPr>
            <w:tcW w:w="3880" w:type="dxa"/>
            <w:hideMark/>
          </w:tcPr>
          <w:p w14:paraId="7BE0E01C"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Amazon Web Services (AWS) has a dedicated Programme for start-ups (called Activate), which offers up to $25,000 of free credits and support to new businesses.</w:t>
            </w:r>
            <w:r w:rsidRPr="00F34274">
              <w:rPr>
                <w:rFonts w:eastAsia="Arial" w:cs="Arial"/>
              </w:rPr>
              <w:br/>
              <w:t xml:space="preserve">Working with the UKBAA, investors and </w:t>
            </w:r>
            <w:r>
              <w:rPr>
                <w:rFonts w:eastAsia="Arial" w:cs="Arial"/>
              </w:rPr>
              <w:t>a</w:t>
            </w:r>
            <w:r w:rsidRPr="00F34274">
              <w:rPr>
                <w:rFonts w:eastAsia="Arial" w:cs="Arial"/>
              </w:rPr>
              <w:t>ngel groups can now issue these credits to founders in their portfolio.</w:t>
            </w:r>
          </w:p>
        </w:tc>
        <w:tc>
          <w:tcPr>
            <w:tcW w:w="2844" w:type="dxa"/>
            <w:hideMark/>
          </w:tcPr>
          <w:p w14:paraId="7D0286D5"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UKBAA/</w:t>
            </w:r>
            <w:r>
              <w:rPr>
                <w:rFonts w:eastAsia="Arial" w:cs="Arial"/>
              </w:rPr>
              <w:t xml:space="preserve"> </w:t>
            </w:r>
            <w:r w:rsidRPr="00F34274">
              <w:rPr>
                <w:rFonts w:eastAsia="Arial" w:cs="Arial"/>
              </w:rPr>
              <w:t>UKRI</w:t>
            </w:r>
          </w:p>
        </w:tc>
      </w:tr>
      <w:tr w:rsidR="00270A72" w:rsidRPr="00F34274" w14:paraId="55E4DFDC" w14:textId="77777777" w:rsidTr="00313B64">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22318709" w14:textId="77777777" w:rsidR="00270A72" w:rsidRPr="00F34274" w:rsidRDefault="00270A72" w:rsidP="00270A72">
            <w:pPr>
              <w:rPr>
                <w:rFonts w:eastAsia="Arial" w:cs="Arial"/>
              </w:rPr>
            </w:pPr>
            <w:r w:rsidRPr="00F34274">
              <w:rPr>
                <w:rFonts w:eastAsia="Arial" w:cs="Arial"/>
              </w:rPr>
              <w:t>Discretionary Fund</w:t>
            </w:r>
          </w:p>
        </w:tc>
        <w:tc>
          <w:tcPr>
            <w:tcW w:w="3880" w:type="dxa"/>
            <w:tcBorders>
              <w:bottom w:val="single" w:sz="4" w:space="0" w:color="142855" w:themeColor="text2"/>
            </w:tcBorders>
            <w:hideMark/>
          </w:tcPr>
          <w:p w14:paraId="61162202"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This fund's aim is to help about 10,000 small businesses that do not pay business rates directly, but rather pay them through a landlord such as those in shared workspaces.</w:t>
            </w:r>
          </w:p>
        </w:tc>
        <w:tc>
          <w:tcPr>
            <w:tcW w:w="2844" w:type="dxa"/>
            <w:tcBorders>
              <w:bottom w:val="single" w:sz="4" w:space="0" w:color="142855" w:themeColor="text2"/>
            </w:tcBorders>
            <w:hideMark/>
          </w:tcPr>
          <w:p w14:paraId="29239A58"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029C5F10" w14:textId="77777777" w:rsidTr="00313B64">
        <w:trPr>
          <w:cantSplit/>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486CD61C" w14:textId="77777777" w:rsidR="00270A72" w:rsidRPr="00F34274" w:rsidRDefault="00270A72" w:rsidP="00270A72">
            <w:pPr>
              <w:rPr>
                <w:rFonts w:eastAsia="Arial" w:cs="Arial"/>
              </w:rPr>
            </w:pPr>
            <w:r w:rsidRPr="00F34274">
              <w:rPr>
                <w:rFonts w:eastAsia="Arial" w:cs="Arial"/>
              </w:rPr>
              <w:t>BCRS Business Loans</w:t>
            </w:r>
          </w:p>
        </w:tc>
        <w:tc>
          <w:tcPr>
            <w:tcW w:w="3880" w:type="dxa"/>
            <w:tcBorders>
              <w:top w:val="single" w:sz="4" w:space="0" w:color="142855" w:themeColor="text2"/>
              <w:bottom w:val="single" w:sz="4" w:space="0" w:color="142855" w:themeColor="text2"/>
            </w:tcBorders>
            <w:hideMark/>
          </w:tcPr>
          <w:p w14:paraId="125ECC30" w14:textId="70B31724"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This scheme enables eligible businesses that </w:t>
            </w:r>
            <w:proofErr w:type="gramStart"/>
            <w:r w:rsidRPr="00F34274">
              <w:rPr>
                <w:rFonts w:eastAsia="Arial" w:cs="Arial"/>
              </w:rPr>
              <w:t>are located in</w:t>
            </w:r>
            <w:proofErr w:type="gramEnd"/>
            <w:r w:rsidRPr="00F34274">
              <w:rPr>
                <w:rFonts w:eastAsia="Arial" w:cs="Arial"/>
              </w:rPr>
              <w:t xml:space="preserve"> the West Midlands, as well </w:t>
            </w:r>
            <w:r w:rsidR="00450781" w:rsidRPr="00F34274">
              <w:rPr>
                <w:rFonts w:eastAsia="Arial" w:cs="Arial"/>
              </w:rPr>
              <w:t>as Gloucestershire</w:t>
            </w:r>
            <w:r w:rsidRPr="00F34274">
              <w:rPr>
                <w:rFonts w:eastAsia="Arial" w:cs="Arial"/>
              </w:rPr>
              <w:t xml:space="preserve"> to get a loan of £10,000 up to £150,000 if they can prove they have been unable to get funding from banks. </w:t>
            </w:r>
          </w:p>
        </w:tc>
        <w:tc>
          <w:tcPr>
            <w:tcW w:w="2844" w:type="dxa"/>
            <w:tcBorders>
              <w:top w:val="single" w:sz="4" w:space="0" w:color="142855" w:themeColor="text2"/>
              <w:bottom w:val="single" w:sz="4" w:space="0" w:color="142855" w:themeColor="text2"/>
            </w:tcBorders>
            <w:hideMark/>
          </w:tcPr>
          <w:p w14:paraId="59CC0303"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47926F51"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tcBorders>
            <w:hideMark/>
          </w:tcPr>
          <w:p w14:paraId="43F79B8A" w14:textId="77777777" w:rsidR="00270A72" w:rsidRPr="00F34274" w:rsidRDefault="00270A72" w:rsidP="00270A72">
            <w:pPr>
              <w:rPr>
                <w:rFonts w:eastAsia="Arial" w:cs="Arial"/>
              </w:rPr>
            </w:pPr>
            <w:r w:rsidRPr="00F34274">
              <w:rPr>
                <w:rFonts w:eastAsia="Arial" w:cs="Arial"/>
              </w:rPr>
              <w:t>Better Business Finance - UK</w:t>
            </w:r>
          </w:p>
        </w:tc>
        <w:tc>
          <w:tcPr>
            <w:tcW w:w="3880" w:type="dxa"/>
            <w:tcBorders>
              <w:top w:val="single" w:sz="4" w:space="0" w:color="142855" w:themeColor="text2"/>
            </w:tcBorders>
            <w:hideMark/>
          </w:tcPr>
          <w:p w14:paraId="0D16D5DB"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Better Business Finance provides access to finance up to £20,000,000 for companies across the UK. </w:t>
            </w:r>
          </w:p>
        </w:tc>
        <w:tc>
          <w:tcPr>
            <w:tcW w:w="2844" w:type="dxa"/>
            <w:tcBorders>
              <w:top w:val="single" w:sz="4" w:space="0" w:color="142855" w:themeColor="text2"/>
            </w:tcBorders>
            <w:hideMark/>
          </w:tcPr>
          <w:p w14:paraId="4016D912"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39805086" w14:textId="77777777" w:rsidTr="00295D42">
        <w:trPr>
          <w:trHeight w:val="1035"/>
        </w:trPr>
        <w:tc>
          <w:tcPr>
            <w:cnfStyle w:val="001000000000" w:firstRow="0" w:lastRow="0" w:firstColumn="1" w:lastColumn="0" w:oddVBand="0" w:evenVBand="0" w:oddHBand="0" w:evenHBand="0" w:firstRowFirstColumn="0" w:firstRowLastColumn="0" w:lastRowFirstColumn="0" w:lastRowLastColumn="0"/>
            <w:tcW w:w="3052" w:type="dxa"/>
            <w:hideMark/>
          </w:tcPr>
          <w:p w14:paraId="57C53FDB" w14:textId="77777777" w:rsidR="00270A72" w:rsidRPr="00F34274" w:rsidRDefault="00270A72" w:rsidP="00270A72">
            <w:pPr>
              <w:rPr>
                <w:rFonts w:eastAsia="Arial" w:cs="Arial"/>
              </w:rPr>
            </w:pPr>
            <w:r w:rsidRPr="00F34274">
              <w:rPr>
                <w:rFonts w:eastAsia="Arial" w:cs="Arial"/>
              </w:rPr>
              <w:t>Big Issue Invest - UK</w:t>
            </w:r>
          </w:p>
        </w:tc>
        <w:tc>
          <w:tcPr>
            <w:tcW w:w="3880" w:type="dxa"/>
            <w:hideMark/>
          </w:tcPr>
          <w:p w14:paraId="452F8EB3"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This scheme provides established social enterprises who’ve been operating for at least 24 months with about £20,000 to £1.5 million of funds</w:t>
            </w:r>
          </w:p>
        </w:tc>
        <w:tc>
          <w:tcPr>
            <w:tcW w:w="2844" w:type="dxa"/>
            <w:hideMark/>
          </w:tcPr>
          <w:p w14:paraId="4C823035"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r w:rsidR="00270A72" w:rsidRPr="00F34274" w14:paraId="407BD0D3" w14:textId="77777777" w:rsidTr="00313B6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52" w:type="dxa"/>
            <w:tcBorders>
              <w:bottom w:val="single" w:sz="4" w:space="0" w:color="142855" w:themeColor="text2"/>
            </w:tcBorders>
            <w:hideMark/>
          </w:tcPr>
          <w:p w14:paraId="0A9DF468" w14:textId="77777777" w:rsidR="00270A72" w:rsidRPr="00F34274" w:rsidRDefault="00270A72" w:rsidP="00270A72">
            <w:pPr>
              <w:rPr>
                <w:rFonts w:eastAsia="Arial" w:cs="Arial"/>
              </w:rPr>
            </w:pPr>
            <w:r w:rsidRPr="00F34274">
              <w:rPr>
                <w:rFonts w:eastAsia="Arial" w:cs="Arial"/>
              </w:rPr>
              <w:t>Innovate UK - grant funding, innovation loans and expert support</w:t>
            </w:r>
          </w:p>
        </w:tc>
        <w:tc>
          <w:tcPr>
            <w:tcW w:w="3880" w:type="dxa"/>
            <w:tcBorders>
              <w:bottom w:val="single" w:sz="4" w:space="0" w:color="142855" w:themeColor="text2"/>
            </w:tcBorders>
            <w:hideMark/>
          </w:tcPr>
          <w:p w14:paraId="68B5F772"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Innovate UK provides grant funding of between £25,000 and £10 million for all sizes of business, from new companies to large multi-nationals. </w:t>
            </w:r>
            <w:r w:rsidRPr="00F34274">
              <w:rPr>
                <w:rFonts w:eastAsia="Arial" w:cs="Arial"/>
              </w:rPr>
              <w:lastRenderedPageBreak/>
              <w:t xml:space="preserve">Innovation loans are loans of between £100,000 and £1 million provided to UK-based firms only to carry out later-stage research and development projects.  </w:t>
            </w:r>
          </w:p>
        </w:tc>
        <w:tc>
          <w:tcPr>
            <w:tcW w:w="2844" w:type="dxa"/>
            <w:tcBorders>
              <w:bottom w:val="single" w:sz="4" w:space="0" w:color="142855" w:themeColor="text2"/>
            </w:tcBorders>
            <w:hideMark/>
          </w:tcPr>
          <w:p w14:paraId="27E2BD10"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lastRenderedPageBreak/>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Innovate UK</w:t>
            </w:r>
          </w:p>
        </w:tc>
      </w:tr>
      <w:tr w:rsidR="00270A72" w:rsidRPr="00F34274" w14:paraId="74ACE8B2" w14:textId="77777777" w:rsidTr="00313B64">
        <w:trPr>
          <w:cantSplit/>
          <w:trHeight w:val="112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noWrap/>
            <w:hideMark/>
          </w:tcPr>
          <w:p w14:paraId="69070977" w14:textId="77777777" w:rsidR="00270A72" w:rsidRPr="00F34274" w:rsidRDefault="00270A72" w:rsidP="00270A72">
            <w:pPr>
              <w:rPr>
                <w:rFonts w:eastAsia="Arial" w:cs="Arial"/>
              </w:rPr>
            </w:pPr>
            <w:r w:rsidRPr="00F34274">
              <w:rPr>
                <w:rFonts w:eastAsia="Arial" w:cs="Arial"/>
              </w:rPr>
              <w:t>Innovation Vouchers</w:t>
            </w:r>
          </w:p>
        </w:tc>
        <w:tc>
          <w:tcPr>
            <w:tcW w:w="3880" w:type="dxa"/>
            <w:tcBorders>
              <w:top w:val="single" w:sz="4" w:space="0" w:color="142855" w:themeColor="text2"/>
              <w:bottom w:val="single" w:sz="4" w:space="0" w:color="142855" w:themeColor="text2"/>
            </w:tcBorders>
            <w:hideMark/>
          </w:tcPr>
          <w:p w14:paraId="4E02F9C3"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Through the Innovation Vouchers scheme, Innovate UK offers up to £5,000 towards the cost of expert advice if you are running </w:t>
            </w:r>
            <w:proofErr w:type="gramStart"/>
            <w:r w:rsidRPr="00F34274">
              <w:rPr>
                <w:rFonts w:eastAsia="Arial" w:cs="Arial"/>
              </w:rPr>
              <w:t>an</w:t>
            </w:r>
            <w:proofErr w:type="gramEnd"/>
            <w:r w:rsidRPr="00F34274">
              <w:rPr>
                <w:rFonts w:eastAsia="Arial" w:cs="Arial"/>
              </w:rPr>
              <w:t xml:space="preserve"> firm – or just starting up. The funding encourages small businesses to seek out fresh knowledge that can help them to grow and develop.</w:t>
            </w:r>
            <w:r w:rsidRPr="00F34274">
              <w:rPr>
                <w:rFonts w:eastAsia="Arial" w:cs="Arial"/>
              </w:rPr>
              <w:br/>
              <w:t xml:space="preserve"> </w:t>
            </w:r>
          </w:p>
        </w:tc>
        <w:tc>
          <w:tcPr>
            <w:tcW w:w="2844" w:type="dxa"/>
            <w:tcBorders>
              <w:top w:val="single" w:sz="4" w:space="0" w:color="142855" w:themeColor="text2"/>
              <w:bottom w:val="single" w:sz="4" w:space="0" w:color="142855" w:themeColor="text2"/>
            </w:tcBorders>
            <w:hideMark/>
          </w:tcPr>
          <w:p w14:paraId="63349E61"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Innovate UK</w:t>
            </w:r>
          </w:p>
        </w:tc>
      </w:tr>
      <w:tr w:rsidR="00270A72" w:rsidRPr="00F34274" w14:paraId="5FEE89BE" w14:textId="77777777" w:rsidTr="00313B6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noWrap/>
            <w:hideMark/>
          </w:tcPr>
          <w:p w14:paraId="2867DF5D" w14:textId="77777777" w:rsidR="00270A72" w:rsidRPr="00F34274" w:rsidRDefault="00270A72" w:rsidP="00270A72">
            <w:pPr>
              <w:rPr>
                <w:rFonts w:eastAsia="Arial" w:cs="Arial"/>
              </w:rPr>
            </w:pPr>
            <w:r w:rsidRPr="00F34274">
              <w:rPr>
                <w:rFonts w:eastAsia="Arial" w:cs="Arial"/>
              </w:rPr>
              <w:t>Knowledge Transfer Partnerships</w:t>
            </w:r>
          </w:p>
        </w:tc>
        <w:tc>
          <w:tcPr>
            <w:tcW w:w="3880" w:type="dxa"/>
            <w:tcBorders>
              <w:top w:val="single" w:sz="4" w:space="0" w:color="142855" w:themeColor="text2"/>
              <w:bottom w:val="single" w:sz="4" w:space="0" w:color="142855" w:themeColor="text2"/>
            </w:tcBorders>
            <w:hideMark/>
          </w:tcPr>
          <w:p w14:paraId="33F0BF70" w14:textId="4ADC854B"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Businesses participate in Knowledge Transfer Partnerships project so that Innovate UK can help them draw in academic expertise in their company. Innovate UK or other government co-</w:t>
            </w:r>
            <w:proofErr w:type="spellStart"/>
            <w:r w:rsidR="00450781" w:rsidRPr="00F34274">
              <w:rPr>
                <w:rFonts w:eastAsia="Arial" w:cs="Arial"/>
              </w:rPr>
              <w:t>funders</w:t>
            </w:r>
            <w:proofErr w:type="spellEnd"/>
            <w:r w:rsidRPr="00F34274">
              <w:rPr>
                <w:rFonts w:eastAsia="Arial" w:cs="Arial"/>
              </w:rPr>
              <w:t xml:space="preserve"> provide a grant covering 67% of the project cost for Small and Medium -Sized Enterprises and 50% for large companies.</w:t>
            </w:r>
          </w:p>
        </w:tc>
        <w:tc>
          <w:tcPr>
            <w:tcW w:w="2844" w:type="dxa"/>
            <w:tcBorders>
              <w:top w:val="single" w:sz="4" w:space="0" w:color="142855" w:themeColor="text2"/>
              <w:bottom w:val="single" w:sz="4" w:space="0" w:color="142855" w:themeColor="text2"/>
            </w:tcBorders>
            <w:hideMark/>
          </w:tcPr>
          <w:p w14:paraId="35ECFE8F" w14:textId="77777777" w:rsidR="00270A72" w:rsidRPr="00F34274" w:rsidRDefault="00270A72" w:rsidP="00270A7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r w:rsidRPr="00F34274">
              <w:rPr>
                <w:rFonts w:eastAsia="Arial" w:cs="Arial"/>
              </w:rPr>
              <w:t>/</w:t>
            </w:r>
            <w:r>
              <w:rPr>
                <w:rFonts w:eastAsia="Arial" w:cs="Arial"/>
              </w:rPr>
              <w:t xml:space="preserve"> </w:t>
            </w:r>
            <w:r w:rsidRPr="00F34274">
              <w:rPr>
                <w:rFonts w:eastAsia="Arial" w:cs="Arial"/>
              </w:rPr>
              <w:t xml:space="preserve">Innovate UK </w:t>
            </w:r>
          </w:p>
        </w:tc>
      </w:tr>
      <w:tr w:rsidR="00270A72" w:rsidRPr="00F34274" w14:paraId="1574E8B0" w14:textId="77777777" w:rsidTr="00313B64">
        <w:trPr>
          <w:trHeight w:val="56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42855" w:themeColor="text2"/>
              <w:bottom w:val="single" w:sz="4" w:space="0" w:color="142855" w:themeColor="text2"/>
            </w:tcBorders>
            <w:hideMark/>
          </w:tcPr>
          <w:p w14:paraId="5D271709" w14:textId="77777777" w:rsidR="00270A72" w:rsidRPr="00F34274" w:rsidRDefault="00270A72" w:rsidP="00270A72">
            <w:pPr>
              <w:rPr>
                <w:rFonts w:eastAsia="Arial" w:cs="Arial"/>
              </w:rPr>
            </w:pPr>
            <w:r w:rsidRPr="00F34274">
              <w:rPr>
                <w:rFonts w:eastAsia="Arial" w:cs="Arial"/>
              </w:rPr>
              <w:t>Enterprise Answers business loans</w:t>
            </w:r>
          </w:p>
        </w:tc>
        <w:tc>
          <w:tcPr>
            <w:tcW w:w="3880" w:type="dxa"/>
            <w:tcBorders>
              <w:top w:val="single" w:sz="4" w:space="0" w:color="142855" w:themeColor="text2"/>
              <w:bottom w:val="single" w:sz="4" w:space="0" w:color="142855" w:themeColor="text2"/>
            </w:tcBorders>
            <w:hideMark/>
          </w:tcPr>
          <w:p w14:paraId="3FABAC61"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This scheme provides business finance, advice, and support for businesses of all stage. Funding of £10,000 up to £150,000 is available.</w:t>
            </w:r>
          </w:p>
        </w:tc>
        <w:tc>
          <w:tcPr>
            <w:tcW w:w="2844" w:type="dxa"/>
            <w:tcBorders>
              <w:top w:val="single" w:sz="4" w:space="0" w:color="142855" w:themeColor="text2"/>
              <w:bottom w:val="single" w:sz="4" w:space="0" w:color="142855" w:themeColor="text2"/>
            </w:tcBorders>
            <w:hideMark/>
          </w:tcPr>
          <w:p w14:paraId="3800E599" w14:textId="77777777" w:rsidR="00270A72" w:rsidRPr="00F34274" w:rsidRDefault="00270A72" w:rsidP="00270A7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BEIS</w:t>
            </w:r>
            <w:r>
              <w:rPr>
                <w:rFonts w:eastAsia="Arial" w:cs="Arial"/>
              </w:rPr>
              <w:t xml:space="preserve"> (now DBT)</w:t>
            </w:r>
          </w:p>
        </w:tc>
      </w:tr>
    </w:tbl>
    <w:p w14:paraId="36BAA436" w14:textId="77777777" w:rsidR="00CD60C2" w:rsidRDefault="00CD60C2" w:rsidP="00957DB2">
      <w:pPr>
        <w:rPr>
          <w:rFonts w:eastAsia="Arial" w:cs="Arial"/>
          <w:color w:val="FFFFFF"/>
        </w:rPr>
      </w:pPr>
    </w:p>
    <w:p w14:paraId="051750B6" w14:textId="77777777" w:rsidR="00270A72" w:rsidRDefault="00270A72" w:rsidP="00957DB2">
      <w:pPr>
        <w:rPr>
          <w:rFonts w:eastAsia="Arial" w:cs="Arial"/>
          <w:color w:val="FFFFFF"/>
        </w:rPr>
      </w:pPr>
    </w:p>
    <w:p w14:paraId="4F10A5F7" w14:textId="77777777" w:rsidR="00270A72" w:rsidRDefault="00270A72" w:rsidP="00957DB2">
      <w:pPr>
        <w:rPr>
          <w:rFonts w:eastAsia="Arial" w:cs="Arial"/>
          <w:color w:val="FFFFFF"/>
        </w:rPr>
      </w:pPr>
    </w:p>
    <w:p w14:paraId="6C26D06A" w14:textId="77777777" w:rsidR="00270A72" w:rsidRDefault="00270A72" w:rsidP="00957DB2">
      <w:pPr>
        <w:rPr>
          <w:rFonts w:eastAsia="Arial" w:cs="Arial"/>
          <w:color w:val="FFFFFF"/>
        </w:rPr>
      </w:pPr>
    </w:p>
    <w:p w14:paraId="6E40DBC6" w14:textId="77777777" w:rsidR="00270A72" w:rsidRDefault="00270A72" w:rsidP="00957DB2">
      <w:pPr>
        <w:rPr>
          <w:rFonts w:eastAsia="Arial" w:cs="Arial"/>
          <w:color w:val="FFFFFF"/>
        </w:rPr>
      </w:pPr>
    </w:p>
    <w:p w14:paraId="62DFC335" w14:textId="209CF6DF" w:rsidR="00270A72" w:rsidRPr="00F34274" w:rsidRDefault="00270A72" w:rsidP="00784475">
      <w:pPr>
        <w:pStyle w:val="Heading2"/>
      </w:pPr>
      <w:bookmarkStart w:id="277" w:name="_Ref136445268"/>
      <w:bookmarkStart w:id="278" w:name="_Toc136592092"/>
      <w:bookmarkStart w:id="279" w:name="_Toc144830594"/>
      <w:bookmarkStart w:id="280" w:name="_Toc165482250"/>
      <w:bookmarkStart w:id="281" w:name="_Toc165497215"/>
      <w:r w:rsidRPr="00F34274">
        <w:lastRenderedPageBreak/>
        <w:t xml:space="preserve">Annex G: </w:t>
      </w:r>
      <w:bookmarkEnd w:id="277"/>
      <w:bookmarkEnd w:id="278"/>
      <w:bookmarkEnd w:id="279"/>
      <w:r w:rsidR="00D35503">
        <w:t>Technical Methodology</w:t>
      </w:r>
      <w:bookmarkEnd w:id="280"/>
      <w:bookmarkEnd w:id="281"/>
      <w:r w:rsidR="00D35503">
        <w:t xml:space="preserve"> </w:t>
      </w:r>
    </w:p>
    <w:p w14:paraId="3D50B8A6" w14:textId="77777777" w:rsidR="00270A72" w:rsidRPr="00F34274" w:rsidRDefault="00270A72" w:rsidP="00270A72">
      <w:pPr>
        <w:rPr>
          <w:rFonts w:eastAsia="Arial" w:cs="Arial"/>
          <w:b/>
          <w:bCs/>
        </w:rPr>
      </w:pPr>
      <w:r>
        <w:rPr>
          <w:rFonts w:eastAsia="Arial" w:cs="Arial"/>
          <w:b/>
          <w:bCs/>
        </w:rPr>
        <w:t>G</w:t>
      </w:r>
      <w:r w:rsidRPr="00F34274">
        <w:rPr>
          <w:rFonts w:eastAsia="Arial" w:cs="Arial"/>
          <w:b/>
          <w:bCs/>
        </w:rPr>
        <w:t xml:space="preserve">1. Introduction </w:t>
      </w:r>
    </w:p>
    <w:p w14:paraId="5CC87D76" w14:textId="77777777" w:rsidR="00270A72" w:rsidRPr="00F34274" w:rsidRDefault="00270A72" w:rsidP="00270A72">
      <w:pPr>
        <w:rPr>
          <w:rFonts w:eastAsia="Arial" w:cs="Arial"/>
        </w:rPr>
      </w:pPr>
      <w:r w:rsidRPr="00F34274">
        <w:rPr>
          <w:rFonts w:eastAsia="Arial" w:cs="Arial"/>
        </w:rPr>
        <w:t>The purpose of this method</w:t>
      </w:r>
      <w:r>
        <w:rPr>
          <w:rFonts w:eastAsia="Arial" w:cs="Arial"/>
        </w:rPr>
        <w:t>ology annex</w:t>
      </w:r>
      <w:r w:rsidRPr="00F34274">
        <w:rPr>
          <w:rFonts w:eastAsia="Arial" w:cs="Arial"/>
        </w:rPr>
        <w:t xml:space="preserve"> is to provide an overview of the data gathering and data preparation methods for the propensity score matching (PSM) and econometric modelling. The following sections will outline:</w:t>
      </w:r>
    </w:p>
    <w:p w14:paraId="12820ACF" w14:textId="77777777" w:rsidR="00270A72" w:rsidRPr="00F34274" w:rsidRDefault="00270A72" w:rsidP="00491364">
      <w:pPr>
        <w:numPr>
          <w:ilvl w:val="0"/>
          <w:numId w:val="46"/>
        </w:numPr>
        <w:rPr>
          <w:rFonts w:eastAsia="Arial" w:cs="Arial"/>
        </w:rPr>
      </w:pPr>
      <w:r w:rsidRPr="00F34274">
        <w:rPr>
          <w:rFonts w:eastAsia="Arial" w:cs="Arial"/>
        </w:rPr>
        <w:t>Data identification and sourcing methods</w:t>
      </w:r>
    </w:p>
    <w:p w14:paraId="21E5731B" w14:textId="77777777" w:rsidR="00270A72" w:rsidRPr="00F34274" w:rsidRDefault="00270A72" w:rsidP="00491364">
      <w:pPr>
        <w:numPr>
          <w:ilvl w:val="0"/>
          <w:numId w:val="46"/>
        </w:numPr>
        <w:rPr>
          <w:rFonts w:eastAsia="Arial" w:cs="Arial"/>
        </w:rPr>
      </w:pPr>
      <w:r w:rsidRPr="00F34274">
        <w:rPr>
          <w:rFonts w:eastAsia="Arial" w:cs="Arial"/>
        </w:rPr>
        <w:t>Data frame development in preparation for the following stages</w:t>
      </w:r>
    </w:p>
    <w:p w14:paraId="7A7D865B" w14:textId="49E43D2A" w:rsidR="00270A72" w:rsidRDefault="00270A72" w:rsidP="00491364">
      <w:pPr>
        <w:numPr>
          <w:ilvl w:val="0"/>
          <w:numId w:val="46"/>
        </w:numPr>
        <w:rPr>
          <w:rFonts w:eastAsia="Arial" w:cs="Arial"/>
        </w:rPr>
      </w:pPr>
      <w:r w:rsidRPr="00F34274">
        <w:rPr>
          <w:rFonts w:eastAsia="Arial" w:cs="Arial"/>
        </w:rPr>
        <w:t xml:space="preserve">Propensity Score Matching and econometrics </w:t>
      </w:r>
      <w:r w:rsidR="006B0B0B" w:rsidRPr="00F34274">
        <w:rPr>
          <w:rFonts w:eastAsia="Arial" w:cs="Arial"/>
        </w:rPr>
        <w:t>modelling.</w:t>
      </w:r>
      <w:r w:rsidRPr="00F34274">
        <w:rPr>
          <w:rFonts w:eastAsia="Arial" w:cs="Arial"/>
        </w:rPr>
        <w:t xml:space="preserve"> </w:t>
      </w:r>
    </w:p>
    <w:p w14:paraId="3C985010" w14:textId="77777777" w:rsidR="00270A72" w:rsidRPr="00F34274" w:rsidRDefault="00270A72" w:rsidP="00270A72">
      <w:pPr>
        <w:rPr>
          <w:rFonts w:eastAsia="Arial" w:cs="Arial"/>
          <w:b/>
          <w:bCs/>
        </w:rPr>
      </w:pPr>
      <w:r>
        <w:rPr>
          <w:rFonts w:eastAsia="Arial" w:cs="Arial"/>
          <w:b/>
          <w:bCs/>
        </w:rPr>
        <w:t>G</w:t>
      </w:r>
      <w:r w:rsidRPr="00F34274">
        <w:rPr>
          <w:rFonts w:eastAsia="Arial" w:cs="Arial"/>
          <w:b/>
          <w:bCs/>
        </w:rPr>
        <w:t xml:space="preserve">2. Data identification and sourcing </w:t>
      </w:r>
    </w:p>
    <w:p w14:paraId="3A444B28" w14:textId="40B78CAC" w:rsidR="00270A72" w:rsidRPr="00F34274" w:rsidRDefault="00270A72" w:rsidP="00270A72">
      <w:pPr>
        <w:rPr>
          <w:rFonts w:eastAsia="Arial" w:cs="Arial"/>
        </w:rPr>
      </w:pPr>
      <w:r w:rsidRPr="00F34274">
        <w:rPr>
          <w:rFonts w:eastAsia="Arial" w:cs="Arial"/>
        </w:rPr>
        <w:t xml:space="preserve">The first step in our approach was to source the databases that house data on the economic KPIs to be investigated. </w:t>
      </w:r>
    </w:p>
    <w:p w14:paraId="1382AE85" w14:textId="73DA165E" w:rsidR="00CD60C2" w:rsidRDefault="003C06F0" w:rsidP="00270A72">
      <w:pPr>
        <w:rPr>
          <w:rFonts w:eastAsia="Arial" w:cs="Arial"/>
        </w:rPr>
      </w:pPr>
      <w:r>
        <w:rPr>
          <w:rFonts w:eastAsia="Arial" w:cs="Arial"/>
        </w:rPr>
        <w:fldChar w:fldCharType="begin"/>
      </w:r>
      <w:r>
        <w:rPr>
          <w:rFonts w:eastAsia="Arial" w:cs="Arial"/>
        </w:rPr>
        <w:instrText xml:space="preserve"> REF _Ref145072941 \h </w:instrText>
      </w:r>
      <w:r>
        <w:rPr>
          <w:rFonts w:eastAsia="Arial" w:cs="Arial"/>
        </w:rPr>
      </w:r>
      <w:r>
        <w:rPr>
          <w:rFonts w:eastAsia="Arial" w:cs="Arial"/>
        </w:rPr>
        <w:fldChar w:fldCharType="separate"/>
      </w:r>
      <w:r w:rsidR="00BC412E" w:rsidRPr="00F34274">
        <w:rPr>
          <w:rFonts w:eastAsia="Arial" w:cs="Arial"/>
          <w:iCs/>
          <w:color w:val="555674"/>
          <w:szCs w:val="18"/>
        </w:rPr>
        <w:t xml:space="preserve">Table </w:t>
      </w:r>
      <w:r w:rsidR="00BC412E">
        <w:rPr>
          <w:rFonts w:eastAsia="Arial" w:cs="Arial"/>
          <w:iCs/>
          <w:noProof/>
          <w:color w:val="555674"/>
          <w:szCs w:val="18"/>
        </w:rPr>
        <w:t>16</w:t>
      </w:r>
      <w:r>
        <w:rPr>
          <w:rFonts w:eastAsia="Arial" w:cs="Arial"/>
        </w:rPr>
        <w:fldChar w:fldCharType="end"/>
      </w:r>
      <w:r w:rsidR="00270A72" w:rsidRPr="00F34274">
        <w:rPr>
          <w:rFonts w:eastAsia="Arial" w:cs="Arial"/>
        </w:rPr>
        <w:t xml:space="preserve"> below shows the KPIs and control variables that were identified with the corresponding database sources:</w:t>
      </w:r>
    </w:p>
    <w:p w14:paraId="176DE6EE" w14:textId="09C2D6FE" w:rsidR="00CD60C2" w:rsidRPr="00F34274" w:rsidRDefault="00CD60C2" w:rsidP="00957DB2">
      <w:pPr>
        <w:spacing w:before="120"/>
        <w:rPr>
          <w:rFonts w:eastAsia="Arial" w:cs="Arial"/>
          <w:iCs/>
          <w:color w:val="555674"/>
          <w:szCs w:val="18"/>
        </w:rPr>
      </w:pPr>
      <w:bookmarkStart w:id="282" w:name="_Ref145072941"/>
      <w:r w:rsidRPr="00F34274">
        <w:rPr>
          <w:rFonts w:eastAsia="Arial" w:cs="Arial"/>
          <w:iCs/>
          <w:color w:val="555674"/>
          <w:szCs w:val="18"/>
        </w:rPr>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16</w:t>
      </w:r>
      <w:r w:rsidRPr="00F34274">
        <w:rPr>
          <w:rFonts w:eastAsia="Arial" w:cs="Arial"/>
          <w:iCs/>
          <w:noProof/>
          <w:color w:val="555674"/>
          <w:szCs w:val="18"/>
        </w:rPr>
        <w:fldChar w:fldCharType="end"/>
      </w:r>
      <w:bookmarkEnd w:id="282"/>
      <w:r w:rsidRPr="00F34274">
        <w:rPr>
          <w:rFonts w:eastAsia="Arial" w:cs="Arial"/>
          <w:iCs/>
          <w:color w:val="555674"/>
          <w:szCs w:val="18"/>
        </w:rPr>
        <w:t>: KPIs, Matching covariates and Database sources</w:t>
      </w:r>
    </w:p>
    <w:tbl>
      <w:tblPr>
        <w:tblStyle w:val="PlainTable21"/>
        <w:tblW w:w="5000" w:type="pct"/>
        <w:tblBorders>
          <w:top w:val="none" w:sz="0" w:space="0" w:color="auto"/>
          <w:bottom w:val="none" w:sz="0" w:space="0" w:color="auto"/>
          <w:insideH w:val="single" w:sz="4" w:space="0" w:color="142855" w:themeColor="text2"/>
        </w:tblBorders>
        <w:tblLook w:val="04A0" w:firstRow="1" w:lastRow="0" w:firstColumn="1" w:lastColumn="0" w:noHBand="0" w:noVBand="1"/>
      </w:tblPr>
      <w:tblGrid>
        <w:gridCol w:w="3398"/>
        <w:gridCol w:w="3232"/>
        <w:gridCol w:w="100"/>
        <w:gridCol w:w="3132"/>
        <w:gridCol w:w="100"/>
      </w:tblGrid>
      <w:tr w:rsidR="00870D9C" w:rsidRPr="00F34274" w14:paraId="20CAFACC" w14:textId="77777777" w:rsidTr="004B1C7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6" w:type="pct"/>
          </w:tcPr>
          <w:p w14:paraId="0FDA45F3" w14:textId="77777777" w:rsidR="00870D9C" w:rsidRPr="00CD10A6" w:rsidRDefault="00870D9C" w:rsidP="00313B64">
            <w:pPr>
              <w:rPr>
                <w:rFonts w:eastAsia="Arial" w:cs="Arial"/>
                <w:color w:val="142855" w:themeColor="text2"/>
              </w:rPr>
            </w:pPr>
          </w:p>
        </w:tc>
        <w:tc>
          <w:tcPr>
            <w:tcW w:w="1672" w:type="pct"/>
            <w:gridSpan w:val="2"/>
            <w:hideMark/>
          </w:tcPr>
          <w:p w14:paraId="43BA22D7" w14:textId="77777777" w:rsidR="00870D9C" w:rsidRPr="00CD10A6" w:rsidRDefault="00870D9C"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Outcome measure (KPI)</w:t>
            </w:r>
          </w:p>
        </w:tc>
        <w:tc>
          <w:tcPr>
            <w:tcW w:w="1622" w:type="pct"/>
            <w:gridSpan w:val="2"/>
            <w:hideMark/>
          </w:tcPr>
          <w:p w14:paraId="56D76859" w14:textId="77777777" w:rsidR="00870D9C" w:rsidRPr="00CD10A6" w:rsidRDefault="00870D9C"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Data source</w:t>
            </w:r>
          </w:p>
        </w:tc>
      </w:tr>
      <w:tr w:rsidR="009906B7" w:rsidRPr="00F34274" w14:paraId="33601089" w14:textId="5AB73AED" w:rsidTr="00313B64">
        <w:trPr>
          <w:gridAfter w:val="1"/>
          <w:cnfStyle w:val="000000100000" w:firstRow="0" w:lastRow="0" w:firstColumn="0" w:lastColumn="0" w:oddVBand="0" w:evenVBand="0" w:oddHBand="1" w:evenHBand="0" w:firstRowFirstColumn="0" w:firstRowLastColumn="0" w:lastRowFirstColumn="0" w:lastRowLastColumn="0"/>
          <w:wAfter w:w="50" w:type="pct"/>
          <w:trHeight w:val="614"/>
        </w:trPr>
        <w:tc>
          <w:tcPr>
            <w:cnfStyle w:val="001000000000" w:firstRow="0" w:lastRow="0" w:firstColumn="1" w:lastColumn="0" w:oddVBand="0" w:evenVBand="0" w:oddHBand="0" w:evenHBand="0" w:firstRowFirstColumn="0" w:firstRowLastColumn="0" w:lastRowFirstColumn="0" w:lastRowLastColumn="0"/>
            <w:tcW w:w="1706" w:type="pct"/>
            <w:vMerge w:val="restart"/>
            <w:hideMark/>
          </w:tcPr>
          <w:p w14:paraId="26041D22" w14:textId="77777777" w:rsidR="009906B7" w:rsidRPr="00F34274" w:rsidRDefault="009906B7" w:rsidP="009906B7">
            <w:pPr>
              <w:rPr>
                <w:rFonts w:eastAsia="Arial" w:cs="Arial"/>
              </w:rPr>
            </w:pPr>
            <w:r w:rsidRPr="00F34274">
              <w:rPr>
                <w:rFonts w:eastAsia="Arial" w:cs="Arial"/>
              </w:rPr>
              <w:t>Business performance</w:t>
            </w:r>
          </w:p>
        </w:tc>
        <w:tc>
          <w:tcPr>
            <w:tcW w:w="1622" w:type="pct"/>
          </w:tcPr>
          <w:p w14:paraId="425C8A16" w14:textId="391AFC27" w:rsidR="009906B7" w:rsidRPr="00F34274" w:rsidRDefault="009906B7" w:rsidP="009906B7">
            <w:pPr>
              <w:spacing w:after="160" w:line="259" w:lineRule="auto"/>
              <w:cnfStyle w:val="000000100000" w:firstRow="0" w:lastRow="0" w:firstColumn="0" w:lastColumn="0" w:oddVBand="0" w:evenVBand="0" w:oddHBand="1" w:evenHBand="0" w:firstRowFirstColumn="0" w:firstRowLastColumn="0" w:lastRowFirstColumn="0" w:lastRowLastColumn="0"/>
            </w:pPr>
            <w:r w:rsidRPr="00F34274">
              <w:rPr>
                <w:rFonts w:eastAsia="Arial" w:cs="Arial"/>
              </w:rPr>
              <w:t>Turnover (in thousands)</w:t>
            </w:r>
          </w:p>
        </w:tc>
        <w:tc>
          <w:tcPr>
            <w:tcW w:w="1622" w:type="pct"/>
            <w:gridSpan w:val="2"/>
          </w:tcPr>
          <w:p w14:paraId="732A4EB9" w14:textId="5B484234" w:rsidR="009906B7" w:rsidRPr="00F34274" w:rsidRDefault="009906B7" w:rsidP="009906B7">
            <w:pPr>
              <w:spacing w:after="160" w:line="259" w:lineRule="auto"/>
              <w:cnfStyle w:val="000000100000" w:firstRow="0" w:lastRow="0" w:firstColumn="0" w:lastColumn="0" w:oddVBand="0" w:evenVBand="0" w:oddHBand="1" w:evenHBand="0" w:firstRowFirstColumn="0" w:firstRowLastColumn="0" w:lastRowFirstColumn="0" w:lastRowLastColumn="0"/>
            </w:pPr>
            <w:r w:rsidRPr="00F34274">
              <w:rPr>
                <w:rFonts w:eastAsia="Arial" w:cs="Arial"/>
              </w:rPr>
              <w:t>IDBR</w:t>
            </w:r>
          </w:p>
        </w:tc>
      </w:tr>
      <w:tr w:rsidR="009906B7" w:rsidRPr="00F34274" w14:paraId="3F156305"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7672B78" w14:textId="77777777" w:rsidR="009906B7" w:rsidRPr="00F34274" w:rsidRDefault="009906B7" w:rsidP="009906B7">
            <w:pPr>
              <w:rPr>
                <w:rFonts w:eastAsia="Arial" w:cs="Arial"/>
              </w:rPr>
            </w:pPr>
          </w:p>
        </w:tc>
        <w:tc>
          <w:tcPr>
            <w:tcW w:w="1672" w:type="pct"/>
            <w:gridSpan w:val="2"/>
          </w:tcPr>
          <w:p w14:paraId="1BFB49F3" w14:textId="5C9C7D25"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Employment</w:t>
            </w:r>
          </w:p>
        </w:tc>
        <w:tc>
          <w:tcPr>
            <w:tcW w:w="1622" w:type="pct"/>
            <w:gridSpan w:val="2"/>
          </w:tcPr>
          <w:p w14:paraId="1250C154" w14:textId="7A79EC66"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IDBR</w:t>
            </w:r>
          </w:p>
        </w:tc>
      </w:tr>
      <w:tr w:rsidR="009906B7" w:rsidRPr="00F34274" w14:paraId="0CB0FF83"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28496CD" w14:textId="77777777" w:rsidR="009906B7" w:rsidRPr="00F34274" w:rsidRDefault="009906B7" w:rsidP="009906B7">
            <w:pPr>
              <w:rPr>
                <w:rFonts w:eastAsia="Arial" w:cs="Arial"/>
              </w:rPr>
            </w:pPr>
          </w:p>
        </w:tc>
        <w:tc>
          <w:tcPr>
            <w:tcW w:w="1672" w:type="pct"/>
            <w:gridSpan w:val="2"/>
          </w:tcPr>
          <w:p w14:paraId="239A041A" w14:textId="326EFDD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Business Survival</w:t>
            </w:r>
          </w:p>
        </w:tc>
        <w:tc>
          <w:tcPr>
            <w:tcW w:w="1622" w:type="pct"/>
            <w:gridSpan w:val="2"/>
          </w:tcPr>
          <w:p w14:paraId="669C13D0" w14:textId="670CF373"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2E7946E2"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D46FC1C" w14:textId="77777777" w:rsidR="009906B7" w:rsidRPr="00F34274" w:rsidRDefault="009906B7" w:rsidP="009906B7">
            <w:pPr>
              <w:rPr>
                <w:rFonts w:eastAsia="Arial" w:cs="Arial"/>
              </w:rPr>
            </w:pPr>
          </w:p>
        </w:tc>
        <w:tc>
          <w:tcPr>
            <w:tcW w:w="1672" w:type="pct"/>
            <w:gridSpan w:val="2"/>
          </w:tcPr>
          <w:p w14:paraId="2742AEDE" w14:textId="76E47484"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Fundraisings </w:t>
            </w:r>
          </w:p>
        </w:tc>
        <w:tc>
          <w:tcPr>
            <w:tcW w:w="1622" w:type="pct"/>
            <w:gridSpan w:val="2"/>
          </w:tcPr>
          <w:p w14:paraId="443B3551" w14:textId="3556E1D1"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1E1E3FA6"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DA11980" w14:textId="77777777" w:rsidR="009906B7" w:rsidRPr="00F34274" w:rsidRDefault="009906B7" w:rsidP="009906B7">
            <w:pPr>
              <w:rPr>
                <w:rFonts w:eastAsia="Arial" w:cs="Arial"/>
              </w:rPr>
            </w:pPr>
          </w:p>
        </w:tc>
        <w:tc>
          <w:tcPr>
            <w:tcW w:w="1672" w:type="pct"/>
            <w:gridSpan w:val="2"/>
          </w:tcPr>
          <w:p w14:paraId="285C35B1" w14:textId="6121DE20"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Business Valuation/ valuation ratio</w:t>
            </w:r>
          </w:p>
        </w:tc>
        <w:tc>
          <w:tcPr>
            <w:tcW w:w="1622" w:type="pct"/>
            <w:gridSpan w:val="2"/>
          </w:tcPr>
          <w:p w14:paraId="74849A3E" w14:textId="6B534B3D"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513C415D"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1706" w:type="pct"/>
            <w:vMerge w:val="restart"/>
            <w:tcBorders>
              <w:top w:val="single" w:sz="4" w:space="0" w:color="142855" w:themeColor="text2"/>
              <w:bottom w:val="single" w:sz="4" w:space="0" w:color="142855" w:themeColor="text2"/>
            </w:tcBorders>
            <w:hideMark/>
          </w:tcPr>
          <w:p w14:paraId="0934A54B" w14:textId="77777777" w:rsidR="009906B7" w:rsidRPr="00F34274" w:rsidRDefault="009906B7" w:rsidP="009906B7">
            <w:pPr>
              <w:rPr>
                <w:rFonts w:eastAsia="Arial" w:cs="Arial"/>
              </w:rPr>
            </w:pPr>
            <w:r w:rsidRPr="00F34274">
              <w:rPr>
                <w:rFonts w:eastAsia="Arial" w:cs="Arial"/>
              </w:rPr>
              <w:t>Business features</w:t>
            </w:r>
          </w:p>
        </w:tc>
        <w:tc>
          <w:tcPr>
            <w:tcW w:w="1672" w:type="pct"/>
            <w:gridSpan w:val="2"/>
            <w:tcBorders>
              <w:top w:val="single" w:sz="4" w:space="0" w:color="142855" w:themeColor="text2"/>
              <w:bottom w:val="single" w:sz="4" w:space="0" w:color="142855" w:themeColor="text2"/>
            </w:tcBorders>
            <w:hideMark/>
          </w:tcPr>
          <w:p w14:paraId="43B5E23F"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Latest credit rating</w:t>
            </w:r>
          </w:p>
        </w:tc>
        <w:tc>
          <w:tcPr>
            <w:tcW w:w="1622" w:type="pct"/>
            <w:gridSpan w:val="2"/>
            <w:tcBorders>
              <w:top w:val="single" w:sz="4" w:space="0" w:color="142855" w:themeColor="text2"/>
              <w:bottom w:val="single" w:sz="4" w:space="0" w:color="142855" w:themeColor="text2"/>
            </w:tcBorders>
            <w:hideMark/>
          </w:tcPr>
          <w:p w14:paraId="33B566FA"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1EAAA465"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42855" w:themeColor="text2"/>
            </w:tcBorders>
            <w:hideMark/>
          </w:tcPr>
          <w:p w14:paraId="0FA45DA3" w14:textId="77777777" w:rsidR="009906B7" w:rsidRPr="00F34274" w:rsidRDefault="009906B7" w:rsidP="009906B7">
            <w:pPr>
              <w:rPr>
                <w:rFonts w:eastAsia="Arial" w:cs="Arial"/>
              </w:rPr>
            </w:pPr>
          </w:p>
        </w:tc>
        <w:tc>
          <w:tcPr>
            <w:tcW w:w="1672" w:type="pct"/>
            <w:gridSpan w:val="2"/>
            <w:tcBorders>
              <w:top w:val="single" w:sz="4" w:space="0" w:color="142855" w:themeColor="text2"/>
            </w:tcBorders>
            <w:hideMark/>
          </w:tcPr>
          <w:p w14:paraId="2FA8E951"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Company house status</w:t>
            </w:r>
          </w:p>
        </w:tc>
        <w:tc>
          <w:tcPr>
            <w:tcW w:w="1622" w:type="pct"/>
            <w:gridSpan w:val="2"/>
            <w:tcBorders>
              <w:top w:val="single" w:sz="4" w:space="0" w:color="142855" w:themeColor="text2"/>
            </w:tcBorders>
            <w:hideMark/>
          </w:tcPr>
          <w:p w14:paraId="7E0B9D9E"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1EBEE9C3"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1371830C" w14:textId="77777777" w:rsidR="009906B7" w:rsidRPr="00F34274" w:rsidRDefault="009906B7" w:rsidP="009906B7">
            <w:pPr>
              <w:rPr>
                <w:rFonts w:eastAsia="Arial" w:cs="Arial"/>
              </w:rPr>
            </w:pPr>
          </w:p>
        </w:tc>
        <w:tc>
          <w:tcPr>
            <w:tcW w:w="1672" w:type="pct"/>
            <w:gridSpan w:val="2"/>
            <w:hideMark/>
          </w:tcPr>
          <w:p w14:paraId="04BD1A5C"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Overall Covid-19 status</w:t>
            </w:r>
          </w:p>
        </w:tc>
        <w:tc>
          <w:tcPr>
            <w:tcW w:w="1622" w:type="pct"/>
            <w:gridSpan w:val="2"/>
            <w:hideMark/>
          </w:tcPr>
          <w:p w14:paraId="65A8FB55"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42D56A67"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1D1A9750" w14:textId="77777777" w:rsidR="009906B7" w:rsidRPr="00F34274" w:rsidRDefault="009906B7" w:rsidP="009906B7">
            <w:pPr>
              <w:rPr>
                <w:rFonts w:eastAsia="Arial" w:cs="Arial"/>
              </w:rPr>
            </w:pPr>
          </w:p>
        </w:tc>
        <w:tc>
          <w:tcPr>
            <w:tcW w:w="1672" w:type="pct"/>
            <w:gridSpan w:val="2"/>
            <w:hideMark/>
          </w:tcPr>
          <w:p w14:paraId="202B97C1"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Current stage of evolution</w:t>
            </w:r>
          </w:p>
        </w:tc>
        <w:tc>
          <w:tcPr>
            <w:tcW w:w="1622" w:type="pct"/>
            <w:gridSpan w:val="2"/>
            <w:hideMark/>
          </w:tcPr>
          <w:p w14:paraId="436989BA"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065C21E7"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105FD65A" w14:textId="77777777" w:rsidR="009906B7" w:rsidRPr="00F34274" w:rsidRDefault="009906B7" w:rsidP="009906B7">
            <w:pPr>
              <w:rPr>
                <w:rFonts w:eastAsia="Arial" w:cs="Arial"/>
              </w:rPr>
            </w:pPr>
          </w:p>
        </w:tc>
        <w:tc>
          <w:tcPr>
            <w:tcW w:w="1672" w:type="pct"/>
            <w:gridSpan w:val="2"/>
            <w:hideMark/>
          </w:tcPr>
          <w:p w14:paraId="47AEE182"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Furlough scheme participation </w:t>
            </w:r>
          </w:p>
        </w:tc>
        <w:tc>
          <w:tcPr>
            <w:tcW w:w="1622" w:type="pct"/>
            <w:gridSpan w:val="2"/>
            <w:hideMark/>
          </w:tcPr>
          <w:p w14:paraId="1B0E1584"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59953070"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178D5032" w14:textId="77777777" w:rsidR="009906B7" w:rsidRPr="00F34274" w:rsidRDefault="009906B7" w:rsidP="009906B7">
            <w:pPr>
              <w:rPr>
                <w:rFonts w:eastAsia="Arial" w:cs="Arial"/>
              </w:rPr>
            </w:pPr>
          </w:p>
        </w:tc>
        <w:tc>
          <w:tcPr>
            <w:tcW w:w="1672" w:type="pct"/>
            <w:gridSpan w:val="2"/>
            <w:hideMark/>
          </w:tcPr>
          <w:p w14:paraId="234A4743"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Total Fundraising since incorporation</w:t>
            </w:r>
          </w:p>
        </w:tc>
        <w:tc>
          <w:tcPr>
            <w:tcW w:w="1622" w:type="pct"/>
            <w:gridSpan w:val="2"/>
            <w:hideMark/>
          </w:tcPr>
          <w:p w14:paraId="739C988C"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4CB0FCD8"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4B702303" w14:textId="77777777" w:rsidR="009906B7" w:rsidRPr="00F34274" w:rsidRDefault="009906B7" w:rsidP="009906B7">
            <w:pPr>
              <w:rPr>
                <w:rFonts w:eastAsia="Arial" w:cs="Arial"/>
              </w:rPr>
            </w:pPr>
          </w:p>
        </w:tc>
        <w:tc>
          <w:tcPr>
            <w:tcW w:w="1672" w:type="pct"/>
            <w:gridSpan w:val="2"/>
            <w:hideMark/>
          </w:tcPr>
          <w:p w14:paraId="27FBFA44"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Company age</w:t>
            </w:r>
          </w:p>
        </w:tc>
        <w:tc>
          <w:tcPr>
            <w:tcW w:w="1622" w:type="pct"/>
            <w:gridSpan w:val="2"/>
            <w:hideMark/>
          </w:tcPr>
          <w:p w14:paraId="08BCC3D2"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03D1F691"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CE0D518" w14:textId="77777777" w:rsidR="009906B7" w:rsidRPr="00F34274" w:rsidRDefault="009906B7" w:rsidP="009906B7">
            <w:pPr>
              <w:rPr>
                <w:rFonts w:eastAsia="Arial" w:cs="Arial"/>
              </w:rPr>
            </w:pPr>
          </w:p>
        </w:tc>
        <w:tc>
          <w:tcPr>
            <w:tcW w:w="1672" w:type="pct"/>
            <w:gridSpan w:val="2"/>
            <w:hideMark/>
          </w:tcPr>
          <w:p w14:paraId="185BBF68"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Buzzwords according to </w:t>
            </w:r>
            <w:proofErr w:type="spellStart"/>
            <w:r w:rsidRPr="00F34274">
              <w:rPr>
                <w:rFonts w:eastAsia="Arial" w:cs="Arial"/>
              </w:rPr>
              <w:t>Beauhurst</w:t>
            </w:r>
            <w:proofErr w:type="spellEnd"/>
            <w:r w:rsidRPr="00F34274">
              <w:rPr>
                <w:rFonts w:eastAsia="Arial" w:cs="Arial"/>
              </w:rPr>
              <w:t xml:space="preserve"> definition</w:t>
            </w:r>
          </w:p>
        </w:tc>
        <w:tc>
          <w:tcPr>
            <w:tcW w:w="1622" w:type="pct"/>
            <w:gridSpan w:val="2"/>
            <w:hideMark/>
          </w:tcPr>
          <w:p w14:paraId="12CAA96A"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312BF7AA"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28ECCEDA" w14:textId="77777777" w:rsidR="009906B7" w:rsidRPr="00F34274" w:rsidRDefault="009906B7" w:rsidP="009906B7">
            <w:pPr>
              <w:rPr>
                <w:rFonts w:eastAsia="Arial" w:cs="Arial"/>
              </w:rPr>
            </w:pPr>
          </w:p>
        </w:tc>
        <w:tc>
          <w:tcPr>
            <w:tcW w:w="1672" w:type="pct"/>
            <w:gridSpan w:val="2"/>
            <w:hideMark/>
          </w:tcPr>
          <w:p w14:paraId="1FC84130"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Number of grants received by the companies</w:t>
            </w:r>
          </w:p>
        </w:tc>
        <w:tc>
          <w:tcPr>
            <w:tcW w:w="1622" w:type="pct"/>
            <w:gridSpan w:val="2"/>
            <w:hideMark/>
          </w:tcPr>
          <w:p w14:paraId="6079868F"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291706A8"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C8F4D1" w14:textId="77777777" w:rsidR="009906B7" w:rsidRPr="00F34274" w:rsidRDefault="009906B7" w:rsidP="009906B7">
            <w:pPr>
              <w:rPr>
                <w:rFonts w:eastAsia="Arial" w:cs="Arial"/>
              </w:rPr>
            </w:pPr>
          </w:p>
        </w:tc>
        <w:tc>
          <w:tcPr>
            <w:tcW w:w="1672" w:type="pct"/>
            <w:gridSpan w:val="2"/>
            <w:hideMark/>
          </w:tcPr>
          <w:p w14:paraId="7E6501BD"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High growth list featuring </w:t>
            </w:r>
          </w:p>
        </w:tc>
        <w:tc>
          <w:tcPr>
            <w:tcW w:w="1622" w:type="pct"/>
            <w:gridSpan w:val="2"/>
            <w:hideMark/>
          </w:tcPr>
          <w:p w14:paraId="0400ADC5"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53CF7676"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3671553" w14:textId="77777777" w:rsidR="009906B7" w:rsidRPr="00F34274" w:rsidRDefault="009906B7" w:rsidP="009906B7">
            <w:pPr>
              <w:rPr>
                <w:rFonts w:eastAsia="Arial" w:cs="Arial"/>
              </w:rPr>
            </w:pPr>
          </w:p>
        </w:tc>
        <w:tc>
          <w:tcPr>
            <w:tcW w:w="1672" w:type="pct"/>
            <w:gridSpan w:val="2"/>
            <w:hideMark/>
          </w:tcPr>
          <w:p w14:paraId="54A9F721"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Accelerator Programme participation</w:t>
            </w:r>
          </w:p>
        </w:tc>
        <w:tc>
          <w:tcPr>
            <w:tcW w:w="1622" w:type="pct"/>
            <w:gridSpan w:val="2"/>
            <w:hideMark/>
          </w:tcPr>
          <w:p w14:paraId="177A8F12"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28D736FB"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59006D4C" w14:textId="77777777" w:rsidR="009906B7" w:rsidRPr="00F34274" w:rsidRDefault="009906B7" w:rsidP="009906B7">
            <w:pPr>
              <w:rPr>
                <w:rFonts w:eastAsia="Arial" w:cs="Arial"/>
              </w:rPr>
            </w:pPr>
          </w:p>
        </w:tc>
        <w:tc>
          <w:tcPr>
            <w:tcW w:w="1672" w:type="pct"/>
            <w:gridSpan w:val="2"/>
            <w:hideMark/>
          </w:tcPr>
          <w:p w14:paraId="006DF40D"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 xml:space="preserve">Sectors according to </w:t>
            </w:r>
            <w:proofErr w:type="spellStart"/>
            <w:r w:rsidRPr="00F34274">
              <w:rPr>
                <w:rFonts w:eastAsia="Arial" w:cs="Arial"/>
              </w:rPr>
              <w:t>Beauhurst</w:t>
            </w:r>
            <w:proofErr w:type="spellEnd"/>
            <w:r w:rsidRPr="00F34274">
              <w:rPr>
                <w:rFonts w:eastAsia="Arial" w:cs="Arial"/>
              </w:rPr>
              <w:t xml:space="preserve"> definition </w:t>
            </w:r>
          </w:p>
        </w:tc>
        <w:tc>
          <w:tcPr>
            <w:tcW w:w="1622" w:type="pct"/>
            <w:gridSpan w:val="2"/>
            <w:hideMark/>
          </w:tcPr>
          <w:p w14:paraId="1538385E"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25CE8DAE"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63650F70" w14:textId="77777777" w:rsidR="009906B7" w:rsidRPr="00F34274" w:rsidRDefault="009906B7" w:rsidP="009906B7">
            <w:pPr>
              <w:rPr>
                <w:rFonts w:eastAsia="Arial" w:cs="Arial"/>
              </w:rPr>
            </w:pPr>
          </w:p>
        </w:tc>
        <w:tc>
          <w:tcPr>
            <w:tcW w:w="1672" w:type="pct"/>
            <w:gridSpan w:val="2"/>
            <w:hideMark/>
          </w:tcPr>
          <w:p w14:paraId="370E327D"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Target markets</w:t>
            </w:r>
          </w:p>
        </w:tc>
        <w:tc>
          <w:tcPr>
            <w:tcW w:w="1622" w:type="pct"/>
            <w:gridSpan w:val="2"/>
            <w:hideMark/>
          </w:tcPr>
          <w:p w14:paraId="36B3ABB2"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6F74DB0A"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01E00AA" w14:textId="77777777" w:rsidR="009906B7" w:rsidRPr="00F34274" w:rsidRDefault="009906B7" w:rsidP="009906B7">
            <w:pPr>
              <w:rPr>
                <w:rFonts w:eastAsia="Arial" w:cs="Arial"/>
              </w:rPr>
            </w:pPr>
          </w:p>
        </w:tc>
        <w:tc>
          <w:tcPr>
            <w:tcW w:w="1672" w:type="pct"/>
            <w:gridSpan w:val="2"/>
            <w:hideMark/>
          </w:tcPr>
          <w:p w14:paraId="1A0C32EE"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Tracking reasons</w:t>
            </w:r>
          </w:p>
        </w:tc>
        <w:tc>
          <w:tcPr>
            <w:tcW w:w="1622" w:type="pct"/>
            <w:gridSpan w:val="2"/>
            <w:hideMark/>
          </w:tcPr>
          <w:p w14:paraId="610A9EA4"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3C2EEDA9"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103FC66" w14:textId="77777777" w:rsidR="009906B7" w:rsidRPr="00F34274" w:rsidRDefault="009906B7" w:rsidP="009906B7">
            <w:pPr>
              <w:rPr>
                <w:rFonts w:eastAsia="Arial" w:cs="Arial"/>
              </w:rPr>
            </w:pPr>
          </w:p>
        </w:tc>
        <w:tc>
          <w:tcPr>
            <w:tcW w:w="1672" w:type="pct"/>
            <w:gridSpan w:val="2"/>
            <w:hideMark/>
          </w:tcPr>
          <w:p w14:paraId="40F6D94E"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firm Status</w:t>
            </w:r>
          </w:p>
        </w:tc>
        <w:tc>
          <w:tcPr>
            <w:tcW w:w="1622" w:type="pct"/>
            <w:gridSpan w:val="2"/>
            <w:hideMark/>
          </w:tcPr>
          <w:p w14:paraId="58FB4FBD"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334A06AE"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6F604ABA" w14:textId="77777777" w:rsidR="009906B7" w:rsidRPr="00F34274" w:rsidRDefault="009906B7" w:rsidP="009906B7">
            <w:pPr>
              <w:rPr>
                <w:rFonts w:eastAsia="Arial" w:cs="Arial"/>
              </w:rPr>
            </w:pPr>
          </w:p>
        </w:tc>
        <w:tc>
          <w:tcPr>
            <w:tcW w:w="1672" w:type="pct"/>
            <w:gridSpan w:val="2"/>
            <w:hideMark/>
          </w:tcPr>
          <w:p w14:paraId="5C1FB5B5"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Director gender balance</w:t>
            </w:r>
          </w:p>
        </w:tc>
        <w:tc>
          <w:tcPr>
            <w:tcW w:w="1622" w:type="pct"/>
            <w:gridSpan w:val="2"/>
            <w:hideMark/>
          </w:tcPr>
          <w:p w14:paraId="478ACF93"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14FB8188"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9EF179B" w14:textId="77777777" w:rsidR="009906B7" w:rsidRPr="00F34274" w:rsidRDefault="009906B7" w:rsidP="009906B7">
            <w:pPr>
              <w:rPr>
                <w:rFonts w:eastAsia="Arial" w:cs="Arial"/>
              </w:rPr>
            </w:pPr>
          </w:p>
        </w:tc>
        <w:tc>
          <w:tcPr>
            <w:tcW w:w="1672" w:type="pct"/>
            <w:gridSpan w:val="2"/>
            <w:hideMark/>
          </w:tcPr>
          <w:p w14:paraId="24695958"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Founder gender balance</w:t>
            </w:r>
          </w:p>
        </w:tc>
        <w:tc>
          <w:tcPr>
            <w:tcW w:w="1622" w:type="pct"/>
            <w:gridSpan w:val="2"/>
            <w:hideMark/>
          </w:tcPr>
          <w:p w14:paraId="78955C1B"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092DF66B"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FA4EC7E" w14:textId="77777777" w:rsidR="009906B7" w:rsidRPr="00F34274" w:rsidRDefault="009906B7" w:rsidP="009906B7">
            <w:pPr>
              <w:rPr>
                <w:rFonts w:eastAsia="Arial" w:cs="Arial"/>
              </w:rPr>
            </w:pPr>
          </w:p>
        </w:tc>
        <w:tc>
          <w:tcPr>
            <w:tcW w:w="1672" w:type="pct"/>
            <w:gridSpan w:val="2"/>
            <w:tcBorders>
              <w:bottom w:val="single" w:sz="4" w:space="0" w:color="142855" w:themeColor="text2"/>
            </w:tcBorders>
            <w:hideMark/>
          </w:tcPr>
          <w:p w14:paraId="45114616"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Key people gender balance</w:t>
            </w:r>
          </w:p>
        </w:tc>
        <w:tc>
          <w:tcPr>
            <w:tcW w:w="1622" w:type="pct"/>
            <w:gridSpan w:val="2"/>
            <w:tcBorders>
              <w:bottom w:val="single" w:sz="4" w:space="0" w:color="142855" w:themeColor="text2"/>
            </w:tcBorders>
            <w:hideMark/>
          </w:tcPr>
          <w:p w14:paraId="42BA8931"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proofErr w:type="spellStart"/>
            <w:r w:rsidRPr="00F34274">
              <w:rPr>
                <w:rFonts w:eastAsia="Arial" w:cs="Arial"/>
              </w:rPr>
              <w:t>Beauhurst</w:t>
            </w:r>
            <w:proofErr w:type="spellEnd"/>
          </w:p>
        </w:tc>
      </w:tr>
      <w:tr w:rsidR="009906B7" w:rsidRPr="00F34274" w14:paraId="0FB4207C" w14:textId="77777777" w:rsidTr="004B1C7A">
        <w:trPr>
          <w:trHeight w:val="2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42855" w:themeColor="text2"/>
            </w:tcBorders>
            <w:hideMark/>
          </w:tcPr>
          <w:p w14:paraId="435323A3" w14:textId="77777777" w:rsidR="009906B7" w:rsidRPr="00F34274" w:rsidRDefault="009906B7" w:rsidP="009906B7">
            <w:pPr>
              <w:rPr>
                <w:rFonts w:eastAsia="Arial" w:cs="Arial"/>
              </w:rPr>
            </w:pPr>
          </w:p>
        </w:tc>
        <w:tc>
          <w:tcPr>
            <w:tcW w:w="1672" w:type="pct"/>
            <w:gridSpan w:val="2"/>
            <w:tcBorders>
              <w:top w:val="single" w:sz="4" w:space="0" w:color="142855" w:themeColor="text2"/>
              <w:bottom w:val="single" w:sz="4" w:space="0" w:color="142855" w:themeColor="text2"/>
            </w:tcBorders>
            <w:hideMark/>
          </w:tcPr>
          <w:p w14:paraId="678B09F7"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 xml:space="preserve">Participation in: Angel </w:t>
            </w:r>
            <w:proofErr w:type="spellStart"/>
            <w:r w:rsidRPr="00F34274">
              <w:rPr>
                <w:rFonts w:eastAsia="Arial" w:cs="Arial"/>
              </w:rPr>
              <w:t>CoFund</w:t>
            </w:r>
            <w:proofErr w:type="spellEnd"/>
            <w:r w:rsidRPr="00F34274">
              <w:rPr>
                <w:rFonts w:eastAsia="Arial" w:cs="Arial"/>
              </w:rPr>
              <w:t>, Future Fund, BBLS, and CBILS</w:t>
            </w:r>
          </w:p>
        </w:tc>
        <w:tc>
          <w:tcPr>
            <w:tcW w:w="1622" w:type="pct"/>
            <w:gridSpan w:val="2"/>
            <w:tcBorders>
              <w:top w:val="single" w:sz="4" w:space="0" w:color="142855" w:themeColor="text2"/>
              <w:bottom w:val="single" w:sz="4" w:space="0" w:color="142855" w:themeColor="text2"/>
            </w:tcBorders>
            <w:hideMark/>
          </w:tcPr>
          <w:p w14:paraId="5C0A3C32" w14:textId="77777777" w:rsidR="009906B7" w:rsidRPr="00F34274"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British Business Bank</w:t>
            </w:r>
          </w:p>
        </w:tc>
      </w:tr>
      <w:tr w:rsidR="009906B7" w:rsidRPr="00F34274" w14:paraId="4DFA902C" w14:textId="77777777" w:rsidTr="004B1C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hideMark/>
          </w:tcPr>
          <w:p w14:paraId="0C4EF21E" w14:textId="77777777" w:rsidR="009906B7" w:rsidRPr="00F34274" w:rsidRDefault="009906B7" w:rsidP="009906B7">
            <w:pPr>
              <w:rPr>
                <w:rFonts w:eastAsia="Arial" w:cs="Arial"/>
              </w:rPr>
            </w:pPr>
          </w:p>
        </w:tc>
        <w:tc>
          <w:tcPr>
            <w:tcW w:w="1672" w:type="pct"/>
            <w:gridSpan w:val="2"/>
            <w:tcBorders>
              <w:top w:val="single" w:sz="4" w:space="0" w:color="142855" w:themeColor="text2"/>
              <w:bottom w:val="single" w:sz="4" w:space="0" w:color="auto"/>
            </w:tcBorders>
            <w:hideMark/>
          </w:tcPr>
          <w:p w14:paraId="4F83B4FB" w14:textId="77777777" w:rsidR="009906B7"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Indicator variable for portfolio firms</w:t>
            </w:r>
          </w:p>
          <w:p w14:paraId="0B044A1C" w14:textId="77777777" w:rsidR="006B0B0B" w:rsidRDefault="006B0B0B" w:rsidP="009906B7">
            <w:pPr>
              <w:cnfStyle w:val="000000100000" w:firstRow="0" w:lastRow="0" w:firstColumn="0" w:lastColumn="0" w:oddVBand="0" w:evenVBand="0" w:oddHBand="1" w:evenHBand="0" w:firstRowFirstColumn="0" w:firstRowLastColumn="0" w:lastRowFirstColumn="0" w:lastRowLastColumn="0"/>
              <w:rPr>
                <w:rFonts w:eastAsia="Arial" w:cs="Arial"/>
              </w:rPr>
            </w:pPr>
          </w:p>
          <w:p w14:paraId="6F39D3C8" w14:textId="77777777" w:rsidR="006B0B0B" w:rsidRDefault="006B0B0B" w:rsidP="009906B7">
            <w:pPr>
              <w:cnfStyle w:val="000000100000" w:firstRow="0" w:lastRow="0" w:firstColumn="0" w:lastColumn="0" w:oddVBand="0" w:evenVBand="0" w:oddHBand="1" w:evenHBand="0" w:firstRowFirstColumn="0" w:firstRowLastColumn="0" w:lastRowFirstColumn="0" w:lastRowLastColumn="0"/>
              <w:rPr>
                <w:rFonts w:eastAsia="Arial" w:cs="Arial"/>
              </w:rPr>
            </w:pPr>
          </w:p>
          <w:p w14:paraId="4BAB1DCC" w14:textId="77777777" w:rsidR="006B0B0B" w:rsidRPr="00F34274" w:rsidRDefault="006B0B0B" w:rsidP="009906B7">
            <w:pPr>
              <w:cnfStyle w:val="000000100000" w:firstRow="0" w:lastRow="0" w:firstColumn="0" w:lastColumn="0" w:oddVBand="0" w:evenVBand="0" w:oddHBand="1" w:evenHBand="0" w:firstRowFirstColumn="0" w:firstRowLastColumn="0" w:lastRowFirstColumn="0" w:lastRowLastColumn="0"/>
              <w:rPr>
                <w:rFonts w:eastAsia="Arial" w:cs="Arial"/>
              </w:rPr>
            </w:pPr>
          </w:p>
        </w:tc>
        <w:tc>
          <w:tcPr>
            <w:tcW w:w="1622" w:type="pct"/>
            <w:gridSpan w:val="2"/>
            <w:tcBorders>
              <w:top w:val="single" w:sz="4" w:space="0" w:color="142855" w:themeColor="text2"/>
              <w:bottom w:val="single" w:sz="4" w:space="0" w:color="auto"/>
            </w:tcBorders>
            <w:hideMark/>
          </w:tcPr>
          <w:p w14:paraId="7EA2FE16" w14:textId="77777777" w:rsidR="009906B7" w:rsidRPr="00F34274" w:rsidRDefault="009906B7" w:rsidP="009906B7">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British Business Bank</w:t>
            </w:r>
          </w:p>
        </w:tc>
      </w:tr>
      <w:tr w:rsidR="009906B7" w:rsidRPr="00F34274" w14:paraId="770110A1" w14:textId="77777777" w:rsidTr="004B1C7A">
        <w:trPr>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2079BD54" w14:textId="77777777" w:rsidR="009906B7" w:rsidRPr="005A0C36" w:rsidRDefault="009906B7" w:rsidP="009906B7">
            <w:pPr>
              <w:rPr>
                <w:rFonts w:eastAsia="Arial" w:cs="Arial"/>
                <w:sz w:val="2"/>
                <w:szCs w:val="2"/>
              </w:rPr>
            </w:pPr>
          </w:p>
        </w:tc>
        <w:tc>
          <w:tcPr>
            <w:tcW w:w="1672" w:type="pct"/>
            <w:gridSpan w:val="2"/>
            <w:tcBorders>
              <w:top w:val="single" w:sz="4" w:space="0" w:color="auto"/>
              <w:bottom w:val="nil"/>
            </w:tcBorders>
          </w:tcPr>
          <w:p w14:paraId="79611515" w14:textId="77777777" w:rsidR="009906B7" w:rsidRPr="005A0C36"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sz w:val="2"/>
                <w:szCs w:val="2"/>
              </w:rPr>
            </w:pPr>
          </w:p>
        </w:tc>
        <w:tc>
          <w:tcPr>
            <w:tcW w:w="1622" w:type="pct"/>
            <w:gridSpan w:val="2"/>
            <w:tcBorders>
              <w:top w:val="single" w:sz="4" w:space="0" w:color="auto"/>
              <w:bottom w:val="nil"/>
            </w:tcBorders>
          </w:tcPr>
          <w:p w14:paraId="1C72B11B" w14:textId="77777777" w:rsidR="009906B7" w:rsidRPr="005A0C36" w:rsidRDefault="009906B7" w:rsidP="009906B7">
            <w:pPr>
              <w:cnfStyle w:val="000000000000" w:firstRow="0" w:lastRow="0" w:firstColumn="0" w:lastColumn="0" w:oddVBand="0" w:evenVBand="0" w:oddHBand="0" w:evenHBand="0" w:firstRowFirstColumn="0" w:firstRowLastColumn="0" w:lastRowFirstColumn="0" w:lastRowLastColumn="0"/>
              <w:rPr>
                <w:rFonts w:eastAsia="Arial" w:cs="Arial"/>
                <w:sz w:val="2"/>
                <w:szCs w:val="2"/>
              </w:rPr>
            </w:pPr>
          </w:p>
        </w:tc>
      </w:tr>
    </w:tbl>
    <w:p w14:paraId="0DC9A0B6" w14:textId="77777777" w:rsidR="00270A72" w:rsidRPr="00F34274" w:rsidRDefault="00270A72" w:rsidP="00270A72">
      <w:pPr>
        <w:rPr>
          <w:rFonts w:eastAsia="Arial" w:cs="Arial"/>
          <w:b/>
          <w:bCs/>
          <w:iCs/>
        </w:rPr>
      </w:pPr>
      <w:r w:rsidRPr="00F34274">
        <w:rPr>
          <w:rFonts w:eastAsia="Arial" w:cs="Arial"/>
          <w:b/>
        </w:rPr>
        <w:t>IDBR</w:t>
      </w:r>
    </w:p>
    <w:p w14:paraId="34429CB5" w14:textId="139F5B04" w:rsidR="008D0787" w:rsidRDefault="37407A31" w:rsidP="00270A72">
      <w:r w:rsidRPr="00F34274">
        <w:rPr>
          <w:rFonts w:eastAsia="Arial" w:cs="Arial"/>
        </w:rPr>
        <w:t>Inter-Departmental Business Register (IDBR) contains a list of UK businesses that is used by the government for statistical purposes. It covers approximately 2.7 million businesses across all sectors of the economy. The advantage of using IDBR data is its timeliness, with a lag of only 6 months (March data snapshot available from late September/early October of the same year).</w:t>
      </w:r>
      <w:r w:rsidR="6E310DCC">
        <w:rPr>
          <w:rFonts w:eastAsia="Arial" w:cs="Arial"/>
        </w:rPr>
        <w:t xml:space="preserve"> </w:t>
      </w:r>
      <w:r w:rsidR="6E310DCC" w:rsidRPr="0020407D">
        <w:rPr>
          <w:rFonts w:eastAsia="Arial" w:cs="Arial"/>
        </w:rPr>
        <w:t xml:space="preserve">There could be a maximum </w:t>
      </w:r>
      <w:r w:rsidR="006B0B0B" w:rsidRPr="0020407D">
        <w:rPr>
          <w:rFonts w:eastAsia="Arial" w:cs="Arial"/>
        </w:rPr>
        <w:t>two-year</w:t>
      </w:r>
      <w:r w:rsidR="6E310DCC" w:rsidRPr="0020407D">
        <w:rPr>
          <w:rFonts w:eastAsia="Arial" w:cs="Arial"/>
        </w:rPr>
        <w:t xml:space="preserve"> lag in the employment and turnover data presented from the IDBR data which should be considered.</w:t>
      </w:r>
      <w:r w:rsidR="0020407D">
        <w:rPr>
          <w:rStyle w:val="FootnoteReference"/>
          <w:rFonts w:eastAsia="Arial" w:cs="Arial"/>
        </w:rPr>
        <w:footnoteReference w:id="63"/>
      </w:r>
      <w:r w:rsidRPr="00F34274">
        <w:rPr>
          <w:rFonts w:eastAsia="Arial" w:cs="Arial"/>
        </w:rPr>
        <w:t xml:space="preserve"> The turnover data in IDBR comes directly from HMRC</w:t>
      </w:r>
      <w:r>
        <w:rPr>
          <w:rFonts w:eastAsia="Arial" w:cs="Arial"/>
        </w:rPr>
        <w:t xml:space="preserve"> but entries are dependent on timely company reporting.</w:t>
      </w:r>
      <w:r w:rsidRPr="00F34274">
        <w:rPr>
          <w:rFonts w:eastAsia="Arial" w:cs="Arial"/>
        </w:rPr>
        <w:t xml:space="preserve"> </w:t>
      </w:r>
      <w:r>
        <w:rPr>
          <w:rFonts w:eastAsia="Arial" w:cs="Arial"/>
        </w:rPr>
        <w:t>T</w:t>
      </w:r>
      <w:r w:rsidRPr="00F34274">
        <w:rPr>
          <w:rFonts w:eastAsia="Arial" w:cs="Arial"/>
        </w:rPr>
        <w:t xml:space="preserve">he IDBR database </w:t>
      </w:r>
      <w:r>
        <w:rPr>
          <w:rFonts w:eastAsia="Arial" w:cs="Arial"/>
        </w:rPr>
        <w:t xml:space="preserve">does </w:t>
      </w:r>
      <w:r w:rsidRPr="00F34274">
        <w:rPr>
          <w:rFonts w:eastAsia="Arial" w:cs="Arial"/>
        </w:rPr>
        <w:t xml:space="preserve">not capture </w:t>
      </w:r>
      <w:proofErr w:type="gramStart"/>
      <w:r w:rsidRPr="00F34274">
        <w:rPr>
          <w:rFonts w:eastAsia="Arial" w:cs="Arial"/>
        </w:rPr>
        <w:t>all of</w:t>
      </w:r>
      <w:proofErr w:type="gramEnd"/>
      <w:r w:rsidRPr="00F34274">
        <w:rPr>
          <w:rFonts w:eastAsia="Arial" w:cs="Arial"/>
        </w:rPr>
        <w:t xml:space="preserve"> the RAP-funded firms due to the</w:t>
      </w:r>
      <w:r>
        <w:rPr>
          <w:rFonts w:eastAsia="Arial" w:cs="Arial"/>
        </w:rPr>
        <w:t xml:space="preserve"> funded </w:t>
      </w:r>
      <w:r w:rsidR="006B0B0B">
        <w:rPr>
          <w:rFonts w:eastAsia="Arial" w:cs="Arial"/>
        </w:rPr>
        <w:t>firms’</w:t>
      </w:r>
      <w:r w:rsidRPr="00F34274">
        <w:rPr>
          <w:rFonts w:eastAsia="Arial" w:cs="Arial"/>
        </w:rPr>
        <w:t xml:space="preserve"> small size and low level of business activity</w:t>
      </w:r>
      <w:r>
        <w:rPr>
          <w:rFonts w:eastAsia="Arial" w:cs="Arial"/>
        </w:rPr>
        <w:t>.</w:t>
      </w:r>
      <w:r w:rsidRPr="00F34274">
        <w:rPr>
          <w:rFonts w:eastAsia="Arial" w:cs="Arial"/>
        </w:rPr>
        <w:t xml:space="preserve"> </w:t>
      </w:r>
      <w:r>
        <w:rPr>
          <w:rFonts w:eastAsia="Arial" w:cs="Arial"/>
        </w:rPr>
        <w:t xml:space="preserve">The analysis has a </w:t>
      </w:r>
      <w:r w:rsidRPr="00F34274">
        <w:rPr>
          <w:rFonts w:eastAsia="Arial" w:cs="Arial"/>
        </w:rPr>
        <w:t>bias towards larger firms receiving RAP funding</w:t>
      </w:r>
      <w:r>
        <w:rPr>
          <w:rFonts w:eastAsia="Arial" w:cs="Arial"/>
        </w:rPr>
        <w:t xml:space="preserve"> as higher-growth earlier stage firms are less likely to appear in the sample taken within the IDBR, given the minimum requirements of the IDBR data selection</w:t>
      </w:r>
      <w:r w:rsidRPr="00F34274">
        <w:rPr>
          <w:rFonts w:eastAsia="Arial" w:cs="Arial"/>
        </w:rPr>
        <w:t>.</w:t>
      </w:r>
      <w:r w:rsidR="2EB17817">
        <w:t xml:space="preserve"> </w:t>
      </w:r>
      <w:r>
        <w:t>A data request was sent to the data team within BEIS (now DBT) through the Bank</w:t>
      </w:r>
      <w:r w:rsidR="2EB17817">
        <w:t xml:space="preserve"> to obtain this IDBR data. We</w:t>
      </w:r>
      <w:r>
        <w:t xml:space="preserve"> provided filters that were to be applied to the register </w:t>
      </w:r>
      <w:proofErr w:type="gramStart"/>
      <w:r>
        <w:t>in order to</w:t>
      </w:r>
      <w:proofErr w:type="gramEnd"/>
      <w:r>
        <w:t xml:space="preserve"> streamline our sample in-line with RAP funded firms. These filters were derived by taking ranges calculated from a set of RAP funded firms taken from the MI data. </w:t>
      </w:r>
    </w:p>
    <w:p w14:paraId="055868CB" w14:textId="3C412AC9" w:rsidR="00270A72" w:rsidRDefault="00270A72" w:rsidP="00270A72">
      <w:r>
        <w:t xml:space="preserve">MI data provided by the British Business Bank (June 2022 data cut) featured firms funded by the delivery partners. We combined the individual MI data per delivery partner, removing duplication into a wider MI data set of all funded firms. We used this data to calculate ranges for turnover, employee numbers, SIC group to apply to the IDBR data frame. </w:t>
      </w:r>
      <w:proofErr w:type="gramStart"/>
      <w:r>
        <w:t>In order to</w:t>
      </w:r>
      <w:proofErr w:type="gramEnd"/>
      <w:r>
        <w:t xml:space="preserve"> not constrict the sample, we only applied these filters to a 2017 anchor year (year the RAP launched) and let the variables vary post 2017. We also separated out any firms that showed up in the database as having received RAP funding (treatment group) – using the CRNs taken from the MI data. </w:t>
      </w:r>
    </w:p>
    <w:p w14:paraId="2BB8F05D" w14:textId="77777777" w:rsidR="00270A72" w:rsidRDefault="00270A72" w:rsidP="00270A72">
      <w:r>
        <w:t xml:space="preserve">Several iterations of the request were required after discussions with DBT and the Bank </w:t>
      </w:r>
      <w:proofErr w:type="gramStart"/>
      <w:r>
        <w:t>in order for</w:t>
      </w:r>
      <w:proofErr w:type="gramEnd"/>
      <w:r>
        <w:t xml:space="preserve"> our data extract to be as close to the RAP funded firm characteristics as possible. Only yearly data was available for example and a maximum of data from 2017 onwards was provided (not 10 years historical). Some data wasn’t attainable as it did not feature on the IDBR (Patents for example).</w:t>
      </w:r>
    </w:p>
    <w:p w14:paraId="70E9F799" w14:textId="380D7EF4" w:rsidR="00270A72" w:rsidRDefault="00270A72" w:rsidP="00270A72">
      <w:pPr>
        <w:rPr>
          <w:rFonts w:eastAsia="Arial" w:cs="Arial"/>
        </w:rPr>
      </w:pPr>
      <w:r>
        <w:lastRenderedPageBreak/>
        <w:t>Once we had confirmed the filters to be applied, data extracts were provided by the DBT data team per year (2017 through to 2022)</w:t>
      </w:r>
      <w:r w:rsidR="008D0787">
        <w:t xml:space="preserve">. </w:t>
      </w:r>
      <w:r>
        <w:t>These were shared over an egress workspace where once downloaded, the data was destroyed from the egress workspace. We then proceeded to save the data on our approved servers and password protected the data files (provided as .csv given the large size and large number of observations).</w:t>
      </w:r>
    </w:p>
    <w:p w14:paraId="5ACCA44A" w14:textId="77777777" w:rsidR="00270A72" w:rsidRPr="00F34274" w:rsidRDefault="00270A72" w:rsidP="00270A72">
      <w:pPr>
        <w:rPr>
          <w:rFonts w:eastAsia="Arial" w:cs="Arial"/>
          <w:b/>
        </w:rPr>
      </w:pPr>
      <w:proofErr w:type="spellStart"/>
      <w:r w:rsidRPr="00F34274">
        <w:rPr>
          <w:rFonts w:eastAsia="Arial" w:cs="Arial"/>
          <w:b/>
        </w:rPr>
        <w:t>Beauhurst</w:t>
      </w:r>
      <w:proofErr w:type="spellEnd"/>
      <w:r w:rsidRPr="00F34274">
        <w:rPr>
          <w:rFonts w:eastAsia="Arial" w:cs="Arial"/>
          <w:b/>
        </w:rPr>
        <w:t xml:space="preserve"> </w:t>
      </w:r>
    </w:p>
    <w:p w14:paraId="1313AA9E" w14:textId="479263E5" w:rsidR="001122EE" w:rsidRDefault="00270A72" w:rsidP="00270A72">
      <w:pPr>
        <w:rPr>
          <w:rFonts w:eastAsia="Arial" w:cs="Arial"/>
        </w:rPr>
      </w:pPr>
      <w:r w:rsidRPr="00F34274">
        <w:rPr>
          <w:rFonts w:eastAsia="Arial" w:cs="Arial"/>
        </w:rPr>
        <w:t xml:space="preserve">The data from </w:t>
      </w:r>
      <w:proofErr w:type="spellStart"/>
      <w:r w:rsidRPr="00F34274">
        <w:rPr>
          <w:rFonts w:eastAsia="Arial" w:cs="Arial"/>
        </w:rPr>
        <w:t>Beauhurst</w:t>
      </w:r>
      <w:proofErr w:type="spellEnd"/>
      <w:r w:rsidRPr="00F34274">
        <w:rPr>
          <w:rFonts w:eastAsia="Arial" w:cs="Arial"/>
        </w:rPr>
        <w:t xml:space="preserve"> is available through the platform. The platform offers over 400 filtering options, allowing users to narrow down the range of 80K+ early-stage firms. This enabled us to select only the range of data that were aligned with the characteristics of the portfolio group. This was important in </w:t>
      </w:r>
      <w:r w:rsidRPr="00F34274">
        <w:rPr>
          <w:rFonts w:eastAsia="Arial" w:cs="Arial"/>
          <w:b/>
          <w:bCs/>
        </w:rPr>
        <w:t>selecting the counterfactual sample</w:t>
      </w:r>
      <w:r w:rsidRPr="00F34274">
        <w:rPr>
          <w:rFonts w:eastAsia="Arial" w:cs="Arial"/>
        </w:rPr>
        <w:t>, where we applied filters that emulate a mix of the eligibility criteria and MI data analysis on the portfolio firm characteristics.</w:t>
      </w:r>
      <w:r w:rsidRPr="009637DE">
        <w:t xml:space="preserve"> </w:t>
      </w:r>
      <w:r w:rsidRPr="009637DE">
        <w:rPr>
          <w:rFonts w:eastAsia="Arial" w:cs="Arial"/>
        </w:rPr>
        <w:t xml:space="preserve">The </w:t>
      </w:r>
      <w:proofErr w:type="spellStart"/>
      <w:r w:rsidRPr="009637DE">
        <w:rPr>
          <w:rFonts w:eastAsia="Arial" w:cs="Arial"/>
        </w:rPr>
        <w:t>Beauhurst</w:t>
      </w:r>
      <w:proofErr w:type="spellEnd"/>
      <w:r w:rsidRPr="009637DE">
        <w:rPr>
          <w:rFonts w:eastAsia="Arial" w:cs="Arial"/>
        </w:rPr>
        <w:t xml:space="preserve"> database had a rich filtering system whereby we were able to apply specific scheme filters and filters based on ranges</w:t>
      </w:r>
      <w:r>
        <w:rPr>
          <w:rFonts w:eastAsia="Arial" w:cs="Arial"/>
        </w:rPr>
        <w:t xml:space="preserve"> computed</w:t>
      </w:r>
      <w:r w:rsidRPr="009637DE">
        <w:rPr>
          <w:rFonts w:eastAsia="Arial" w:cs="Arial"/>
        </w:rPr>
        <w:t xml:space="preserve"> </w:t>
      </w:r>
      <w:r>
        <w:rPr>
          <w:rFonts w:eastAsia="Arial" w:cs="Arial"/>
        </w:rPr>
        <w:t>on</w:t>
      </w:r>
      <w:r w:rsidRPr="009637DE">
        <w:rPr>
          <w:rFonts w:eastAsia="Arial" w:cs="Arial"/>
        </w:rPr>
        <w:t xml:space="preserve"> RAP funded firm KPIs</w:t>
      </w:r>
      <w:r>
        <w:rPr>
          <w:rFonts w:eastAsia="Arial" w:cs="Arial"/>
        </w:rPr>
        <w:t xml:space="preserve"> (turnover, FTE, Sectors, etc.)</w:t>
      </w:r>
      <w:r w:rsidRPr="009637DE">
        <w:rPr>
          <w:rFonts w:eastAsia="Arial" w:cs="Arial"/>
        </w:rPr>
        <w:t>.</w:t>
      </w:r>
      <w:r>
        <w:rPr>
          <w:rFonts w:eastAsia="Arial" w:cs="Arial"/>
        </w:rPr>
        <w:t xml:space="preserve"> </w:t>
      </w:r>
      <w:r w:rsidRPr="00F34274">
        <w:rPr>
          <w:rFonts w:eastAsia="Arial" w:cs="Arial"/>
        </w:rPr>
        <w:t xml:space="preserve">See </w:t>
      </w:r>
      <w:r w:rsidR="003C06F0">
        <w:rPr>
          <w:rFonts w:eastAsia="Arial" w:cs="Arial"/>
        </w:rPr>
        <w:fldChar w:fldCharType="begin"/>
      </w:r>
      <w:r w:rsidR="003C06F0">
        <w:rPr>
          <w:rFonts w:eastAsia="Arial" w:cs="Arial"/>
        </w:rPr>
        <w:instrText xml:space="preserve"> REF _Ref145072976 \h </w:instrText>
      </w:r>
      <w:r w:rsidR="003C06F0">
        <w:rPr>
          <w:rFonts w:eastAsia="Arial" w:cs="Arial"/>
        </w:rPr>
      </w:r>
      <w:r w:rsidR="003C06F0">
        <w:rPr>
          <w:rFonts w:eastAsia="Arial" w:cs="Arial"/>
        </w:rPr>
        <w:fldChar w:fldCharType="separate"/>
      </w:r>
      <w:r w:rsidR="00BC412E" w:rsidRPr="00F34274">
        <w:rPr>
          <w:rFonts w:eastAsia="Arial" w:cs="Arial"/>
          <w:iCs/>
          <w:color w:val="555674"/>
          <w:szCs w:val="18"/>
        </w:rPr>
        <w:t xml:space="preserve">Table </w:t>
      </w:r>
      <w:r w:rsidR="00BC412E">
        <w:rPr>
          <w:rFonts w:eastAsia="Arial" w:cs="Arial"/>
          <w:iCs/>
          <w:noProof/>
          <w:color w:val="555674"/>
          <w:szCs w:val="18"/>
        </w:rPr>
        <w:t>17</w:t>
      </w:r>
      <w:r w:rsidR="003C06F0">
        <w:rPr>
          <w:rFonts w:eastAsia="Arial" w:cs="Arial"/>
        </w:rPr>
        <w:fldChar w:fldCharType="end"/>
      </w:r>
      <w:r w:rsidRPr="00F34274">
        <w:rPr>
          <w:rFonts w:eastAsia="Arial" w:cs="Arial"/>
        </w:rPr>
        <w:t xml:space="preserve"> below for the detail of the filters. The prefiltering served the purpose of adding an additional layer of having a pre-matched sample that was as like-for-like as possible based on filtering limitations, meaning that any limitations in the later matching exercise could be mitigated by still having an appropriately prefiltered dataset as a baseline.</w:t>
      </w:r>
    </w:p>
    <w:p w14:paraId="1EFC35F3" w14:textId="77777777" w:rsidR="00270A72" w:rsidRDefault="00270A72" w:rsidP="00270A72">
      <w:pPr>
        <w:rPr>
          <w:rFonts w:eastAsia="Arial" w:cs="Arial"/>
        </w:rPr>
      </w:pPr>
    </w:p>
    <w:p w14:paraId="4E8AAE4E" w14:textId="77777777" w:rsidR="004B1C7A" w:rsidRDefault="004B1C7A" w:rsidP="00270A72">
      <w:pPr>
        <w:rPr>
          <w:rFonts w:eastAsia="Arial" w:cs="Arial"/>
        </w:rPr>
      </w:pPr>
    </w:p>
    <w:p w14:paraId="7767C94B" w14:textId="77777777" w:rsidR="004B1C7A" w:rsidRDefault="004B1C7A" w:rsidP="00270A72">
      <w:pPr>
        <w:rPr>
          <w:rFonts w:eastAsia="Arial" w:cs="Arial"/>
        </w:rPr>
      </w:pPr>
    </w:p>
    <w:p w14:paraId="3219EBB1" w14:textId="77777777" w:rsidR="004B1C7A" w:rsidRDefault="004B1C7A" w:rsidP="00270A72">
      <w:pPr>
        <w:rPr>
          <w:rFonts w:eastAsia="Arial" w:cs="Arial"/>
        </w:rPr>
      </w:pPr>
    </w:p>
    <w:p w14:paraId="7F992B85" w14:textId="77777777" w:rsidR="004B1C7A" w:rsidRDefault="004B1C7A" w:rsidP="00270A72">
      <w:pPr>
        <w:rPr>
          <w:rFonts w:eastAsia="Arial" w:cs="Arial"/>
        </w:rPr>
      </w:pPr>
    </w:p>
    <w:p w14:paraId="559440AD" w14:textId="77777777" w:rsidR="004B1C7A" w:rsidRDefault="004B1C7A" w:rsidP="00270A72">
      <w:pPr>
        <w:rPr>
          <w:rFonts w:eastAsia="Arial" w:cs="Arial"/>
        </w:rPr>
      </w:pPr>
    </w:p>
    <w:p w14:paraId="11119B66" w14:textId="77777777" w:rsidR="004B1C7A" w:rsidRDefault="004B1C7A" w:rsidP="00270A72">
      <w:pPr>
        <w:rPr>
          <w:rFonts w:eastAsia="Arial" w:cs="Arial"/>
        </w:rPr>
      </w:pPr>
    </w:p>
    <w:p w14:paraId="395A2568" w14:textId="77777777" w:rsidR="004B1C7A" w:rsidRDefault="004B1C7A" w:rsidP="00270A72">
      <w:pPr>
        <w:rPr>
          <w:rFonts w:eastAsia="Arial" w:cs="Arial"/>
        </w:rPr>
      </w:pPr>
    </w:p>
    <w:p w14:paraId="583B734B" w14:textId="77777777" w:rsidR="001A6B44" w:rsidRDefault="001A6B44" w:rsidP="00270A72">
      <w:pPr>
        <w:rPr>
          <w:rFonts w:eastAsia="Arial" w:cs="Arial"/>
        </w:rPr>
      </w:pPr>
    </w:p>
    <w:p w14:paraId="011EBD84" w14:textId="77777777" w:rsidR="001A6B44" w:rsidRPr="00F34274" w:rsidRDefault="001A6B44" w:rsidP="00270A72">
      <w:pPr>
        <w:rPr>
          <w:rFonts w:eastAsia="Arial" w:cs="Arial"/>
        </w:rPr>
      </w:pPr>
    </w:p>
    <w:p w14:paraId="11FE609F" w14:textId="21BB5833" w:rsidR="00CD60C2" w:rsidRPr="00F34274" w:rsidRDefault="00CD60C2" w:rsidP="00957DB2">
      <w:pPr>
        <w:spacing w:before="120"/>
        <w:rPr>
          <w:rFonts w:eastAsia="Arial" w:cs="Arial"/>
          <w:iCs/>
          <w:color w:val="555674"/>
          <w:szCs w:val="18"/>
        </w:rPr>
      </w:pPr>
      <w:bookmarkStart w:id="283" w:name="_Ref145072976"/>
      <w:r w:rsidRPr="00F34274">
        <w:rPr>
          <w:rFonts w:eastAsia="Arial" w:cs="Arial"/>
          <w:iCs/>
          <w:color w:val="555674"/>
          <w:szCs w:val="18"/>
        </w:rPr>
        <w:lastRenderedPageBreak/>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17</w:t>
      </w:r>
      <w:r w:rsidRPr="00F34274">
        <w:rPr>
          <w:rFonts w:eastAsia="Arial" w:cs="Arial"/>
          <w:iCs/>
          <w:noProof/>
          <w:color w:val="555674"/>
          <w:szCs w:val="18"/>
        </w:rPr>
        <w:fldChar w:fldCharType="end"/>
      </w:r>
      <w:bookmarkEnd w:id="283"/>
      <w:r w:rsidRPr="00F34274">
        <w:rPr>
          <w:rFonts w:eastAsia="Arial" w:cs="Arial"/>
          <w:iCs/>
          <w:color w:val="555674"/>
          <w:szCs w:val="18"/>
        </w:rPr>
        <w:t xml:space="preserve">: </w:t>
      </w:r>
      <w:proofErr w:type="spellStart"/>
      <w:r w:rsidRPr="00F34274">
        <w:rPr>
          <w:rFonts w:eastAsia="Arial" w:cs="Arial"/>
          <w:iCs/>
          <w:color w:val="555674"/>
          <w:szCs w:val="18"/>
        </w:rPr>
        <w:t>Beauhurst</w:t>
      </w:r>
      <w:proofErr w:type="spellEnd"/>
      <w:r w:rsidRPr="00F34274">
        <w:rPr>
          <w:rFonts w:eastAsia="Arial" w:cs="Arial"/>
          <w:iCs/>
          <w:color w:val="555674"/>
          <w:szCs w:val="18"/>
        </w:rPr>
        <w:t xml:space="preserve"> filters applied to draw a counterfactual group of firms.</w:t>
      </w:r>
    </w:p>
    <w:tbl>
      <w:tblPr>
        <w:tblStyle w:val="PlainTable21"/>
        <w:tblW w:w="0" w:type="auto"/>
        <w:tblBorders>
          <w:insideH w:val="single" w:sz="4" w:space="0" w:color="142855" w:themeColor="text2"/>
          <w:insideV w:val="single" w:sz="4" w:space="0" w:color="142855" w:themeColor="text2"/>
        </w:tblBorders>
        <w:tblLook w:val="04A0" w:firstRow="1" w:lastRow="0" w:firstColumn="1" w:lastColumn="0" w:noHBand="0" w:noVBand="1"/>
      </w:tblPr>
      <w:tblGrid>
        <w:gridCol w:w="8607"/>
      </w:tblGrid>
      <w:tr w:rsidR="00CD60C2" w:rsidRPr="00F34274" w14:paraId="710F957F" w14:textId="77777777" w:rsidTr="07F5039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142855" w:themeColor="text2"/>
              <w:bottom w:val="single" w:sz="4" w:space="0" w:color="142855" w:themeColor="text2"/>
            </w:tcBorders>
            <w:hideMark/>
          </w:tcPr>
          <w:p w14:paraId="41017C6F" w14:textId="77777777" w:rsidR="00CD60C2" w:rsidRPr="00F34274" w:rsidRDefault="00CD60C2" w:rsidP="00957DB2">
            <w:pPr>
              <w:rPr>
                <w:rFonts w:eastAsia="Arial" w:cs="Arial"/>
                <w:b w:val="0"/>
                <w:color w:val="FFFFFF"/>
              </w:rPr>
            </w:pPr>
            <w:r w:rsidRPr="00CD10A6">
              <w:rPr>
                <w:rFonts w:eastAsia="Arial" w:cs="Arial"/>
                <w:color w:val="142855" w:themeColor="text2"/>
              </w:rPr>
              <w:t xml:space="preserve">Any of the counterfactual companies’ fundraisings match </w:t>
            </w:r>
            <w:proofErr w:type="gramStart"/>
            <w:r w:rsidRPr="00CD10A6">
              <w:rPr>
                <w:rFonts w:eastAsia="Arial" w:cs="Arial"/>
                <w:color w:val="142855" w:themeColor="text2"/>
              </w:rPr>
              <w:t>all of</w:t>
            </w:r>
            <w:proofErr w:type="gramEnd"/>
            <w:r w:rsidRPr="00CD10A6">
              <w:rPr>
                <w:rFonts w:eastAsia="Arial" w:cs="Arial"/>
                <w:color w:val="142855" w:themeColor="text2"/>
              </w:rPr>
              <w:t xml:space="preserve"> the following criteria:</w:t>
            </w:r>
          </w:p>
        </w:tc>
      </w:tr>
      <w:tr w:rsidR="00CD60C2" w:rsidRPr="00F34274" w14:paraId="28D91864" w14:textId="77777777" w:rsidTr="07F5039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142855" w:themeColor="text2"/>
            </w:tcBorders>
            <w:hideMark/>
          </w:tcPr>
          <w:p w14:paraId="7DE72DE8" w14:textId="77777777" w:rsidR="00CD60C2" w:rsidRPr="00CD10A6" w:rsidRDefault="00CD60C2" w:rsidP="00491364">
            <w:pPr>
              <w:numPr>
                <w:ilvl w:val="0"/>
                <w:numId w:val="19"/>
              </w:numPr>
              <w:rPr>
                <w:rFonts w:eastAsia="Arial" w:cs="Arial"/>
                <w:b w:val="0"/>
                <w:bCs w:val="0"/>
              </w:rPr>
            </w:pPr>
            <w:r w:rsidRPr="00CD10A6">
              <w:rPr>
                <w:rFonts w:eastAsia="Arial" w:cs="Arial"/>
                <w:b w:val="0"/>
                <w:bCs w:val="0"/>
              </w:rPr>
              <w:t>form of funding is any of Equity</w:t>
            </w:r>
          </w:p>
        </w:tc>
      </w:tr>
      <w:tr w:rsidR="00CD60C2" w:rsidRPr="00F34274" w14:paraId="53E3FE8A" w14:textId="77777777" w:rsidTr="07F50397">
        <w:trPr>
          <w:trHeight w:val="515"/>
        </w:trPr>
        <w:tc>
          <w:tcPr>
            <w:cnfStyle w:val="001000000000" w:firstRow="0" w:lastRow="0" w:firstColumn="1" w:lastColumn="0" w:oddVBand="0" w:evenVBand="0" w:oddHBand="0" w:evenHBand="0" w:firstRowFirstColumn="0" w:firstRowLastColumn="0" w:lastRowFirstColumn="0" w:lastRowLastColumn="0"/>
            <w:tcW w:w="8607" w:type="dxa"/>
            <w:hideMark/>
          </w:tcPr>
          <w:p w14:paraId="2B897897" w14:textId="77777777" w:rsidR="00CD60C2" w:rsidRPr="00CD10A6" w:rsidRDefault="00CD60C2" w:rsidP="00491364">
            <w:pPr>
              <w:numPr>
                <w:ilvl w:val="0"/>
                <w:numId w:val="19"/>
              </w:numPr>
              <w:rPr>
                <w:rFonts w:eastAsia="Arial" w:cs="Arial"/>
                <w:b w:val="0"/>
                <w:bCs w:val="0"/>
              </w:rPr>
            </w:pPr>
            <w:r w:rsidRPr="00CD10A6">
              <w:rPr>
                <w:rFonts w:eastAsia="Arial" w:cs="Arial"/>
                <w:b w:val="0"/>
                <w:bCs w:val="0"/>
              </w:rPr>
              <w:t>type of fund providing the funding includes</w:t>
            </w:r>
            <w:r w:rsidRPr="00CD10A6">
              <w:rPr>
                <w:rFonts w:eastAsia="Arial" w:cs="Arial"/>
                <w:b w:val="0"/>
                <w:bCs w:val="0"/>
                <w:vertAlign w:val="superscript"/>
              </w:rPr>
              <w:footnoteReference w:id="64"/>
            </w:r>
            <w:r w:rsidR="286947FB" w:rsidRPr="00CD10A6">
              <w:rPr>
                <w:rFonts w:eastAsia="Arial" w:cs="Arial"/>
                <w:b w:val="0"/>
                <w:bCs w:val="0"/>
              </w:rPr>
              <w:t xml:space="preserve">: </w:t>
            </w:r>
            <w:r w:rsidRPr="00CD10A6">
              <w:rPr>
                <w:rFonts w:eastAsia="Arial" w:cs="Arial"/>
                <w:b w:val="0"/>
                <w:bCs w:val="0"/>
              </w:rPr>
              <w:t>Angel Network, Commercialisation Company, Corporate, Crowd funding, Family Office, Private Equity and Venture Capital, or Private Investment Vehicle</w:t>
            </w:r>
          </w:p>
        </w:tc>
      </w:tr>
      <w:tr w:rsidR="00CD60C2" w:rsidRPr="00F34274" w14:paraId="2285600C" w14:textId="77777777" w:rsidTr="07F5039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607" w:type="dxa"/>
            <w:tcBorders>
              <w:bottom w:val="single" w:sz="4" w:space="0" w:color="142855" w:themeColor="text2"/>
            </w:tcBorders>
            <w:hideMark/>
          </w:tcPr>
          <w:p w14:paraId="6CA8CB1F" w14:textId="77777777" w:rsidR="00CD60C2" w:rsidRPr="00CD10A6" w:rsidRDefault="00CD60C2" w:rsidP="00491364">
            <w:pPr>
              <w:numPr>
                <w:ilvl w:val="0"/>
                <w:numId w:val="20"/>
              </w:numPr>
              <w:rPr>
                <w:rFonts w:eastAsia="Arial" w:cs="Arial"/>
                <w:b w:val="0"/>
                <w:bCs w:val="0"/>
              </w:rPr>
            </w:pPr>
            <w:r w:rsidRPr="00CD10A6">
              <w:rPr>
                <w:rFonts w:eastAsia="Arial" w:cs="Arial"/>
                <w:b w:val="0"/>
                <w:bCs w:val="0"/>
              </w:rPr>
              <w:t>date of fundraising is from 01/01/2020 to 31/12/2021</w:t>
            </w:r>
            <w:r w:rsidRPr="00CD10A6">
              <w:rPr>
                <w:rFonts w:eastAsia="Arial" w:cs="Arial"/>
                <w:b w:val="0"/>
                <w:bCs w:val="0"/>
              </w:rPr>
              <w:footnoteReference w:id="65"/>
            </w:r>
          </w:p>
        </w:tc>
      </w:tr>
      <w:tr w:rsidR="00CD60C2" w:rsidRPr="00F34274" w14:paraId="65FB51D2" w14:textId="77777777" w:rsidTr="07F50397">
        <w:trPr>
          <w:trHeight w:val="515"/>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142855" w:themeColor="text2"/>
              <w:bottom w:val="single" w:sz="4" w:space="0" w:color="142855" w:themeColor="text2"/>
            </w:tcBorders>
            <w:hideMark/>
          </w:tcPr>
          <w:p w14:paraId="71C26288" w14:textId="77777777" w:rsidR="00CD60C2" w:rsidRPr="00CD10A6" w:rsidRDefault="00CD60C2" w:rsidP="00491364">
            <w:pPr>
              <w:numPr>
                <w:ilvl w:val="0"/>
                <w:numId w:val="21"/>
              </w:numPr>
              <w:rPr>
                <w:rFonts w:eastAsia="Arial" w:cs="Arial"/>
                <w:b w:val="0"/>
                <w:bCs w:val="0"/>
              </w:rPr>
            </w:pPr>
            <w:r w:rsidRPr="00CD10A6">
              <w:rPr>
                <w:rFonts w:eastAsia="Arial" w:cs="Arial"/>
                <w:b w:val="0"/>
                <w:bCs w:val="0"/>
              </w:rPr>
              <w:t xml:space="preserve">the recipient company’s financial statement before the fundraising match </w:t>
            </w:r>
            <w:proofErr w:type="gramStart"/>
            <w:r w:rsidRPr="00CD10A6">
              <w:rPr>
                <w:rFonts w:eastAsia="Arial" w:cs="Arial"/>
                <w:b w:val="0"/>
                <w:bCs w:val="0"/>
              </w:rPr>
              <w:t>all of</w:t>
            </w:r>
            <w:proofErr w:type="gramEnd"/>
            <w:r w:rsidRPr="00CD10A6">
              <w:rPr>
                <w:rFonts w:eastAsia="Arial" w:cs="Arial"/>
                <w:b w:val="0"/>
                <w:bCs w:val="0"/>
              </w:rPr>
              <w:t xml:space="preserve"> the following criteria:</w:t>
            </w:r>
          </w:p>
          <w:p w14:paraId="494AE1C2" w14:textId="77777777" w:rsidR="00CD60C2" w:rsidRPr="00CD10A6" w:rsidRDefault="00CD60C2" w:rsidP="00957DB2">
            <w:pPr>
              <w:ind w:left="720"/>
              <w:rPr>
                <w:rFonts w:eastAsia="Arial" w:cs="Arial"/>
                <w:b w:val="0"/>
                <w:bCs w:val="0"/>
              </w:rPr>
            </w:pPr>
            <w:r w:rsidRPr="00CD10A6">
              <w:rPr>
                <w:rFonts w:eastAsia="Arial" w:cs="Arial"/>
                <w:b w:val="0"/>
                <w:bCs w:val="0"/>
              </w:rPr>
              <w:t>1. number of employees are between 1 – 249</w:t>
            </w:r>
          </w:p>
          <w:p w14:paraId="58C3AE1C" w14:textId="77777777" w:rsidR="00CD60C2" w:rsidRPr="00CD10A6" w:rsidRDefault="00CD60C2" w:rsidP="00957DB2">
            <w:pPr>
              <w:ind w:left="720"/>
              <w:rPr>
                <w:rFonts w:eastAsia="Arial" w:cs="Arial"/>
                <w:b w:val="0"/>
                <w:bCs w:val="0"/>
              </w:rPr>
            </w:pPr>
            <w:r w:rsidRPr="00CD10A6">
              <w:rPr>
                <w:rFonts w:eastAsia="Arial" w:cs="Arial"/>
                <w:b w:val="0"/>
                <w:bCs w:val="0"/>
              </w:rPr>
              <w:t>2. turnover is between £1 – £24,999,999</w:t>
            </w:r>
          </w:p>
        </w:tc>
      </w:tr>
      <w:tr w:rsidR="00CD60C2" w:rsidRPr="00F34274" w14:paraId="1B1DDF29" w14:textId="77777777" w:rsidTr="07F50397">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142855" w:themeColor="text2"/>
            </w:tcBorders>
            <w:hideMark/>
          </w:tcPr>
          <w:p w14:paraId="757EC379" w14:textId="77777777" w:rsidR="00CD60C2" w:rsidRPr="00CD10A6" w:rsidRDefault="00CD60C2" w:rsidP="00491364">
            <w:pPr>
              <w:numPr>
                <w:ilvl w:val="0"/>
                <w:numId w:val="22"/>
              </w:numPr>
              <w:rPr>
                <w:rFonts w:eastAsia="Arial" w:cs="Arial"/>
                <w:b w:val="0"/>
                <w:bCs w:val="0"/>
              </w:rPr>
            </w:pPr>
            <w:r w:rsidRPr="00CD10A6">
              <w:rPr>
                <w:rFonts w:eastAsia="Arial" w:cs="Arial"/>
                <w:b w:val="0"/>
                <w:bCs w:val="0"/>
              </w:rPr>
              <w:t>company’s stage of evolution is one of Seed, Venture, or Growth at the time of fundraising</w:t>
            </w:r>
          </w:p>
        </w:tc>
      </w:tr>
      <w:tr w:rsidR="00CD60C2" w:rsidRPr="00F34274" w14:paraId="7A75EB00" w14:textId="77777777" w:rsidTr="07F50397">
        <w:trPr>
          <w:trHeight w:val="515"/>
        </w:trPr>
        <w:tc>
          <w:tcPr>
            <w:cnfStyle w:val="001000000000" w:firstRow="0" w:lastRow="0" w:firstColumn="1" w:lastColumn="0" w:oddVBand="0" w:evenVBand="0" w:oddHBand="0" w:evenHBand="0" w:firstRowFirstColumn="0" w:firstRowLastColumn="0" w:lastRowFirstColumn="0" w:lastRowLastColumn="0"/>
            <w:tcW w:w="8607" w:type="dxa"/>
            <w:hideMark/>
          </w:tcPr>
          <w:p w14:paraId="6406F871" w14:textId="77777777" w:rsidR="00CD60C2" w:rsidRPr="00F3182D" w:rsidRDefault="00CD60C2" w:rsidP="00957DB2">
            <w:pPr>
              <w:rPr>
                <w:rFonts w:eastAsia="Arial" w:cs="Arial"/>
                <w:color w:val="142855" w:themeColor="text2"/>
              </w:rPr>
            </w:pPr>
            <w:r w:rsidRPr="00F3182D">
              <w:rPr>
                <w:rFonts w:eastAsia="Arial" w:cs="Arial"/>
                <w:color w:val="142855" w:themeColor="text2"/>
              </w:rPr>
              <w:t>And the counterfactual companies also have the following filters applied:</w:t>
            </w:r>
          </w:p>
        </w:tc>
      </w:tr>
      <w:tr w:rsidR="00CD60C2" w:rsidRPr="00F34274" w14:paraId="68A84B34" w14:textId="77777777" w:rsidTr="07F5039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607" w:type="dxa"/>
            <w:tcBorders>
              <w:bottom w:val="single" w:sz="4" w:space="0" w:color="142855" w:themeColor="text2"/>
            </w:tcBorders>
            <w:hideMark/>
          </w:tcPr>
          <w:p w14:paraId="18C56B0B" w14:textId="77777777" w:rsidR="00CD60C2" w:rsidRPr="00CD10A6" w:rsidRDefault="00CD60C2" w:rsidP="00491364">
            <w:pPr>
              <w:numPr>
                <w:ilvl w:val="0"/>
                <w:numId w:val="23"/>
              </w:numPr>
              <w:rPr>
                <w:rFonts w:eastAsia="Arial" w:cs="Arial"/>
                <w:b w:val="0"/>
                <w:bCs w:val="0"/>
              </w:rPr>
            </w:pPr>
            <w:r w:rsidRPr="00CD10A6">
              <w:rPr>
                <w:rFonts w:eastAsia="Arial" w:cs="Arial"/>
                <w:b w:val="0"/>
                <w:bCs w:val="0"/>
              </w:rPr>
              <w:t xml:space="preserve">SIC codes (2007) – 5 digits full codes – such as the ones from the RAP funded firms </w:t>
            </w:r>
          </w:p>
        </w:tc>
      </w:tr>
      <w:tr w:rsidR="00CD60C2" w:rsidRPr="00F34274" w14:paraId="63A4A18B" w14:textId="77777777" w:rsidTr="07F50397">
        <w:trPr>
          <w:trHeight w:val="515"/>
        </w:trPr>
        <w:tc>
          <w:tcPr>
            <w:cnfStyle w:val="001000000000" w:firstRow="0" w:lastRow="0" w:firstColumn="1" w:lastColumn="0" w:oddVBand="0" w:evenVBand="0" w:oddHBand="0" w:evenHBand="0" w:firstRowFirstColumn="0" w:firstRowLastColumn="0" w:lastRowFirstColumn="0" w:lastRowLastColumn="0"/>
            <w:tcW w:w="8607" w:type="dxa"/>
            <w:tcBorders>
              <w:top w:val="single" w:sz="4" w:space="0" w:color="142855" w:themeColor="text2"/>
              <w:bottom w:val="single" w:sz="4" w:space="0" w:color="142855" w:themeColor="text2"/>
            </w:tcBorders>
            <w:hideMark/>
          </w:tcPr>
          <w:p w14:paraId="1B59EB4D" w14:textId="77777777" w:rsidR="00CD60C2" w:rsidRPr="00CD10A6" w:rsidRDefault="00CD60C2" w:rsidP="00491364">
            <w:pPr>
              <w:numPr>
                <w:ilvl w:val="0"/>
                <w:numId w:val="24"/>
              </w:numPr>
              <w:rPr>
                <w:rFonts w:eastAsia="Arial" w:cs="Arial"/>
                <w:b w:val="0"/>
                <w:bCs w:val="0"/>
              </w:rPr>
            </w:pPr>
            <w:r w:rsidRPr="00CD10A6">
              <w:rPr>
                <w:rFonts w:eastAsia="Arial" w:cs="Arial"/>
                <w:b w:val="0"/>
                <w:bCs w:val="0"/>
              </w:rPr>
              <w:t>and Companies House ID is none of the ones from the MI firms (to avoid the presence of RAP funded firms in the counterfactual group)</w:t>
            </w:r>
          </w:p>
        </w:tc>
      </w:tr>
    </w:tbl>
    <w:p w14:paraId="0C57C2CE" w14:textId="77777777" w:rsidR="00CD60C2" w:rsidRPr="00F34274" w:rsidRDefault="00CD60C2" w:rsidP="00957DB2">
      <w:pPr>
        <w:rPr>
          <w:rFonts w:eastAsia="Arial" w:cs="Arial"/>
        </w:rPr>
      </w:pPr>
    </w:p>
    <w:p w14:paraId="166B4869" w14:textId="4B8C7A71" w:rsidR="00270A72" w:rsidRPr="00F34274" w:rsidRDefault="00270A72" w:rsidP="00270A72">
      <w:pPr>
        <w:rPr>
          <w:rFonts w:eastAsia="Arial" w:cs="Arial"/>
        </w:rPr>
      </w:pPr>
      <w:r w:rsidRPr="00F34274">
        <w:rPr>
          <w:rFonts w:eastAsia="Arial" w:cs="Arial"/>
        </w:rPr>
        <w:t>By incorporating filters on the financial statement metrics</w:t>
      </w:r>
      <w:r>
        <w:rPr>
          <w:rFonts w:eastAsia="Arial" w:cs="Arial"/>
        </w:rPr>
        <w:t xml:space="preserve"> required by RAP firms and KPI ranges for RAP funded firms (turnover, employment, etc.),</w:t>
      </w:r>
      <w:r w:rsidRPr="00F34274">
        <w:rPr>
          <w:rFonts w:eastAsia="Arial" w:cs="Arial"/>
        </w:rPr>
        <w:t xml:space="preserve"> </w:t>
      </w:r>
      <w:r>
        <w:rPr>
          <w:rFonts w:eastAsia="Arial" w:cs="Arial"/>
        </w:rPr>
        <w:t>we could draw</w:t>
      </w:r>
      <w:r w:rsidRPr="00F34274">
        <w:rPr>
          <w:rFonts w:eastAsia="Arial" w:cs="Arial"/>
        </w:rPr>
        <w:t xml:space="preserve"> </w:t>
      </w:r>
      <w:r>
        <w:rPr>
          <w:rFonts w:eastAsia="Arial" w:cs="Arial"/>
        </w:rPr>
        <w:t>a</w:t>
      </w:r>
      <w:r w:rsidRPr="00F34274">
        <w:rPr>
          <w:rFonts w:eastAsia="Arial" w:cs="Arial"/>
        </w:rPr>
        <w:t xml:space="preserve"> counterfactual group</w:t>
      </w:r>
      <w:r>
        <w:rPr>
          <w:rFonts w:eastAsia="Arial" w:cs="Arial"/>
        </w:rPr>
        <w:t>.</w:t>
      </w:r>
      <w:r w:rsidRPr="00F34274">
        <w:rPr>
          <w:rFonts w:eastAsia="Arial" w:cs="Arial"/>
        </w:rPr>
        <w:t xml:space="preserve"> </w:t>
      </w:r>
      <w:r>
        <w:rPr>
          <w:rFonts w:eastAsia="Arial" w:cs="Arial"/>
        </w:rPr>
        <w:t>This subset of</w:t>
      </w:r>
      <w:r w:rsidRPr="00F34274">
        <w:rPr>
          <w:rFonts w:eastAsia="Arial" w:cs="Arial"/>
        </w:rPr>
        <w:t xml:space="preserve"> firms </w:t>
      </w:r>
      <w:r>
        <w:rPr>
          <w:rFonts w:eastAsia="Arial" w:cs="Arial"/>
        </w:rPr>
        <w:t xml:space="preserve">would fall within the bounds related to RAP funded SMEs and was used as the counterfactual subset which further matching techniques were applied. </w:t>
      </w:r>
      <w:r w:rsidRPr="00D92FD0">
        <w:rPr>
          <w:rFonts w:eastAsia="Arial" w:cs="Arial"/>
        </w:rPr>
        <w:lastRenderedPageBreak/>
        <w:t xml:space="preserve">However, it is important to consider the limitations associated with this method for retrieving counterfactual firms. Some of these firms may have received multiple rounds of funding during the selected period for our counterfactual group (2020 and 2021), and </w:t>
      </w:r>
      <w:r w:rsidRPr="00D92FD0">
        <w:rPr>
          <w:rFonts w:eastAsia="Arial" w:cs="Arial"/>
          <w:b/>
          <w:bCs/>
        </w:rPr>
        <w:t xml:space="preserve">we cannot specifically target the first fundraising event to apply the financial statements to when building a counterfactual on </w:t>
      </w:r>
      <w:proofErr w:type="spellStart"/>
      <w:r w:rsidRPr="00D92FD0">
        <w:rPr>
          <w:rFonts w:eastAsia="Arial" w:cs="Arial"/>
          <w:b/>
          <w:bCs/>
        </w:rPr>
        <w:t>Beauhurst</w:t>
      </w:r>
      <w:proofErr w:type="spellEnd"/>
      <w:r w:rsidRPr="00D92FD0">
        <w:rPr>
          <w:rFonts w:eastAsia="Arial" w:cs="Arial"/>
          <w:b/>
          <w:bCs/>
        </w:rPr>
        <w:t>.</w:t>
      </w:r>
      <w:r w:rsidR="00890C22">
        <w:rPr>
          <w:rFonts w:eastAsia="Arial" w:cs="Arial"/>
          <w:b/>
          <w:bCs/>
        </w:rPr>
        <w:t xml:space="preserve"> </w:t>
      </w:r>
      <w:r w:rsidR="00890C22" w:rsidRPr="004B1C7A">
        <w:rPr>
          <w:rFonts w:eastAsia="Arial" w:cs="Arial"/>
        </w:rPr>
        <w:t>Therefore, counterfactual firms that may have raised similar fundraisings at the time of a funded firms Future Fund funding allocation, may not be matched.</w:t>
      </w:r>
      <w:r w:rsidR="00890C22">
        <w:rPr>
          <w:rFonts w:eastAsia="Arial" w:cs="Arial"/>
          <w:b/>
          <w:bCs/>
        </w:rPr>
        <w:t xml:space="preserve"> </w:t>
      </w:r>
      <w:r w:rsidR="00890C22">
        <w:rPr>
          <w:rFonts w:eastAsia="Arial" w:cs="Arial"/>
        </w:rPr>
        <w:t>This would improve the quality of the matching.</w:t>
      </w:r>
    </w:p>
    <w:p w14:paraId="2CC591C7" w14:textId="77777777" w:rsidR="00270A72" w:rsidRPr="00F34274" w:rsidRDefault="00270A72" w:rsidP="00270A72">
      <w:pPr>
        <w:rPr>
          <w:rFonts w:eastAsia="Arial" w:cs="Arial"/>
          <w:b/>
        </w:rPr>
      </w:pPr>
      <w:r w:rsidRPr="00F34274">
        <w:rPr>
          <w:rFonts w:eastAsia="Arial" w:cs="Arial"/>
          <w:b/>
        </w:rPr>
        <w:t xml:space="preserve">Data availability remains a </w:t>
      </w:r>
      <w:proofErr w:type="gramStart"/>
      <w:r w:rsidRPr="00F34274">
        <w:rPr>
          <w:rFonts w:eastAsia="Arial" w:cs="Arial"/>
          <w:b/>
        </w:rPr>
        <w:t>limitation</w:t>
      </w:r>
      <w:proofErr w:type="gramEnd"/>
    </w:p>
    <w:p w14:paraId="32764A86" w14:textId="77777777" w:rsidR="00270A72" w:rsidRPr="00F34274" w:rsidRDefault="00270A72" w:rsidP="00270A72">
      <w:pPr>
        <w:rPr>
          <w:rFonts w:eastAsia="Arial" w:cs="Arial"/>
        </w:rPr>
      </w:pPr>
      <w:r w:rsidRPr="00F34274">
        <w:rPr>
          <w:rFonts w:eastAsia="Arial" w:cs="Arial"/>
        </w:rPr>
        <w:t>Although we were able to locate the relevant variables for the data frame, it is important to note that not all variables had complete datasets. This became particularly relevant during the modelling stage when conducting the propensity score matching exercise, as variables with limited observations had to be omitted. This will be covered in detail in the section below on Propensity Score Matching - Modelling</w:t>
      </w:r>
    </w:p>
    <w:p w14:paraId="7F15B83D" w14:textId="77777777" w:rsidR="00270A72" w:rsidRPr="00F34274" w:rsidRDefault="00270A72" w:rsidP="00270A72">
      <w:pPr>
        <w:rPr>
          <w:rFonts w:eastAsia="Arial" w:cs="Arial"/>
          <w:b/>
          <w:bCs/>
        </w:rPr>
      </w:pPr>
      <w:r>
        <w:rPr>
          <w:rFonts w:eastAsia="Arial" w:cs="Arial"/>
          <w:b/>
          <w:bCs/>
        </w:rPr>
        <w:t>G</w:t>
      </w:r>
      <w:r w:rsidRPr="00F34274">
        <w:rPr>
          <w:rFonts w:eastAsia="Arial" w:cs="Arial"/>
          <w:b/>
          <w:bCs/>
        </w:rPr>
        <w:t>3. Data frame development</w:t>
      </w:r>
    </w:p>
    <w:p w14:paraId="7F49F9E3" w14:textId="77777777" w:rsidR="00270A72" w:rsidRPr="00F34274" w:rsidRDefault="00270A72" w:rsidP="00270A72">
      <w:pPr>
        <w:rPr>
          <w:rFonts w:eastAsia="Arial" w:cs="Arial"/>
        </w:rPr>
      </w:pPr>
      <w:r w:rsidRPr="00F34274">
        <w:rPr>
          <w:rFonts w:eastAsia="Arial" w:cs="Arial"/>
        </w:rPr>
        <w:t xml:space="preserve">Having sourced the data from various databases the next step was building the full data frame. This required data extraction from each database using the CRNs to ensure data per year was pulled together for the associated enterprises as classified in Companies House. Observations (firms) were discarded where full data wasn’t available across the IDBR or </w:t>
      </w:r>
      <w:proofErr w:type="spellStart"/>
      <w:r w:rsidRPr="00F34274">
        <w:rPr>
          <w:rFonts w:eastAsia="Arial" w:cs="Arial"/>
        </w:rPr>
        <w:t>Beauhurst</w:t>
      </w:r>
      <w:proofErr w:type="spellEnd"/>
      <w:r w:rsidRPr="00F34274">
        <w:rPr>
          <w:rFonts w:eastAsia="Arial" w:cs="Arial"/>
        </w:rPr>
        <w:t xml:space="preserve"> datasets. </w:t>
      </w:r>
    </w:p>
    <w:p w14:paraId="540471E0" w14:textId="77777777" w:rsidR="00270A72" w:rsidRPr="00F34274" w:rsidRDefault="00270A72" w:rsidP="00270A72">
      <w:pPr>
        <w:rPr>
          <w:rFonts w:eastAsia="Arial" w:cs="Arial"/>
        </w:rPr>
      </w:pPr>
      <w:r w:rsidRPr="00F34274">
        <w:rPr>
          <w:rFonts w:eastAsia="Arial" w:cs="Arial"/>
        </w:rPr>
        <w:t xml:space="preserve">Additional variables were computed such as the indicator variable for portfolio firms (assigned a 1) and counterfactual firms (assigned a 0) within the combined data frame. This was required for the propensity score matching exercise. Another additional variable was created, which was the </w:t>
      </w:r>
      <w:r w:rsidRPr="00F34274">
        <w:rPr>
          <w:rFonts w:eastAsia="Arial" w:cs="Arial"/>
          <w:i/>
          <w:iCs/>
        </w:rPr>
        <w:t>number of days</w:t>
      </w:r>
      <w:r w:rsidRPr="00F34274">
        <w:rPr>
          <w:rFonts w:eastAsia="Arial" w:cs="Arial"/>
        </w:rPr>
        <w:t xml:space="preserve"> since incorporation. Firm-level data for the date of incorporation was provided by </w:t>
      </w:r>
      <w:proofErr w:type="spellStart"/>
      <w:r w:rsidRPr="00F34274">
        <w:rPr>
          <w:rFonts w:eastAsia="Arial" w:cs="Arial"/>
        </w:rPr>
        <w:t>Beauhurst</w:t>
      </w:r>
      <w:proofErr w:type="spellEnd"/>
      <w:r w:rsidRPr="00F34274">
        <w:rPr>
          <w:rFonts w:eastAsia="Arial" w:cs="Arial"/>
        </w:rPr>
        <w:t>. The variable was transformed by calculating the number of days since incorporation until December 31, 2019, right before the first funding provided to firms as part of the Regional Angels Programme.</w:t>
      </w:r>
    </w:p>
    <w:p w14:paraId="36AFA73D" w14:textId="083C0758" w:rsidR="00CD60C2" w:rsidRDefault="003C06F0" w:rsidP="00270A72">
      <w:pPr>
        <w:rPr>
          <w:rFonts w:eastAsia="Arial" w:cs="Arial"/>
        </w:rPr>
      </w:pPr>
      <w:r>
        <w:rPr>
          <w:rFonts w:eastAsia="Arial" w:cs="Arial"/>
        </w:rPr>
        <w:fldChar w:fldCharType="begin"/>
      </w:r>
      <w:r>
        <w:rPr>
          <w:rFonts w:eastAsia="Arial" w:cs="Arial"/>
        </w:rPr>
        <w:instrText xml:space="preserve"> REF _Ref145072998 \h </w:instrText>
      </w:r>
      <w:r>
        <w:rPr>
          <w:rFonts w:eastAsia="Arial" w:cs="Arial"/>
        </w:rPr>
      </w:r>
      <w:r>
        <w:rPr>
          <w:rFonts w:eastAsia="Arial" w:cs="Arial"/>
        </w:rPr>
        <w:fldChar w:fldCharType="separate"/>
      </w:r>
      <w:r w:rsidR="00BC412E" w:rsidRPr="00F34274">
        <w:rPr>
          <w:rFonts w:eastAsia="Arial" w:cs="Arial"/>
          <w:iCs/>
          <w:color w:val="555674"/>
          <w:szCs w:val="18"/>
        </w:rPr>
        <w:t xml:space="preserve">Table </w:t>
      </w:r>
      <w:r w:rsidR="00BC412E">
        <w:rPr>
          <w:rFonts w:eastAsia="Arial" w:cs="Arial"/>
          <w:iCs/>
          <w:noProof/>
          <w:color w:val="555674"/>
          <w:szCs w:val="18"/>
        </w:rPr>
        <w:t>18</w:t>
      </w:r>
      <w:r>
        <w:rPr>
          <w:rFonts w:eastAsia="Arial" w:cs="Arial"/>
        </w:rPr>
        <w:fldChar w:fldCharType="end"/>
      </w:r>
      <w:r w:rsidR="00270A72" w:rsidRPr="00F34274">
        <w:rPr>
          <w:rFonts w:eastAsia="Arial" w:cs="Arial"/>
        </w:rPr>
        <w:t xml:space="preserve"> below indicates the number of observations (firms) available throughout each year – from 2017 to 2022 - after combining data from both IDBR and </w:t>
      </w:r>
      <w:proofErr w:type="spellStart"/>
      <w:r w:rsidR="00270A72" w:rsidRPr="00F34274">
        <w:rPr>
          <w:rFonts w:eastAsia="Arial" w:cs="Arial"/>
        </w:rPr>
        <w:t>Beauhurst</w:t>
      </w:r>
      <w:proofErr w:type="spellEnd"/>
      <w:r w:rsidR="00270A72" w:rsidRPr="00F34274">
        <w:rPr>
          <w:rFonts w:eastAsia="Arial" w:cs="Arial"/>
        </w:rPr>
        <w:t xml:space="preserve"> datasets, compared to the initial number of portfolio and counterfactual firms:</w:t>
      </w:r>
    </w:p>
    <w:p w14:paraId="5F920DB7" w14:textId="77777777" w:rsidR="001A6B44" w:rsidRDefault="001A6B44" w:rsidP="00270A72">
      <w:pPr>
        <w:rPr>
          <w:rFonts w:eastAsia="Arial" w:cs="Arial"/>
        </w:rPr>
      </w:pPr>
    </w:p>
    <w:p w14:paraId="0BAF9FC9" w14:textId="0E41EA9C" w:rsidR="00CD60C2" w:rsidRPr="00F34274" w:rsidRDefault="00CD60C2" w:rsidP="00957DB2">
      <w:pPr>
        <w:spacing w:before="120"/>
        <w:rPr>
          <w:rFonts w:eastAsia="Arial" w:cs="Arial"/>
          <w:iCs/>
          <w:color w:val="555674"/>
          <w:szCs w:val="18"/>
        </w:rPr>
      </w:pPr>
      <w:bookmarkStart w:id="284" w:name="_Ref145072998"/>
      <w:r w:rsidRPr="00F34274">
        <w:rPr>
          <w:rFonts w:eastAsia="Arial" w:cs="Arial"/>
          <w:iCs/>
          <w:color w:val="555674"/>
          <w:szCs w:val="18"/>
        </w:rPr>
        <w:lastRenderedPageBreak/>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18</w:t>
      </w:r>
      <w:r w:rsidRPr="00F34274">
        <w:rPr>
          <w:rFonts w:eastAsia="Arial" w:cs="Arial"/>
          <w:iCs/>
          <w:noProof/>
          <w:color w:val="555674"/>
          <w:szCs w:val="18"/>
        </w:rPr>
        <w:fldChar w:fldCharType="end"/>
      </w:r>
      <w:bookmarkEnd w:id="284"/>
      <w:r w:rsidRPr="00F34274">
        <w:rPr>
          <w:rFonts w:eastAsia="Arial" w:cs="Arial"/>
          <w:iCs/>
          <w:color w:val="555674"/>
          <w:szCs w:val="18"/>
        </w:rPr>
        <w:t>: Number of observations</w:t>
      </w:r>
    </w:p>
    <w:tbl>
      <w:tblPr>
        <w:tblStyle w:val="PlainTable21"/>
        <w:tblW w:w="0" w:type="auto"/>
        <w:tblBorders>
          <w:top w:val="single" w:sz="4" w:space="0" w:color="142855" w:themeColor="text2"/>
          <w:bottom w:val="single" w:sz="4" w:space="0" w:color="142855" w:themeColor="text2"/>
          <w:insideH w:val="single" w:sz="4" w:space="0" w:color="142855" w:themeColor="text2"/>
        </w:tblBorders>
        <w:tblLook w:val="04A0" w:firstRow="1" w:lastRow="0" w:firstColumn="1" w:lastColumn="0" w:noHBand="0" w:noVBand="1"/>
      </w:tblPr>
      <w:tblGrid>
        <w:gridCol w:w="5387"/>
        <w:gridCol w:w="1701"/>
        <w:gridCol w:w="1984"/>
      </w:tblGrid>
      <w:tr w:rsidR="00CD60C2" w:rsidRPr="00F34274" w14:paraId="487A8D0D" w14:textId="77777777" w:rsidTr="00361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142855" w:themeColor="text2"/>
            </w:tcBorders>
          </w:tcPr>
          <w:p w14:paraId="6B91A694" w14:textId="77777777" w:rsidR="00CD60C2" w:rsidRPr="00CD10A6" w:rsidRDefault="00CD60C2" w:rsidP="00957DB2">
            <w:pPr>
              <w:rPr>
                <w:rFonts w:eastAsia="Arial" w:cs="Arial"/>
                <w:color w:val="142855" w:themeColor="text2"/>
              </w:rPr>
            </w:pPr>
            <w:bookmarkStart w:id="285" w:name="_Hlk142317739"/>
          </w:p>
        </w:tc>
        <w:tc>
          <w:tcPr>
            <w:tcW w:w="1701" w:type="dxa"/>
            <w:tcBorders>
              <w:bottom w:val="single" w:sz="4" w:space="0" w:color="142855" w:themeColor="text2"/>
            </w:tcBorders>
            <w:hideMark/>
          </w:tcPr>
          <w:p w14:paraId="4DB05D52" w14:textId="77777777" w:rsidR="00CD60C2" w:rsidRPr="00CD10A6" w:rsidRDefault="00CD60C2" w:rsidP="00CD10A6">
            <w:pPr>
              <w:jc w:val="right"/>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Portfolio</w:t>
            </w:r>
          </w:p>
        </w:tc>
        <w:tc>
          <w:tcPr>
            <w:tcW w:w="1984" w:type="dxa"/>
            <w:tcBorders>
              <w:bottom w:val="single" w:sz="4" w:space="0" w:color="142855" w:themeColor="text2"/>
            </w:tcBorders>
            <w:hideMark/>
          </w:tcPr>
          <w:p w14:paraId="01F8FFD0" w14:textId="77777777" w:rsidR="00CD60C2" w:rsidRPr="00CD10A6" w:rsidRDefault="00CD60C2" w:rsidP="00CD10A6">
            <w:pPr>
              <w:jc w:val="right"/>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CD10A6">
              <w:rPr>
                <w:rFonts w:eastAsia="Arial" w:cs="Arial"/>
                <w:color w:val="142855" w:themeColor="text2"/>
              </w:rPr>
              <w:t>Counterfactual</w:t>
            </w:r>
          </w:p>
        </w:tc>
      </w:tr>
      <w:tr w:rsidR="00CD60C2" w:rsidRPr="00F34274" w14:paraId="59B72689" w14:textId="77777777" w:rsidTr="00361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142855" w:themeColor="text2"/>
              <w:bottom w:val="single" w:sz="4" w:space="0" w:color="142855" w:themeColor="text2"/>
            </w:tcBorders>
            <w:hideMark/>
          </w:tcPr>
          <w:p w14:paraId="2082184C" w14:textId="77777777" w:rsidR="00CD60C2" w:rsidRPr="00F34274" w:rsidRDefault="00CD60C2" w:rsidP="00957DB2">
            <w:pPr>
              <w:rPr>
                <w:rFonts w:eastAsia="Arial" w:cs="Arial"/>
                <w:b w:val="0"/>
              </w:rPr>
            </w:pPr>
            <w:r w:rsidRPr="00F34274">
              <w:rPr>
                <w:rFonts w:eastAsia="Arial" w:cs="Arial"/>
              </w:rPr>
              <w:t>Population size</w:t>
            </w:r>
          </w:p>
        </w:tc>
        <w:tc>
          <w:tcPr>
            <w:tcW w:w="1701" w:type="dxa"/>
            <w:tcBorders>
              <w:top w:val="single" w:sz="4" w:space="0" w:color="142855" w:themeColor="text2"/>
              <w:bottom w:val="single" w:sz="4" w:space="0" w:color="142855" w:themeColor="text2"/>
            </w:tcBorders>
            <w:hideMark/>
          </w:tcPr>
          <w:p w14:paraId="39EAEDA8" w14:textId="77777777" w:rsidR="00CD60C2" w:rsidRPr="00F34274" w:rsidRDefault="00CD60C2" w:rsidP="00CD10A6">
            <w:pPr>
              <w:ind w:left="566"/>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372</w:t>
            </w:r>
          </w:p>
        </w:tc>
        <w:tc>
          <w:tcPr>
            <w:tcW w:w="1984" w:type="dxa"/>
            <w:tcBorders>
              <w:top w:val="single" w:sz="4" w:space="0" w:color="142855" w:themeColor="text2"/>
              <w:bottom w:val="single" w:sz="4" w:space="0" w:color="142855" w:themeColor="text2"/>
            </w:tcBorders>
            <w:hideMark/>
          </w:tcPr>
          <w:p w14:paraId="04AC1BE7" w14:textId="77777777" w:rsidR="00CD60C2" w:rsidRPr="00F34274" w:rsidRDefault="00CD60C2" w:rsidP="00CD10A6">
            <w:pPr>
              <w:ind w:left="566"/>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210</w:t>
            </w:r>
          </w:p>
        </w:tc>
      </w:tr>
      <w:tr w:rsidR="00CD60C2" w:rsidRPr="00F34274" w14:paraId="6383608F" w14:textId="77777777" w:rsidTr="003615A7">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142855" w:themeColor="text2"/>
            </w:tcBorders>
            <w:hideMark/>
          </w:tcPr>
          <w:p w14:paraId="624E49C2" w14:textId="77777777" w:rsidR="00CD60C2" w:rsidRPr="00F34274" w:rsidRDefault="00CD60C2" w:rsidP="00957DB2">
            <w:pPr>
              <w:rPr>
                <w:rFonts w:eastAsia="Arial" w:cs="Arial"/>
                <w:b w:val="0"/>
              </w:rPr>
            </w:pPr>
            <w:r w:rsidRPr="00F34274">
              <w:rPr>
                <w:rFonts w:eastAsia="Arial" w:cs="Arial"/>
              </w:rPr>
              <w:t>Sample size after IDBR and BH matching</w:t>
            </w:r>
          </w:p>
        </w:tc>
        <w:tc>
          <w:tcPr>
            <w:tcW w:w="1701" w:type="dxa"/>
            <w:tcBorders>
              <w:top w:val="single" w:sz="4" w:space="0" w:color="142855" w:themeColor="text2"/>
            </w:tcBorders>
            <w:hideMark/>
          </w:tcPr>
          <w:p w14:paraId="70707835" w14:textId="77777777" w:rsidR="00CD60C2" w:rsidRPr="00F34274" w:rsidRDefault="00CD60C2" w:rsidP="00CD10A6">
            <w:pPr>
              <w:ind w:left="566"/>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155</w:t>
            </w:r>
          </w:p>
        </w:tc>
        <w:tc>
          <w:tcPr>
            <w:tcW w:w="1984" w:type="dxa"/>
            <w:tcBorders>
              <w:top w:val="single" w:sz="4" w:space="0" w:color="142855" w:themeColor="text2"/>
            </w:tcBorders>
            <w:hideMark/>
          </w:tcPr>
          <w:p w14:paraId="25C07634" w14:textId="77777777" w:rsidR="00CD60C2" w:rsidRPr="00F34274" w:rsidRDefault="00CD60C2" w:rsidP="00CD10A6">
            <w:pPr>
              <w:ind w:left="566"/>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150</w:t>
            </w:r>
          </w:p>
        </w:tc>
      </w:tr>
      <w:bookmarkEnd w:id="285"/>
    </w:tbl>
    <w:p w14:paraId="7C34A98C" w14:textId="77777777" w:rsidR="00870D9C" w:rsidRDefault="00870D9C" w:rsidP="00270A72">
      <w:pPr>
        <w:rPr>
          <w:rFonts w:eastAsia="Arial" w:cs="Arial"/>
          <w:b/>
          <w:bCs/>
        </w:rPr>
      </w:pPr>
    </w:p>
    <w:p w14:paraId="7E431F9E" w14:textId="54CC9305" w:rsidR="00270A72" w:rsidRPr="00F34274" w:rsidRDefault="00583028" w:rsidP="00270A72">
      <w:pPr>
        <w:rPr>
          <w:rFonts w:eastAsia="Arial" w:cs="Arial"/>
        </w:rPr>
      </w:pPr>
      <w:r>
        <w:rPr>
          <w:rFonts w:eastAsia="Arial" w:cs="Arial"/>
          <w:b/>
          <w:bCs/>
        </w:rPr>
        <w:t>Importantly</w:t>
      </w:r>
      <w:r w:rsidR="00270A72" w:rsidRPr="00F34274">
        <w:rPr>
          <w:rFonts w:eastAsia="Arial" w:cs="Arial"/>
          <w:b/>
          <w:bCs/>
        </w:rPr>
        <w:t xml:space="preserve"> not </w:t>
      </w:r>
      <w:proofErr w:type="gramStart"/>
      <w:r w:rsidR="00270A72" w:rsidRPr="00F34274">
        <w:rPr>
          <w:rFonts w:eastAsia="Arial" w:cs="Arial"/>
          <w:b/>
          <w:bCs/>
        </w:rPr>
        <w:t>all of</w:t>
      </w:r>
      <w:proofErr w:type="gramEnd"/>
      <w:r w:rsidR="00270A72" w:rsidRPr="00F34274">
        <w:rPr>
          <w:rFonts w:eastAsia="Arial" w:cs="Arial"/>
          <w:b/>
          <w:bCs/>
        </w:rPr>
        <w:t xml:space="preserve"> the funded firms were available in the IDBR dataset.</w:t>
      </w:r>
      <w:r w:rsidR="00270A72" w:rsidRPr="00F34274">
        <w:rPr>
          <w:rFonts w:eastAsia="Arial" w:cs="Arial"/>
        </w:rPr>
        <w:t xml:space="preserve"> After investigation, we found that many MI firms were </w:t>
      </w:r>
      <w:r w:rsidR="009C13A3">
        <w:rPr>
          <w:rFonts w:eastAsia="Arial" w:cs="Arial"/>
        </w:rPr>
        <w:t>not in</w:t>
      </w:r>
      <w:r w:rsidR="00270A72" w:rsidRPr="00F34274">
        <w:rPr>
          <w:rFonts w:eastAsia="Arial" w:cs="Arial"/>
        </w:rPr>
        <w:t xml:space="preserve"> the IDBR database</w:t>
      </w:r>
      <w:r w:rsidR="009C13A3">
        <w:rPr>
          <w:rFonts w:eastAsia="Arial" w:cs="Arial"/>
        </w:rPr>
        <w:t>, likely</w:t>
      </w:r>
      <w:r w:rsidR="00270A72" w:rsidRPr="00F34274">
        <w:rPr>
          <w:rFonts w:eastAsia="Arial" w:cs="Arial"/>
        </w:rPr>
        <w:t xml:space="preserve"> due to their small size. For firms to show up in the IDBR, they need to be VAT/PAYE registered and demonstrate a minimum level of business activity. Some firms that receive RAP funding might be at too early a stage to meet these criteria</w:t>
      </w:r>
      <w:r w:rsidR="00270A72" w:rsidRPr="00F34274" w:rsidDel="005C5EBB">
        <w:rPr>
          <w:rFonts w:eastAsia="Arial" w:cs="Arial"/>
        </w:rPr>
        <w:t xml:space="preserve">. </w:t>
      </w:r>
      <w:r w:rsidR="00270A72" w:rsidRPr="00F34274">
        <w:rPr>
          <w:rFonts w:eastAsia="Arial" w:cs="Arial"/>
        </w:rPr>
        <w:t xml:space="preserve">While the counterfactual group was created by considering the totality of the sample of MI firms, these </w:t>
      </w:r>
      <w:r w:rsidR="00270A72" w:rsidRPr="00F34274" w:rsidDel="005C5EBB">
        <w:rPr>
          <w:rFonts w:eastAsia="Arial" w:cs="Arial"/>
        </w:rPr>
        <w:t xml:space="preserve">would </w:t>
      </w:r>
      <w:r w:rsidR="00270A72" w:rsidRPr="00F34274">
        <w:rPr>
          <w:rFonts w:eastAsia="Arial" w:cs="Arial"/>
        </w:rPr>
        <w:t xml:space="preserve">have also been </w:t>
      </w:r>
      <w:proofErr w:type="spellStart"/>
      <w:r w:rsidR="009C13A3">
        <w:rPr>
          <w:rFonts w:eastAsia="Arial" w:cs="Arial"/>
        </w:rPr>
        <w:t>boased</w:t>
      </w:r>
      <w:proofErr w:type="spellEnd"/>
      <w:r w:rsidR="009C13A3" w:rsidRPr="00F34274">
        <w:rPr>
          <w:rFonts w:eastAsia="Arial" w:cs="Arial"/>
        </w:rPr>
        <w:t xml:space="preserve"> </w:t>
      </w:r>
      <w:r w:rsidR="00270A72" w:rsidRPr="00F34274">
        <w:rPr>
          <w:rFonts w:eastAsia="Arial" w:cs="Arial"/>
        </w:rPr>
        <w:t>upwards through the IDBR linking exercise.</w:t>
      </w:r>
    </w:p>
    <w:p w14:paraId="7020FD43" w14:textId="07F4FFC0" w:rsidR="00270A72" w:rsidRPr="00F34274" w:rsidRDefault="00270A72" w:rsidP="00270A72">
      <w:pPr>
        <w:rPr>
          <w:rFonts w:eastAsia="Arial" w:cs="Arial"/>
        </w:rPr>
      </w:pPr>
      <w:r w:rsidRPr="00F34274">
        <w:rPr>
          <w:rFonts w:eastAsia="Arial" w:cs="Arial"/>
        </w:rPr>
        <w:t xml:space="preserve">Further controls were applied as part of the PSM, meaning that the analysis </w:t>
      </w:r>
      <w:r w:rsidR="009C13A3">
        <w:rPr>
          <w:rFonts w:eastAsia="Arial" w:cs="Arial"/>
        </w:rPr>
        <w:t>controls</w:t>
      </w:r>
      <w:r w:rsidRPr="00F34274">
        <w:rPr>
          <w:rFonts w:eastAsia="Arial" w:cs="Arial"/>
        </w:rPr>
        <w:t xml:space="preserve"> the comparison between counterfactual and treatment groups</w:t>
      </w:r>
      <w:r w:rsidR="009C13A3">
        <w:rPr>
          <w:rFonts w:eastAsia="Arial" w:cs="Arial"/>
        </w:rPr>
        <w:t>, making sure they are</w:t>
      </w:r>
      <w:r w:rsidRPr="00F34274">
        <w:rPr>
          <w:rFonts w:eastAsia="Arial" w:cs="Arial"/>
        </w:rPr>
        <w:t xml:space="preserve"> like for like. The analytical challenge is however determining how representative the analysis is across </w:t>
      </w:r>
      <w:proofErr w:type="gramStart"/>
      <w:r w:rsidRPr="00F34274">
        <w:rPr>
          <w:rFonts w:eastAsia="Arial" w:cs="Arial"/>
        </w:rPr>
        <w:t>all of</w:t>
      </w:r>
      <w:proofErr w:type="gramEnd"/>
      <w:r w:rsidRPr="00F34274">
        <w:rPr>
          <w:rFonts w:eastAsia="Arial" w:cs="Arial"/>
        </w:rPr>
        <w:t xml:space="preserve"> the portfolio firms, or whether the results of our analysis are strictly applicable to firm that are in sample. </w:t>
      </w:r>
      <w:r w:rsidRPr="00F34274">
        <w:rPr>
          <w:rFonts w:eastAsia="Arial" w:cs="Arial"/>
          <w:b/>
          <w:bCs/>
        </w:rPr>
        <w:t>For clarity, we are largely assuming that the impact is similar for firms that are out of sample and firms that are in sample, but this is a potential limitation of the study.</w:t>
      </w:r>
    </w:p>
    <w:p w14:paraId="3CA0DFC3" w14:textId="77777777" w:rsidR="00270A72" w:rsidRPr="00F34274" w:rsidRDefault="37407A31" w:rsidP="00270A72">
      <w:pPr>
        <w:rPr>
          <w:rFonts w:eastAsia="Arial" w:cs="Arial"/>
        </w:rPr>
      </w:pPr>
      <w:r w:rsidRPr="00F34274">
        <w:rPr>
          <w:rFonts w:eastAsia="Arial" w:cs="Arial"/>
        </w:rPr>
        <w:t>A logarithmic transformation was applied to all continuous variables (except for employee counts).</w:t>
      </w:r>
      <w:r w:rsidR="00270A72" w:rsidRPr="00F34274">
        <w:rPr>
          <w:rFonts w:eastAsia="Arial" w:cs="Arial"/>
          <w:vertAlign w:val="superscript"/>
        </w:rPr>
        <w:footnoteReference w:id="66"/>
      </w:r>
      <w:r w:rsidRPr="00F34274">
        <w:rPr>
          <w:rFonts w:eastAsia="Arial" w:cs="Arial"/>
        </w:rPr>
        <w:t xml:space="preserve"> This was performed due to the properties of a log function smoothing out series that show large differentials in level terms. Specifically, it reduced the variance fluctuation across observations, which was often caused by extreme values in the dataset, and it addressed some of the skewed covariates in the data frame. It also supports the interpretation of the coefficients as it the log function converts level changes to percent changes – which is more comparable.</w:t>
      </w:r>
    </w:p>
    <w:p w14:paraId="721022C9" w14:textId="02B50F64" w:rsidR="00CD60C2" w:rsidRPr="00F34274" w:rsidRDefault="00270A72" w:rsidP="00270A72">
      <w:pPr>
        <w:rPr>
          <w:rFonts w:eastAsia="Arial" w:cs="Arial"/>
        </w:rPr>
      </w:pPr>
      <w:r w:rsidRPr="00F34274">
        <w:rPr>
          <w:rFonts w:eastAsia="Arial" w:cs="Arial"/>
        </w:rPr>
        <w:t>Employee counts were not transformed due to the low variation in the levels.</w:t>
      </w:r>
      <w:r w:rsidR="00CD60C2" w:rsidRPr="00F34274">
        <w:rPr>
          <w:rFonts w:eastAsia="Arial" w:cs="Arial"/>
        </w:rPr>
        <w:t xml:space="preserve"> </w:t>
      </w:r>
    </w:p>
    <w:p w14:paraId="25761117" w14:textId="77777777" w:rsidR="00270A72" w:rsidRPr="00F34274" w:rsidRDefault="00270A72" w:rsidP="00270A72">
      <w:pPr>
        <w:rPr>
          <w:rFonts w:eastAsia="Arial" w:cs="Arial"/>
        </w:rPr>
      </w:pPr>
      <w:r w:rsidRPr="00F34274">
        <w:rPr>
          <w:rFonts w:eastAsia="Arial" w:cs="Arial"/>
        </w:rPr>
        <w:lastRenderedPageBreak/>
        <w:t>To avoid undefined values resulting from taking the logarithm of zero, 0.01 was added to all continuous observations before the logarithmic transformation was performed.</w:t>
      </w:r>
    </w:p>
    <w:p w14:paraId="3D7A59E0" w14:textId="77777777" w:rsidR="00270A72" w:rsidRPr="00F34274" w:rsidRDefault="00270A72" w:rsidP="00270A72">
      <w:pPr>
        <w:rPr>
          <w:rFonts w:eastAsia="Arial" w:cs="Arial"/>
          <w:b/>
          <w:bCs/>
        </w:rPr>
      </w:pPr>
      <w:r>
        <w:rPr>
          <w:rFonts w:eastAsia="Arial" w:cs="Arial"/>
          <w:b/>
          <w:bCs/>
        </w:rPr>
        <w:t>G</w:t>
      </w:r>
      <w:r w:rsidRPr="00F34274">
        <w:rPr>
          <w:rFonts w:eastAsia="Arial" w:cs="Arial"/>
          <w:b/>
          <w:bCs/>
        </w:rPr>
        <w:t xml:space="preserve">4. Propensity Score Matching – Modelling </w:t>
      </w:r>
    </w:p>
    <w:p w14:paraId="19D6BAE6" w14:textId="77777777" w:rsidR="00270A72" w:rsidRPr="00F34274" w:rsidRDefault="00270A72" w:rsidP="00270A72">
      <w:pPr>
        <w:rPr>
          <w:rFonts w:eastAsia="Arial" w:cs="Arial"/>
          <w:b/>
        </w:rPr>
      </w:pPr>
      <w:r w:rsidRPr="00F34274">
        <w:rPr>
          <w:rFonts w:eastAsia="Arial" w:cs="Arial"/>
          <w:b/>
        </w:rPr>
        <w:t>Variable selection</w:t>
      </w:r>
    </w:p>
    <w:p w14:paraId="5DCCB8D5" w14:textId="0DC53E71" w:rsidR="00270A72" w:rsidRPr="00F34274" w:rsidRDefault="37407A31" w:rsidP="00270A72">
      <w:pPr>
        <w:rPr>
          <w:rFonts w:eastAsia="Arial" w:cs="Arial"/>
        </w:rPr>
      </w:pPr>
      <w:r w:rsidRPr="00F34274">
        <w:rPr>
          <w:rFonts w:eastAsia="Arial" w:cs="Arial"/>
        </w:rPr>
        <w:t>Before moving on to the PSM exercise and the modelling, NAs</w:t>
      </w:r>
      <w:r w:rsidR="00890C22">
        <w:rPr>
          <w:rStyle w:val="FootnoteReference"/>
          <w:rFonts w:eastAsia="Arial" w:cs="Arial"/>
        </w:rPr>
        <w:footnoteReference w:id="67"/>
      </w:r>
      <w:r w:rsidRPr="00F34274">
        <w:rPr>
          <w:rFonts w:eastAsia="Arial" w:cs="Arial"/>
        </w:rPr>
        <w:t xml:space="preserve"> were removed from KPIs that contained them and the sample of treated firms was restricted to 2020 and 2021 firms only by matching for their CRNs – this reduced the pre-matching sample further to 245 observations (107 for the treated group and 138 for the counterfactual).</w:t>
      </w:r>
    </w:p>
    <w:p w14:paraId="11DBB4D3" w14:textId="77777777" w:rsidR="00270A72" w:rsidRPr="00F34274" w:rsidRDefault="00270A72" w:rsidP="00270A72">
      <w:pPr>
        <w:rPr>
          <w:rFonts w:eastAsia="Arial" w:cs="Arial"/>
        </w:rPr>
      </w:pPr>
      <w:r w:rsidRPr="00F34274">
        <w:rPr>
          <w:rFonts w:eastAsia="Arial" w:cs="Arial"/>
        </w:rPr>
        <w:t>Following the data processing and transformation steps described above, we able to begin the matching exercise.</w:t>
      </w:r>
    </w:p>
    <w:p w14:paraId="34B4B647" w14:textId="5D042FDB" w:rsidR="00270A72" w:rsidRPr="00F34274" w:rsidRDefault="00270A72" w:rsidP="00270A72">
      <w:pPr>
        <w:rPr>
          <w:rFonts w:eastAsia="Arial" w:cs="Arial"/>
        </w:rPr>
      </w:pPr>
      <w:r w:rsidRPr="00F34274">
        <w:rPr>
          <w:rFonts w:eastAsia="Arial" w:cs="Arial"/>
        </w:rPr>
        <w:t xml:space="preserve">We tested a specific model based on economic </w:t>
      </w:r>
      <w:r w:rsidR="00137495">
        <w:rPr>
          <w:rFonts w:eastAsia="Arial" w:cs="Arial"/>
        </w:rPr>
        <w:t>principles</w:t>
      </w:r>
      <w:r w:rsidRPr="00F34274">
        <w:rPr>
          <w:rFonts w:eastAsia="Arial" w:cs="Arial"/>
        </w:rPr>
        <w:t xml:space="preserve"> regarding the covariates included within the matching specification. This model included the following covariates: </w:t>
      </w:r>
    </w:p>
    <w:p w14:paraId="13C1A168" w14:textId="77777777" w:rsidR="00270A72" w:rsidRPr="00F34274" w:rsidRDefault="00270A72" w:rsidP="00491364">
      <w:pPr>
        <w:numPr>
          <w:ilvl w:val="0"/>
          <w:numId w:val="47"/>
        </w:numPr>
        <w:rPr>
          <w:rFonts w:eastAsia="Arial" w:cs="Arial"/>
        </w:rPr>
      </w:pPr>
      <w:r w:rsidRPr="00F34274">
        <w:rPr>
          <w:rFonts w:eastAsia="Arial" w:cs="Arial"/>
        </w:rPr>
        <w:t>Turnover (in thousands) in 2018</w:t>
      </w:r>
    </w:p>
    <w:p w14:paraId="0659BD92" w14:textId="77777777" w:rsidR="00270A72" w:rsidRPr="00F34274" w:rsidRDefault="00270A72" w:rsidP="00491364">
      <w:pPr>
        <w:numPr>
          <w:ilvl w:val="0"/>
          <w:numId w:val="47"/>
        </w:numPr>
        <w:rPr>
          <w:rFonts w:eastAsia="Arial" w:cs="Arial"/>
        </w:rPr>
      </w:pPr>
      <w:r w:rsidRPr="00F34274">
        <w:rPr>
          <w:rFonts w:eastAsia="Arial" w:cs="Arial"/>
        </w:rPr>
        <w:t>Employee number in 2018</w:t>
      </w:r>
    </w:p>
    <w:p w14:paraId="3BCA32A7" w14:textId="77777777" w:rsidR="00270A72" w:rsidRPr="00F34274" w:rsidRDefault="00270A72" w:rsidP="00491364">
      <w:pPr>
        <w:numPr>
          <w:ilvl w:val="0"/>
          <w:numId w:val="47"/>
        </w:numPr>
        <w:rPr>
          <w:rFonts w:eastAsia="Arial" w:cs="Arial"/>
        </w:rPr>
      </w:pPr>
      <w:r w:rsidRPr="00F34274">
        <w:rPr>
          <w:rFonts w:eastAsia="Arial" w:cs="Arial"/>
        </w:rPr>
        <w:t>SIC 2007</w:t>
      </w:r>
    </w:p>
    <w:p w14:paraId="5705F560" w14:textId="77777777" w:rsidR="00270A72" w:rsidRPr="00F34274" w:rsidRDefault="00270A72" w:rsidP="00491364">
      <w:pPr>
        <w:numPr>
          <w:ilvl w:val="0"/>
          <w:numId w:val="47"/>
        </w:numPr>
        <w:rPr>
          <w:rFonts w:eastAsia="Arial" w:cs="Arial"/>
        </w:rPr>
      </w:pPr>
      <w:r w:rsidRPr="00F34274">
        <w:rPr>
          <w:rFonts w:eastAsia="Arial" w:cs="Arial"/>
        </w:rPr>
        <w:t xml:space="preserve">Dummy variables on scheme mapping of firms for similar schemes (Angel </w:t>
      </w:r>
      <w:proofErr w:type="spellStart"/>
      <w:r w:rsidRPr="00F34274">
        <w:rPr>
          <w:rFonts w:eastAsia="Arial" w:cs="Arial"/>
        </w:rPr>
        <w:t>CoFund</w:t>
      </w:r>
      <w:proofErr w:type="spellEnd"/>
      <w:r w:rsidRPr="00F34274">
        <w:rPr>
          <w:rFonts w:eastAsia="Arial" w:cs="Arial"/>
        </w:rPr>
        <w:t>, Future Fund, BBLS, and CBILS).</w:t>
      </w:r>
    </w:p>
    <w:p w14:paraId="1AA3535F" w14:textId="77777777" w:rsidR="00270A72" w:rsidRPr="00F34274" w:rsidRDefault="00270A72" w:rsidP="00270A72">
      <w:pPr>
        <w:rPr>
          <w:rFonts w:eastAsia="Arial" w:cs="Arial"/>
        </w:rPr>
      </w:pPr>
      <w:r w:rsidRPr="00F34274">
        <w:rPr>
          <w:rFonts w:eastAsia="Arial" w:cs="Arial"/>
        </w:rPr>
        <w:t xml:space="preserve">We selected relevant observed variables to match firms based on their likelihood of receiving funding from RAP. Due to the low sample size, we faced challenges in selecting the best matched sample while ensuring a sufficiently large sample size for subsequent modelling. </w:t>
      </w:r>
      <w:r w:rsidRPr="00F34274">
        <w:rPr>
          <w:rFonts w:eastAsia="Arial" w:cs="Arial"/>
          <w:b/>
          <w:bCs/>
        </w:rPr>
        <w:t>As a result, we had to exclude some covariates from the matching process, making it less robust.</w:t>
      </w:r>
    </w:p>
    <w:p w14:paraId="06C221C8" w14:textId="77777777" w:rsidR="00270A72" w:rsidRPr="00F34274" w:rsidRDefault="00270A72" w:rsidP="00270A72">
      <w:pPr>
        <w:rPr>
          <w:rFonts w:eastAsia="Arial" w:cs="Arial"/>
        </w:rPr>
      </w:pPr>
      <w:r w:rsidRPr="00F34274">
        <w:rPr>
          <w:rFonts w:eastAsia="Arial" w:cs="Arial"/>
        </w:rPr>
        <w:t xml:space="preserve">We focused on key indicators that considered other characteristics of the sample, such as scheme mapping as a proxy for credit rating. Scheme participation by firms can serve as a good proxy for creditworthiness, as start-ups or firms participating in accelerator Programmes or receiving funding usually undergo a rigorous selection and due diligence </w:t>
      </w:r>
      <w:r w:rsidRPr="00F34274">
        <w:rPr>
          <w:rFonts w:eastAsia="Arial" w:cs="Arial"/>
        </w:rPr>
        <w:lastRenderedPageBreak/>
        <w:t xml:space="preserve">process. Furthermore, when they receive funding from reputable investors, they are signalling their creditworthiness. However, the omission of certain indicators, like the stage of evolution variable, resulted in the counterfactual firms appearing to be at a later stage of evolution compared to the treated group after matching. </w:t>
      </w:r>
    </w:p>
    <w:p w14:paraId="6096A6F5" w14:textId="77777777" w:rsidR="00270A72" w:rsidRPr="00F34274" w:rsidRDefault="00270A72" w:rsidP="00270A72">
      <w:pPr>
        <w:rPr>
          <w:rFonts w:eastAsia="Arial" w:cs="Arial"/>
        </w:rPr>
      </w:pPr>
      <w:r w:rsidRPr="00F34274">
        <w:rPr>
          <w:rFonts w:eastAsia="Arial" w:cs="Arial"/>
        </w:rPr>
        <w:t>Regional control was not included in the matching process, as it would be addressed in the subsequent triple DiDiD modelling.</w:t>
      </w:r>
    </w:p>
    <w:p w14:paraId="0E8FF2C7" w14:textId="4CCFE30E" w:rsidR="00270A72" w:rsidRPr="00F34274" w:rsidRDefault="00270A72" w:rsidP="00270A72">
      <w:pPr>
        <w:rPr>
          <w:rFonts w:eastAsia="Arial" w:cs="Arial"/>
        </w:rPr>
      </w:pPr>
      <w:r w:rsidRPr="00F34274">
        <w:rPr>
          <w:rFonts w:eastAsia="Arial" w:cs="Arial"/>
        </w:rPr>
        <w:t>Finally, the less stringent matching process had an impact on the data analysis results, as outliers had a notable influence on the overall trend of the counterfactual group. Also, by removing these outliers, the modelling results lost their statistical significance at the conventional 10% significance levels.</w:t>
      </w:r>
      <w:r w:rsidR="00890C22">
        <w:rPr>
          <w:rFonts w:eastAsia="Arial" w:cs="Arial"/>
        </w:rPr>
        <w:t xml:space="preserve"> See </w:t>
      </w:r>
      <w:r w:rsidR="00890C22">
        <w:rPr>
          <w:rFonts w:eastAsia="Arial" w:cs="Arial"/>
        </w:rPr>
        <w:fldChar w:fldCharType="begin"/>
      </w:r>
      <w:r w:rsidR="00890C22">
        <w:rPr>
          <w:rFonts w:eastAsia="Arial" w:cs="Arial"/>
        </w:rPr>
        <w:instrText xml:space="preserve"> REF _Ref145073354 \h </w:instrText>
      </w:r>
      <w:r w:rsidR="00890C22">
        <w:rPr>
          <w:rFonts w:eastAsia="Arial" w:cs="Arial"/>
        </w:rPr>
      </w:r>
      <w:r w:rsidR="00890C22">
        <w:rPr>
          <w:rFonts w:eastAsia="Arial" w:cs="Arial"/>
        </w:rPr>
        <w:fldChar w:fldCharType="separate"/>
      </w:r>
      <w:r w:rsidR="00BC412E">
        <w:t xml:space="preserve">Table </w:t>
      </w:r>
      <w:r w:rsidR="00BC412E">
        <w:rPr>
          <w:noProof/>
        </w:rPr>
        <w:t>22</w:t>
      </w:r>
      <w:r w:rsidR="00890C22">
        <w:rPr>
          <w:rFonts w:eastAsia="Arial" w:cs="Arial"/>
        </w:rPr>
        <w:fldChar w:fldCharType="end"/>
      </w:r>
      <w:r w:rsidR="00890C22">
        <w:rPr>
          <w:rFonts w:eastAsia="Arial" w:cs="Arial"/>
        </w:rPr>
        <w:t xml:space="preserve"> for the level of significance</w:t>
      </w:r>
      <w:r w:rsidR="000566ED">
        <w:rPr>
          <w:rFonts w:eastAsia="Arial" w:cs="Arial"/>
        </w:rPr>
        <w:t>.</w:t>
      </w:r>
    </w:p>
    <w:p w14:paraId="436173BD" w14:textId="77777777" w:rsidR="00270A72" w:rsidRPr="00F34274" w:rsidRDefault="00270A72" w:rsidP="00270A72">
      <w:pPr>
        <w:rPr>
          <w:rFonts w:eastAsia="Arial" w:cs="Arial"/>
          <w:b/>
        </w:rPr>
      </w:pPr>
      <w:r w:rsidRPr="00F34274">
        <w:rPr>
          <w:rFonts w:eastAsia="Arial" w:cs="Arial"/>
          <w:b/>
        </w:rPr>
        <w:t>The PSM model</w:t>
      </w:r>
    </w:p>
    <w:p w14:paraId="0CA20363" w14:textId="77777777" w:rsidR="00270A72" w:rsidRPr="00F34274" w:rsidRDefault="00270A72" w:rsidP="00270A72">
      <w:pPr>
        <w:rPr>
          <w:rFonts w:eastAsia="Arial" w:cs="Arial"/>
        </w:rPr>
      </w:pPr>
      <w:r w:rsidRPr="00F34274">
        <w:rPr>
          <w:rFonts w:eastAsia="Arial" w:cs="Arial"/>
        </w:rPr>
        <w:t xml:space="preserve">The technique adopted was PSM and is a method used to create like-for-like comparator group firms to the intervention group (RAP participants) on characteristics and traits of the treated group. </w:t>
      </w:r>
    </w:p>
    <w:p w14:paraId="3E68ABC1" w14:textId="77777777" w:rsidR="00270A72" w:rsidRPr="00F34274" w:rsidRDefault="37407A31" w:rsidP="00270A72">
      <w:pPr>
        <w:rPr>
          <w:rFonts w:eastAsia="Arial" w:cs="Arial"/>
        </w:rPr>
      </w:pPr>
      <w:r w:rsidRPr="00F34274">
        <w:rPr>
          <w:rFonts w:eastAsia="Arial" w:cs="Arial"/>
        </w:rPr>
        <w:t>The propensity scores</w:t>
      </w:r>
      <w:r w:rsidR="00270A72" w:rsidRPr="00F34274">
        <w:rPr>
          <w:rFonts w:eastAsia="Arial" w:cs="Arial"/>
          <w:vertAlign w:val="superscript"/>
        </w:rPr>
        <w:footnoteReference w:id="68"/>
      </w:r>
      <w:r w:rsidRPr="00F34274">
        <w:rPr>
          <w:rFonts w:eastAsia="Arial" w:cs="Arial"/>
        </w:rPr>
        <w:t xml:space="preserve"> for each firm in the combined dataset were estimated using a probability function. We used a logit regression model to estimate the propensities. The estimated propensity scores were used to match portfolio firms with counterfactual firms that had the closest score, ensuring a robust like-for-like comparison. In mathematical terms, the propensity scores would be estimated with the following probabilities for each individual firm selected in both the portfolio and counterfactual samples.</w:t>
      </w:r>
    </w:p>
    <w:p w14:paraId="5091ED32" w14:textId="5B308BBD" w:rsidR="00270A72" w:rsidRPr="00F34274" w:rsidRDefault="00270A72" w:rsidP="00270A72">
      <w:pPr>
        <w:rPr>
          <w:rFonts w:eastAsia="Arial" w:cs="Arial"/>
        </w:rPr>
      </w:pPr>
      <m:oMathPara>
        <m:oMath>
          <m:r>
            <w:rPr>
              <w:rFonts w:ascii="Cambria Math" w:eastAsia="Arial" w:hAnsi="Cambria Math" w:cs="Arial"/>
            </w:rPr>
            <m:t>P</m:t>
          </m:r>
          <m:d>
            <m:dPr>
              <m:ctrlPr>
                <w:rPr>
                  <w:rFonts w:ascii="Cambria Math" w:eastAsia="Arial" w:hAnsi="Cambria Math" w:cs="Arial"/>
                  <w:i/>
                  <w:iCs/>
                </w:rPr>
              </m:ctrlPr>
            </m:dPr>
            <m:e>
              <m:r>
                <w:rPr>
                  <w:rFonts w:ascii="Cambria Math" w:eastAsia="Arial" w:hAnsi="Cambria Math" w:cs="Arial"/>
                </w:rPr>
                <m:t>Y=1</m:t>
              </m:r>
            </m:e>
            <m:e>
              <m:r>
                <w:rPr>
                  <w:rFonts w:ascii="Cambria Math" w:eastAsia="Arial" w:hAnsi="Cambria Math" w:cs="Arial"/>
                </w:rPr>
                <m:t>X=x</m:t>
              </m:r>
            </m:e>
          </m:d>
          <m:r>
            <w:rPr>
              <w:rFonts w:ascii="Cambria Math" w:eastAsia="Arial" w:hAnsi="Cambria Math" w:cs="Arial"/>
            </w:rPr>
            <m:t>=log</m:t>
          </m:r>
          <m:d>
            <m:dPr>
              <m:begChr m:val="["/>
              <m:endChr m:val="]"/>
              <m:ctrlPr>
                <w:rPr>
                  <w:rFonts w:ascii="Cambria Math" w:eastAsia="Arial" w:hAnsi="Cambria Math" w:cs="Arial"/>
                  <w:i/>
                </w:rPr>
              </m:ctrlPr>
            </m:dPr>
            <m:e>
              <m:f>
                <m:fPr>
                  <m:ctrlPr>
                    <w:rPr>
                      <w:rFonts w:ascii="Cambria Math" w:eastAsia="Arial" w:hAnsi="Cambria Math" w:cs="Arial"/>
                      <w:i/>
                    </w:rPr>
                  </m:ctrlPr>
                </m:fPr>
                <m:num>
                  <m:r>
                    <w:rPr>
                      <w:rFonts w:ascii="Cambria Math" w:eastAsia="Arial" w:hAnsi="Cambria Math" w:cs="Arial"/>
                    </w:rPr>
                    <m:t>p(x)</m:t>
                  </m:r>
                </m:num>
                <m:den>
                  <m:r>
                    <w:rPr>
                      <w:rFonts w:ascii="Cambria Math" w:eastAsia="Arial" w:hAnsi="Cambria Math" w:cs="Arial"/>
                    </w:rPr>
                    <m:t>1-p(x)</m:t>
                  </m:r>
                </m:den>
              </m:f>
            </m:e>
          </m:d>
        </m:oMath>
      </m:oMathPara>
    </w:p>
    <w:p w14:paraId="09456817" w14:textId="77777777" w:rsidR="00270A72" w:rsidRPr="00F34274" w:rsidRDefault="00270A72" w:rsidP="00270A72">
      <w:pPr>
        <w:rPr>
          <w:rFonts w:eastAsia="Arial" w:cs="Arial"/>
          <w:b/>
          <w:iCs/>
        </w:rPr>
      </w:pPr>
      <w:r w:rsidRPr="00F34274">
        <w:rPr>
          <w:rFonts w:eastAsia="Arial" w:cs="Arial"/>
          <w:b/>
        </w:rPr>
        <w:t>Matching algorithm specification and selection criteria</w:t>
      </w:r>
    </w:p>
    <w:p w14:paraId="1C1A92FE" w14:textId="728383F4" w:rsidR="005E39C1" w:rsidRDefault="37407A31" w:rsidP="00270A72">
      <w:pPr>
        <w:rPr>
          <w:rFonts w:eastAsia="Arial" w:cs="Arial"/>
        </w:rPr>
      </w:pPr>
      <w:r w:rsidRPr="00F34274">
        <w:rPr>
          <w:rFonts w:eastAsia="Arial" w:cs="Arial"/>
        </w:rPr>
        <w:t xml:space="preserve">A range of matching specifications can be applied such as nearest neighbour matching, calliper matching, optimal full matching, coarsened exact matching and so forth. After several matching techniques, the calliper matching specification was the most suitable. The calliper matching was also used in Wilson and Kacer (2019) study that highlighted the importance of equity finance investment for economic development in the UK and identified </w:t>
      </w:r>
      <w:r w:rsidRPr="00F34274">
        <w:rPr>
          <w:rFonts w:eastAsia="Arial" w:cs="Arial"/>
        </w:rPr>
        <w:lastRenderedPageBreak/>
        <w:t>persistent concerns of market failure in the provision of equity finance for high growth and technically innovative firms.</w:t>
      </w:r>
      <w:r w:rsidR="00270A72" w:rsidRPr="00F34274">
        <w:rPr>
          <w:rFonts w:eastAsia="Arial" w:cs="Arial"/>
          <w:vertAlign w:val="superscript"/>
        </w:rPr>
        <w:footnoteReference w:id="69"/>
      </w:r>
      <w:r w:rsidRPr="00F34274">
        <w:rPr>
          <w:rFonts w:eastAsia="Arial" w:cs="Arial"/>
          <w:vertAlign w:val="superscript"/>
        </w:rPr>
        <w:t xml:space="preserve"> </w:t>
      </w:r>
      <w:r w:rsidRPr="00F34274">
        <w:rPr>
          <w:rFonts w:eastAsia="Arial" w:cs="Arial"/>
        </w:rPr>
        <w:t xml:space="preserve">The selection of such matching specifications was based on the sample size of both groups and the covariate balance, which were the metrics that indicated the degree to which the distribution of covariates was similar across levels of the treatment. For details in covariate balance, refer to </w:t>
      </w:r>
      <w:r w:rsidR="003C06F0">
        <w:rPr>
          <w:rFonts w:eastAsia="Arial" w:cs="Arial"/>
        </w:rPr>
        <w:fldChar w:fldCharType="begin"/>
      </w:r>
      <w:r w:rsidR="003C06F0">
        <w:rPr>
          <w:rFonts w:eastAsia="Arial" w:cs="Arial"/>
        </w:rPr>
        <w:instrText xml:space="preserve"> REF _Ref145069835 \h </w:instrText>
      </w:r>
      <w:r w:rsidR="003C06F0">
        <w:rPr>
          <w:rFonts w:eastAsia="Arial" w:cs="Arial"/>
        </w:rPr>
      </w:r>
      <w:r w:rsidR="003C06F0">
        <w:rPr>
          <w:rFonts w:eastAsia="Arial" w:cs="Arial"/>
        </w:rPr>
        <w:fldChar w:fldCharType="separate"/>
      </w:r>
      <w:r w:rsidR="00BC412E" w:rsidRPr="00F34274">
        <w:rPr>
          <w:rFonts w:eastAsia="Arial" w:cs="Arial"/>
          <w:iCs/>
          <w:color w:val="555674"/>
          <w:szCs w:val="18"/>
        </w:rPr>
        <w:t xml:space="preserve">Table </w:t>
      </w:r>
      <w:r w:rsidR="00BC412E">
        <w:rPr>
          <w:rFonts w:eastAsia="Arial" w:cs="Arial"/>
          <w:iCs/>
          <w:noProof/>
          <w:color w:val="555674"/>
          <w:szCs w:val="18"/>
        </w:rPr>
        <w:t>19</w:t>
      </w:r>
      <w:r w:rsidR="003C06F0">
        <w:rPr>
          <w:rFonts w:eastAsia="Arial" w:cs="Arial"/>
        </w:rPr>
        <w:fldChar w:fldCharType="end"/>
      </w:r>
      <w:r>
        <w:rPr>
          <w:rFonts w:eastAsia="Arial" w:cs="Arial"/>
        </w:rPr>
        <w:t xml:space="preserve"> below</w:t>
      </w:r>
      <w:r w:rsidR="00270A72" w:rsidRPr="00F34274">
        <w:rPr>
          <w:rFonts w:eastAsia="Arial" w:cs="Arial"/>
        </w:rPr>
        <w:fldChar w:fldCharType="begin"/>
      </w:r>
      <w:r w:rsidR="00270A72" w:rsidRPr="00F34274">
        <w:rPr>
          <w:rFonts w:eastAsia="Arial" w:cs="Arial"/>
        </w:rPr>
        <w:instrText xml:space="preserve"> REF _Ref136348876 \h </w:instrText>
      </w:r>
      <w:r w:rsidR="00270A72" w:rsidRPr="00F34274">
        <w:rPr>
          <w:rFonts w:eastAsia="Arial" w:cs="Arial"/>
        </w:rPr>
      </w:r>
      <w:r w:rsidR="00270A72" w:rsidRPr="00F34274">
        <w:rPr>
          <w:rFonts w:eastAsia="Arial" w:cs="Arial"/>
        </w:rPr>
        <w:fldChar w:fldCharType="separate"/>
      </w:r>
      <w:r w:rsidR="00BC412E">
        <w:rPr>
          <w:rFonts w:eastAsia="Arial" w:cs="Arial"/>
          <w:b/>
          <w:bCs/>
          <w:lang w:val="en-US"/>
        </w:rPr>
        <w:t>Error! Reference source not found.</w:t>
      </w:r>
      <w:r w:rsidR="00270A72" w:rsidRPr="00F34274">
        <w:rPr>
          <w:rFonts w:eastAsia="Arial" w:cs="Arial"/>
        </w:rPr>
        <w:fldChar w:fldCharType="end"/>
      </w:r>
      <w:r w:rsidRPr="00F34274">
        <w:rPr>
          <w:rFonts w:eastAsia="Arial" w:cs="Arial"/>
        </w:rPr>
        <w:t xml:space="preserve">. The matched sample size contains </w:t>
      </w:r>
      <w:r w:rsidRPr="00F34274">
        <w:rPr>
          <w:rFonts w:eastAsia="Arial" w:cs="Arial"/>
          <w:b/>
          <w:bCs/>
        </w:rPr>
        <w:t>84 portfolio firms and 58 counterfactual firms</w:t>
      </w:r>
      <w:r w:rsidRPr="00F34274">
        <w:rPr>
          <w:rFonts w:eastAsia="Arial" w:cs="Arial"/>
        </w:rPr>
        <w:t>.</w:t>
      </w:r>
    </w:p>
    <w:p w14:paraId="6E8C6669" w14:textId="56CE8973" w:rsidR="00CD60C2" w:rsidRPr="00F34274" w:rsidRDefault="00CD60C2" w:rsidP="00957DB2">
      <w:pPr>
        <w:spacing w:before="120"/>
        <w:rPr>
          <w:rFonts w:eastAsia="Arial" w:cs="Arial"/>
          <w:iCs/>
          <w:color w:val="555674"/>
          <w:szCs w:val="18"/>
        </w:rPr>
      </w:pPr>
      <w:bookmarkStart w:id="286" w:name="_Ref145069835"/>
      <w:r w:rsidRPr="00F34274">
        <w:rPr>
          <w:rFonts w:eastAsia="Arial" w:cs="Arial"/>
          <w:iCs/>
          <w:color w:val="555674"/>
          <w:szCs w:val="18"/>
        </w:rPr>
        <w:t xml:space="preserve">Table </w:t>
      </w:r>
      <w:r w:rsidRPr="00F34274">
        <w:rPr>
          <w:rFonts w:eastAsia="Arial" w:cs="Arial"/>
          <w:iCs/>
          <w:color w:val="555674"/>
          <w:szCs w:val="18"/>
        </w:rPr>
        <w:fldChar w:fldCharType="begin"/>
      </w:r>
      <w:r w:rsidRPr="00F34274">
        <w:rPr>
          <w:rFonts w:eastAsia="Arial" w:cs="Arial"/>
          <w:iCs/>
          <w:color w:val="555674"/>
          <w:szCs w:val="18"/>
        </w:rPr>
        <w:instrText xml:space="preserve"> SEQ Table \* ARABIC </w:instrText>
      </w:r>
      <w:r w:rsidRPr="00F34274">
        <w:rPr>
          <w:rFonts w:eastAsia="Arial" w:cs="Arial"/>
          <w:iCs/>
          <w:color w:val="555674"/>
          <w:szCs w:val="18"/>
        </w:rPr>
        <w:fldChar w:fldCharType="separate"/>
      </w:r>
      <w:r w:rsidR="00BC412E">
        <w:rPr>
          <w:rFonts w:eastAsia="Arial" w:cs="Arial"/>
          <w:iCs/>
          <w:noProof/>
          <w:color w:val="555674"/>
          <w:szCs w:val="18"/>
        </w:rPr>
        <w:t>19</w:t>
      </w:r>
      <w:r w:rsidRPr="00F34274">
        <w:rPr>
          <w:rFonts w:eastAsia="Arial" w:cs="Arial"/>
          <w:iCs/>
          <w:noProof/>
          <w:color w:val="555674"/>
          <w:szCs w:val="18"/>
        </w:rPr>
        <w:fldChar w:fldCharType="end"/>
      </w:r>
      <w:bookmarkEnd w:id="286"/>
      <w:r w:rsidRPr="00F34274">
        <w:rPr>
          <w:rFonts w:eastAsia="Arial" w:cs="Arial"/>
          <w:iCs/>
          <w:color w:val="555674"/>
          <w:szCs w:val="18"/>
        </w:rPr>
        <w:t>: Matching algorithm specification</w:t>
      </w:r>
    </w:p>
    <w:tbl>
      <w:tblPr>
        <w:tblStyle w:val="PlainTable21"/>
        <w:tblW w:w="0" w:type="auto"/>
        <w:tblBorders>
          <w:top w:val="none" w:sz="0" w:space="0" w:color="auto"/>
          <w:bottom w:val="none" w:sz="0" w:space="0" w:color="auto"/>
          <w:insideH w:val="single" w:sz="4" w:space="0" w:color="142855" w:themeColor="text2"/>
        </w:tblBorders>
        <w:tblLook w:val="04A0" w:firstRow="1" w:lastRow="0" w:firstColumn="1" w:lastColumn="0" w:noHBand="0" w:noVBand="1"/>
      </w:tblPr>
      <w:tblGrid>
        <w:gridCol w:w="1631"/>
        <w:gridCol w:w="7300"/>
      </w:tblGrid>
      <w:tr w:rsidR="00CD60C2" w:rsidRPr="00F34274" w14:paraId="0E6AE75A" w14:textId="77777777" w:rsidTr="07F50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B41BF7C" w14:textId="77777777" w:rsidR="00CD60C2" w:rsidRPr="00F34274" w:rsidRDefault="00CD60C2" w:rsidP="00957DB2">
            <w:pPr>
              <w:rPr>
                <w:rFonts w:eastAsia="Arial" w:cs="Arial"/>
              </w:rPr>
            </w:pPr>
          </w:p>
        </w:tc>
        <w:tc>
          <w:tcPr>
            <w:tcW w:w="7300" w:type="dxa"/>
            <w:hideMark/>
          </w:tcPr>
          <w:p w14:paraId="445BBCE8" w14:textId="77777777" w:rsidR="00CD60C2" w:rsidRPr="00F34274" w:rsidRDefault="00CD60C2" w:rsidP="00CD10A6">
            <w:pPr>
              <w:cnfStyle w:val="100000000000" w:firstRow="1" w:lastRow="0" w:firstColumn="0" w:lastColumn="0" w:oddVBand="0" w:evenVBand="0" w:oddHBand="0" w:evenHBand="0" w:firstRowFirstColumn="0" w:firstRowLastColumn="0" w:lastRowFirstColumn="0" w:lastRowLastColumn="0"/>
              <w:rPr>
                <w:rFonts w:eastAsia="Arial" w:cs="Arial"/>
              </w:rPr>
            </w:pPr>
            <w:r w:rsidRPr="00CD10A6">
              <w:rPr>
                <w:rFonts w:eastAsia="Arial" w:cs="Arial"/>
                <w:color w:val="142855" w:themeColor="text2"/>
              </w:rPr>
              <w:t>Specification</w:t>
            </w:r>
          </w:p>
        </w:tc>
      </w:tr>
      <w:tr w:rsidR="00CD60C2" w:rsidRPr="00F34274" w14:paraId="16B16EB5" w14:textId="77777777" w:rsidTr="07F50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hideMark/>
          </w:tcPr>
          <w:p w14:paraId="363A1DB8" w14:textId="77777777" w:rsidR="00CD60C2" w:rsidRPr="00F34274" w:rsidRDefault="00CD60C2" w:rsidP="00957DB2">
            <w:pPr>
              <w:rPr>
                <w:rFonts w:eastAsia="Arial" w:cs="Arial"/>
              </w:rPr>
            </w:pPr>
            <w:r w:rsidRPr="00F34274">
              <w:rPr>
                <w:rFonts w:eastAsia="Arial" w:cs="Arial"/>
              </w:rPr>
              <w:t>Method</w:t>
            </w:r>
          </w:p>
        </w:tc>
        <w:tc>
          <w:tcPr>
            <w:tcW w:w="7300" w:type="dxa"/>
            <w:hideMark/>
          </w:tcPr>
          <w:p w14:paraId="6E92F442" w14:textId="54636E27" w:rsidR="00CD60C2" w:rsidRPr="00F34274" w:rsidRDefault="00CD60C2" w:rsidP="00CD10A6">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Nearest neighbour</w:t>
            </w:r>
          </w:p>
        </w:tc>
      </w:tr>
      <w:tr w:rsidR="00CD60C2" w:rsidRPr="00F34274" w14:paraId="6CDEB972" w14:textId="77777777" w:rsidTr="07F50397">
        <w:tc>
          <w:tcPr>
            <w:cnfStyle w:val="001000000000" w:firstRow="0" w:lastRow="0" w:firstColumn="1" w:lastColumn="0" w:oddVBand="0" w:evenVBand="0" w:oddHBand="0" w:evenHBand="0" w:firstRowFirstColumn="0" w:firstRowLastColumn="0" w:lastRowFirstColumn="0" w:lastRowLastColumn="0"/>
            <w:tcW w:w="1631" w:type="dxa"/>
            <w:hideMark/>
          </w:tcPr>
          <w:p w14:paraId="2FF0CA6E" w14:textId="77777777" w:rsidR="00CD60C2" w:rsidRPr="00F34274" w:rsidRDefault="00CD60C2" w:rsidP="00957DB2">
            <w:pPr>
              <w:rPr>
                <w:rFonts w:eastAsia="Arial" w:cs="Arial"/>
              </w:rPr>
            </w:pPr>
            <w:r w:rsidRPr="00F34274">
              <w:rPr>
                <w:rFonts w:eastAsia="Arial" w:cs="Arial"/>
              </w:rPr>
              <w:t>Calliper</w:t>
            </w:r>
          </w:p>
        </w:tc>
        <w:tc>
          <w:tcPr>
            <w:tcW w:w="7300" w:type="dxa"/>
            <w:hideMark/>
          </w:tcPr>
          <w:p w14:paraId="4392AC09" w14:textId="77777777" w:rsidR="00CD60C2" w:rsidRPr="00F34274" w:rsidRDefault="00CD60C2" w:rsidP="00957DB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0.1</w:t>
            </w:r>
            <w:r w:rsidRPr="00F34274">
              <w:rPr>
                <w:rFonts w:eastAsia="Arial" w:cs="Arial"/>
              </w:rPr>
              <w:footnoteReference w:id="70"/>
            </w:r>
          </w:p>
        </w:tc>
      </w:tr>
      <w:tr w:rsidR="00CD60C2" w:rsidRPr="00F34274" w14:paraId="5A8BC321" w14:textId="77777777" w:rsidTr="07F50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hideMark/>
          </w:tcPr>
          <w:p w14:paraId="377D44FF" w14:textId="77777777" w:rsidR="00CD60C2" w:rsidRPr="00F34274" w:rsidRDefault="00CD60C2" w:rsidP="00957DB2">
            <w:pPr>
              <w:rPr>
                <w:rFonts w:eastAsia="Arial" w:cs="Arial"/>
              </w:rPr>
            </w:pPr>
            <w:r w:rsidRPr="00F34274">
              <w:rPr>
                <w:rFonts w:eastAsia="Arial" w:cs="Arial"/>
              </w:rPr>
              <w:t>Ratio</w:t>
            </w:r>
          </w:p>
        </w:tc>
        <w:tc>
          <w:tcPr>
            <w:tcW w:w="7300" w:type="dxa"/>
            <w:hideMark/>
          </w:tcPr>
          <w:p w14:paraId="5BCCCAC5" w14:textId="77777777" w:rsidR="00CD60C2" w:rsidRPr="00F34274" w:rsidRDefault="00CD60C2" w:rsidP="00957DB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10</w:t>
            </w:r>
          </w:p>
        </w:tc>
      </w:tr>
      <w:tr w:rsidR="00CD60C2" w:rsidRPr="00F34274" w14:paraId="5E94774B" w14:textId="77777777" w:rsidTr="07F50397">
        <w:tc>
          <w:tcPr>
            <w:cnfStyle w:val="001000000000" w:firstRow="0" w:lastRow="0" w:firstColumn="1" w:lastColumn="0" w:oddVBand="0" w:evenVBand="0" w:oddHBand="0" w:evenHBand="0" w:firstRowFirstColumn="0" w:firstRowLastColumn="0" w:lastRowFirstColumn="0" w:lastRowLastColumn="0"/>
            <w:tcW w:w="1631" w:type="dxa"/>
            <w:hideMark/>
          </w:tcPr>
          <w:p w14:paraId="3EC9A17B" w14:textId="77777777" w:rsidR="00CD60C2" w:rsidRPr="00F34274" w:rsidRDefault="00CD60C2" w:rsidP="00957DB2">
            <w:pPr>
              <w:rPr>
                <w:rFonts w:eastAsia="Arial" w:cs="Arial"/>
              </w:rPr>
            </w:pPr>
            <w:r w:rsidRPr="00F34274">
              <w:rPr>
                <w:rFonts w:eastAsia="Arial" w:cs="Arial"/>
              </w:rPr>
              <w:t>Replacement</w:t>
            </w:r>
          </w:p>
        </w:tc>
        <w:tc>
          <w:tcPr>
            <w:tcW w:w="7300" w:type="dxa"/>
            <w:hideMark/>
          </w:tcPr>
          <w:p w14:paraId="5844B304" w14:textId="77777777" w:rsidR="00CD60C2" w:rsidRPr="00F34274" w:rsidRDefault="00CD60C2" w:rsidP="00957DB2">
            <w:pPr>
              <w:cnfStyle w:val="000000000000" w:firstRow="0" w:lastRow="0" w:firstColumn="0" w:lastColumn="0" w:oddVBand="0" w:evenVBand="0" w:oddHBand="0" w:evenHBand="0" w:firstRowFirstColumn="0" w:firstRowLastColumn="0" w:lastRowFirstColumn="0" w:lastRowLastColumn="0"/>
              <w:rPr>
                <w:rFonts w:eastAsia="Arial" w:cs="Arial"/>
              </w:rPr>
            </w:pPr>
            <w:r w:rsidRPr="00F34274">
              <w:rPr>
                <w:rFonts w:eastAsia="Arial" w:cs="Arial"/>
              </w:rPr>
              <w:t>TRUE</w:t>
            </w:r>
          </w:p>
        </w:tc>
      </w:tr>
      <w:tr w:rsidR="00CD60C2" w:rsidRPr="00F34274" w14:paraId="7A82AEF4" w14:textId="77777777" w:rsidTr="07F50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hideMark/>
          </w:tcPr>
          <w:p w14:paraId="00B16618" w14:textId="77777777" w:rsidR="00CD60C2" w:rsidRPr="00F34274" w:rsidRDefault="00CD60C2" w:rsidP="00957DB2">
            <w:pPr>
              <w:rPr>
                <w:rFonts w:eastAsia="Arial" w:cs="Arial"/>
              </w:rPr>
            </w:pPr>
            <w:r w:rsidRPr="00F34274">
              <w:rPr>
                <w:rFonts w:eastAsia="Arial" w:cs="Arial"/>
              </w:rPr>
              <w:t>Model</w:t>
            </w:r>
          </w:p>
        </w:tc>
        <w:tc>
          <w:tcPr>
            <w:tcW w:w="7300" w:type="dxa"/>
            <w:hideMark/>
          </w:tcPr>
          <w:p w14:paraId="30A66523" w14:textId="77777777" w:rsidR="00CD60C2" w:rsidRPr="00F34274" w:rsidRDefault="00CD60C2" w:rsidP="00957DB2">
            <w:pPr>
              <w:cnfStyle w:val="000000100000" w:firstRow="0" w:lastRow="0" w:firstColumn="0" w:lastColumn="0" w:oddVBand="0" w:evenVBand="0" w:oddHBand="1" w:evenHBand="0" w:firstRowFirstColumn="0" w:firstRowLastColumn="0" w:lastRowFirstColumn="0" w:lastRowLastColumn="0"/>
              <w:rPr>
                <w:rFonts w:eastAsia="Arial" w:cs="Arial"/>
              </w:rPr>
            </w:pPr>
            <w:r w:rsidRPr="00F34274">
              <w:rPr>
                <w:rFonts w:eastAsia="Arial" w:cs="Arial"/>
              </w:rPr>
              <w:t>Logit</w:t>
            </w:r>
          </w:p>
        </w:tc>
      </w:tr>
    </w:tbl>
    <w:p w14:paraId="1FC638EE" w14:textId="77777777" w:rsidR="00F3182D" w:rsidRDefault="00F3182D" w:rsidP="00957DB2">
      <w:pPr>
        <w:rPr>
          <w:rFonts w:eastAsia="Arial" w:cs="Arial"/>
        </w:rPr>
      </w:pPr>
    </w:p>
    <w:p w14:paraId="52590871" w14:textId="5D2FF4AA" w:rsidR="00CD60C2" w:rsidRDefault="00CD60C2" w:rsidP="00957DB2">
      <w:pPr>
        <w:rPr>
          <w:rFonts w:eastAsia="Arial" w:cs="Arial"/>
        </w:rPr>
      </w:pPr>
      <w:r w:rsidRPr="00F34274">
        <w:rPr>
          <w:rFonts w:eastAsia="Arial" w:cs="Arial"/>
        </w:rPr>
        <w:t xml:space="preserve">A graphical comparison of the distributional balance for before-and-after matching is presented in the </w:t>
      </w:r>
      <w:r w:rsidR="00572327">
        <w:rPr>
          <w:rFonts w:eastAsia="Arial" w:cs="Arial"/>
        </w:rPr>
        <w:fldChar w:fldCharType="begin"/>
      </w:r>
      <w:r w:rsidR="00572327">
        <w:rPr>
          <w:rFonts w:eastAsia="Arial" w:cs="Arial"/>
        </w:rPr>
        <w:instrText xml:space="preserve"> REF _Ref145071566 \h </w:instrText>
      </w:r>
      <w:r w:rsidR="00572327">
        <w:rPr>
          <w:rFonts w:eastAsia="Arial" w:cs="Arial"/>
        </w:rPr>
      </w:r>
      <w:r w:rsidR="00572327">
        <w:rPr>
          <w:rFonts w:eastAsia="Arial" w:cs="Arial"/>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38</w:t>
      </w:r>
      <w:r w:rsidR="00572327">
        <w:rPr>
          <w:rFonts w:eastAsia="Arial" w:cs="Arial"/>
        </w:rPr>
        <w:fldChar w:fldCharType="end"/>
      </w:r>
      <w:r w:rsidRPr="00F34274">
        <w:rPr>
          <w:rFonts w:eastAsia="Arial" w:cs="Arial"/>
        </w:rPr>
        <w:t xml:space="preserve"> below.</w:t>
      </w:r>
    </w:p>
    <w:p w14:paraId="22C05E3F" w14:textId="77777777" w:rsidR="00270A72" w:rsidRDefault="00270A72" w:rsidP="00957DB2">
      <w:pPr>
        <w:rPr>
          <w:rFonts w:eastAsia="Arial" w:cs="Arial"/>
        </w:rPr>
      </w:pPr>
    </w:p>
    <w:p w14:paraId="57C6B0EE" w14:textId="77777777" w:rsidR="00270A72" w:rsidRDefault="00270A72" w:rsidP="00957DB2">
      <w:pPr>
        <w:rPr>
          <w:rFonts w:eastAsia="Arial" w:cs="Arial"/>
        </w:rPr>
      </w:pPr>
    </w:p>
    <w:p w14:paraId="0AC3E21C" w14:textId="77777777" w:rsidR="00FC697F" w:rsidRDefault="00FC697F" w:rsidP="00957DB2">
      <w:pPr>
        <w:rPr>
          <w:rFonts w:eastAsia="Arial" w:cs="Arial"/>
        </w:rPr>
      </w:pPr>
    </w:p>
    <w:p w14:paraId="02329FB4" w14:textId="77777777" w:rsidR="00FC697F" w:rsidRDefault="00FC697F" w:rsidP="00957DB2">
      <w:pPr>
        <w:rPr>
          <w:rFonts w:eastAsia="Arial" w:cs="Arial"/>
        </w:rPr>
      </w:pPr>
    </w:p>
    <w:p w14:paraId="5A5AD9E8" w14:textId="77777777" w:rsidR="00FC697F" w:rsidRDefault="00FC697F" w:rsidP="00957DB2">
      <w:pPr>
        <w:rPr>
          <w:rFonts w:eastAsia="Arial" w:cs="Arial"/>
        </w:rPr>
      </w:pPr>
    </w:p>
    <w:p w14:paraId="2D814F9E" w14:textId="77777777" w:rsidR="00FC697F" w:rsidRDefault="00FC697F" w:rsidP="00957DB2">
      <w:pPr>
        <w:rPr>
          <w:rFonts w:eastAsia="Arial" w:cs="Arial"/>
        </w:rPr>
      </w:pPr>
    </w:p>
    <w:p w14:paraId="3CA5B16B" w14:textId="1F46C4C7" w:rsidR="00CD60C2" w:rsidRPr="00F34274" w:rsidRDefault="00CD60C2" w:rsidP="00957DB2">
      <w:pPr>
        <w:spacing w:before="120"/>
        <w:rPr>
          <w:rFonts w:eastAsia="Arial" w:cs="Arial"/>
          <w:iCs/>
          <w:color w:val="555674"/>
          <w:szCs w:val="18"/>
        </w:rPr>
      </w:pPr>
      <w:bookmarkStart w:id="287" w:name="_Ref145071566"/>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38</w:t>
      </w:r>
      <w:r w:rsidRPr="00F34274">
        <w:rPr>
          <w:rFonts w:eastAsia="Arial" w:cs="Arial"/>
          <w:iCs/>
          <w:color w:val="555674"/>
          <w:szCs w:val="18"/>
        </w:rPr>
        <w:fldChar w:fldCharType="end"/>
      </w:r>
      <w:bookmarkEnd w:id="287"/>
      <w:r w:rsidRPr="00F34274">
        <w:rPr>
          <w:rFonts w:eastAsia="Arial" w:cs="Arial"/>
          <w:iCs/>
          <w:noProof/>
          <w:color w:val="555674"/>
          <w:szCs w:val="18"/>
        </w:rPr>
        <w:t>:</w:t>
      </w:r>
      <w:r w:rsidRPr="00F34274">
        <w:rPr>
          <w:rFonts w:eastAsia="Arial" w:cs="Arial"/>
          <w:iCs/>
          <w:color w:val="555674"/>
          <w:szCs w:val="18"/>
        </w:rPr>
        <w:t xml:space="preserve"> Distributional Balance for "</w:t>
      </w:r>
      <w:proofErr w:type="gramStart"/>
      <w:r w:rsidRPr="00F34274">
        <w:rPr>
          <w:rFonts w:eastAsia="Arial" w:cs="Arial"/>
          <w:iCs/>
          <w:color w:val="555674"/>
          <w:szCs w:val="18"/>
        </w:rPr>
        <w:t>distance"</w:t>
      </w:r>
      <w:proofErr w:type="gramEnd"/>
    </w:p>
    <w:p w14:paraId="3B942299" w14:textId="77777777" w:rsidR="00CD60C2" w:rsidRPr="00F34274" w:rsidRDefault="00CD60C2" w:rsidP="00957DB2">
      <w:pPr>
        <w:rPr>
          <w:rFonts w:eastAsia="Arial" w:cs="Arial"/>
        </w:rPr>
      </w:pPr>
      <w:r w:rsidRPr="00F34274">
        <w:rPr>
          <w:rFonts w:eastAsia="Arial" w:cs="Arial"/>
          <w:noProof/>
        </w:rPr>
        <w:drawing>
          <wp:inline distT="0" distB="0" distL="0" distR="0" wp14:anchorId="452BA79B" wp14:editId="49760D7A">
            <wp:extent cx="5638800" cy="2932921"/>
            <wp:effectExtent l="0" t="0" r="0" b="1270"/>
            <wp:docPr id="13" name="Picture 13" descr="Figure 38 shows two density curves representing the distributional balance for 'distance' before and after matching. The graph aims to demonstrate how well the sample was matched to ensure comparability between two groups. Both curves indicate that a satisfactory balance has been achieved, taking into consideration the trade-off between the quality of the matching and the minimum number of observations retained after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8 shows two density curves representing the distributional balance for 'distance' before and after matching. The graph aims to demonstrate how well the sample was matched to ensure comparability between two groups. Both curves indicate that a satisfactory balance has been achieved, taking into consideration the trade-off between the quality of the matching and the minimum number of observations retained after the process."/>
                    <pic:cNvPicPr>
                      <a:picLocks noChangeAspect="1" noChangeArrowheads="1"/>
                    </pic:cNvPicPr>
                  </pic:nvPicPr>
                  <pic:blipFill rotWithShape="1">
                    <a:blip r:embed="rId85">
                      <a:extLst>
                        <a:ext uri="{28A0092B-C50C-407E-A947-70E740481C1C}">
                          <a14:useLocalDpi xmlns:a14="http://schemas.microsoft.com/office/drawing/2010/main" val="0"/>
                        </a:ext>
                      </a:extLst>
                    </a:blip>
                    <a:srcRect r="1109"/>
                    <a:stretch/>
                  </pic:blipFill>
                  <pic:spPr bwMode="auto">
                    <a:xfrm>
                      <a:off x="0" y="0"/>
                      <a:ext cx="5639076" cy="2933065"/>
                    </a:xfrm>
                    <a:prstGeom prst="rect">
                      <a:avLst/>
                    </a:prstGeom>
                    <a:noFill/>
                    <a:ln>
                      <a:noFill/>
                    </a:ln>
                    <a:extLst>
                      <a:ext uri="{53640926-AAD7-44D8-BBD7-CCE9431645EC}">
                        <a14:shadowObscured xmlns:a14="http://schemas.microsoft.com/office/drawing/2010/main"/>
                      </a:ext>
                    </a:extLst>
                  </pic:spPr>
                </pic:pic>
              </a:graphicData>
            </a:graphic>
          </wp:inline>
        </w:drawing>
      </w:r>
    </w:p>
    <w:p w14:paraId="3682B5BE" w14:textId="77777777" w:rsidR="00270A72" w:rsidRPr="00F34274" w:rsidRDefault="00270A72" w:rsidP="00270A72">
      <w:pPr>
        <w:rPr>
          <w:rFonts w:eastAsia="Arial" w:cs="Arial"/>
        </w:rPr>
      </w:pPr>
      <w:r w:rsidRPr="00F34274">
        <w:rPr>
          <w:rFonts w:eastAsia="Arial" w:cs="Arial"/>
        </w:rPr>
        <w:t>As mentioned earlier, both density curves after matching indicate that the sample was matched to ensure comparability between the two groups. However, a balance had to be achieved between the quality of the matching and the minimum number of observations remaining after the process.</w:t>
      </w:r>
    </w:p>
    <w:p w14:paraId="490EFDE8" w14:textId="4F831C8E" w:rsidR="00CD60C2" w:rsidRDefault="37407A31" w:rsidP="00270A72">
      <w:pPr>
        <w:rPr>
          <w:rFonts w:eastAsia="Arial" w:cs="Arial"/>
        </w:rPr>
      </w:pPr>
      <w:r w:rsidRPr="00F34274">
        <w:rPr>
          <w:rFonts w:eastAsia="Arial" w:cs="Arial"/>
        </w:rPr>
        <w:t>The detail of the covariate balance metrics</w:t>
      </w:r>
      <w:r w:rsidR="00270A72" w:rsidRPr="00F34274">
        <w:rPr>
          <w:rFonts w:eastAsia="Arial" w:cs="Arial"/>
          <w:vertAlign w:val="superscript"/>
        </w:rPr>
        <w:footnoteReference w:id="71"/>
      </w:r>
      <w:r w:rsidRPr="00F34274">
        <w:rPr>
          <w:rFonts w:eastAsia="Arial" w:cs="Arial"/>
        </w:rPr>
        <w:t xml:space="preserve"> of the selected specification are shown below:</w:t>
      </w:r>
    </w:p>
    <w:p w14:paraId="7A152EF5" w14:textId="77777777" w:rsidR="00B2667B" w:rsidRDefault="00B2667B" w:rsidP="00270A72">
      <w:pPr>
        <w:rPr>
          <w:rFonts w:eastAsia="Arial" w:cs="Arial"/>
        </w:rPr>
      </w:pPr>
    </w:p>
    <w:p w14:paraId="2ADFF348" w14:textId="77777777" w:rsidR="00B2667B" w:rsidRDefault="00B2667B" w:rsidP="00270A72">
      <w:pPr>
        <w:rPr>
          <w:rFonts w:eastAsia="Arial" w:cs="Arial"/>
        </w:rPr>
      </w:pPr>
    </w:p>
    <w:p w14:paraId="3F60CB07" w14:textId="77777777" w:rsidR="00B2667B" w:rsidRDefault="00B2667B" w:rsidP="00270A72">
      <w:pPr>
        <w:rPr>
          <w:rFonts w:eastAsia="Arial" w:cs="Arial"/>
        </w:rPr>
      </w:pPr>
    </w:p>
    <w:p w14:paraId="2E21A727" w14:textId="77777777" w:rsidR="00B2667B" w:rsidRDefault="00B2667B" w:rsidP="00270A72">
      <w:pPr>
        <w:rPr>
          <w:rFonts w:eastAsia="Arial" w:cs="Arial"/>
        </w:rPr>
      </w:pPr>
    </w:p>
    <w:p w14:paraId="5F8AF7F3" w14:textId="77777777" w:rsidR="00B2667B" w:rsidRDefault="00B2667B" w:rsidP="00270A72">
      <w:pPr>
        <w:rPr>
          <w:rFonts w:eastAsia="Arial" w:cs="Arial"/>
        </w:rPr>
      </w:pPr>
    </w:p>
    <w:p w14:paraId="35C482B0" w14:textId="77777777" w:rsidR="00B2667B" w:rsidRDefault="00B2667B" w:rsidP="00270A72">
      <w:pPr>
        <w:rPr>
          <w:rFonts w:eastAsia="Arial" w:cs="Arial"/>
        </w:rPr>
      </w:pPr>
    </w:p>
    <w:p w14:paraId="109813D6" w14:textId="77777777" w:rsidR="00B2667B" w:rsidRDefault="00B2667B" w:rsidP="00270A72">
      <w:pPr>
        <w:rPr>
          <w:rFonts w:eastAsia="Arial" w:cs="Arial"/>
        </w:rPr>
      </w:pPr>
    </w:p>
    <w:p w14:paraId="19A2F66A" w14:textId="77777777" w:rsidR="00B2667B" w:rsidRPr="00F34274" w:rsidRDefault="00B2667B" w:rsidP="00270A72">
      <w:pPr>
        <w:rPr>
          <w:rFonts w:eastAsia="Arial" w:cs="Arial"/>
        </w:rPr>
      </w:pPr>
    </w:p>
    <w:p w14:paraId="5F2F86AB" w14:textId="1E025F45" w:rsidR="00CD60C2" w:rsidRPr="00F34274" w:rsidRDefault="00102406" w:rsidP="00102406">
      <w:pPr>
        <w:pStyle w:val="Caption"/>
        <w:rPr>
          <w:rFonts w:eastAsia="Arial" w:cs="Arial"/>
          <w:iCs w:val="0"/>
        </w:rPr>
      </w:pPr>
      <w:r>
        <w:t xml:space="preserve">Table </w:t>
      </w:r>
      <w:r w:rsidR="002728D8">
        <w:fldChar w:fldCharType="begin"/>
      </w:r>
      <w:r w:rsidR="002728D8">
        <w:instrText xml:space="preserve"> SEQ Table \* ARABIC </w:instrText>
      </w:r>
      <w:r w:rsidR="002728D8">
        <w:fldChar w:fldCharType="separate"/>
      </w:r>
      <w:r w:rsidR="00BC412E">
        <w:rPr>
          <w:noProof/>
        </w:rPr>
        <w:t>20</w:t>
      </w:r>
      <w:r w:rsidR="002728D8">
        <w:rPr>
          <w:noProof/>
        </w:rPr>
        <w:fldChar w:fldCharType="end"/>
      </w:r>
      <w:r>
        <w:t xml:space="preserve">: </w:t>
      </w:r>
      <w:r w:rsidRPr="007612F8">
        <w:t>Covariate balance</w:t>
      </w:r>
    </w:p>
    <w:tbl>
      <w:tblPr>
        <w:tblStyle w:val="PlainTable21"/>
        <w:tblW w:w="9498" w:type="dxa"/>
        <w:tblBorders>
          <w:top w:val="single" w:sz="4" w:space="0" w:color="142855" w:themeColor="text2"/>
          <w:bottom w:val="single" w:sz="4" w:space="0" w:color="142855" w:themeColor="text2"/>
          <w:insideH w:val="single" w:sz="4" w:space="0" w:color="142855" w:themeColor="text2"/>
        </w:tblBorders>
        <w:tblLook w:val="0420" w:firstRow="1" w:lastRow="0" w:firstColumn="0" w:lastColumn="0" w:noHBand="0" w:noVBand="1"/>
      </w:tblPr>
      <w:tblGrid>
        <w:gridCol w:w="6804"/>
        <w:gridCol w:w="2694"/>
      </w:tblGrid>
      <w:tr w:rsidR="00CD60C2" w:rsidRPr="00F34274" w14:paraId="36BD9C93" w14:textId="77777777" w:rsidTr="07F50397">
        <w:trPr>
          <w:cnfStyle w:val="100000000000" w:firstRow="1" w:lastRow="0" w:firstColumn="0" w:lastColumn="0" w:oddVBand="0" w:evenVBand="0" w:oddHBand="0" w:evenHBand="0" w:firstRowFirstColumn="0" w:firstRowLastColumn="0" w:lastRowFirstColumn="0" w:lastRowLastColumn="0"/>
          <w:trHeight w:val="353"/>
        </w:trPr>
        <w:tc>
          <w:tcPr>
            <w:tcW w:w="6804" w:type="dxa"/>
            <w:tcBorders>
              <w:bottom w:val="single" w:sz="4" w:space="0" w:color="142855" w:themeColor="text2"/>
            </w:tcBorders>
            <w:hideMark/>
          </w:tcPr>
          <w:p w14:paraId="5F16C81E" w14:textId="77777777" w:rsidR="00CD60C2" w:rsidRPr="00900817" w:rsidRDefault="00CD60C2" w:rsidP="00313B64">
            <w:pPr>
              <w:spacing w:after="160"/>
              <w:rPr>
                <w:rFonts w:eastAsia="Arial" w:cs="Arial"/>
                <w:iCs/>
                <w:color w:val="142855" w:themeColor="text2"/>
              </w:rPr>
            </w:pPr>
            <w:r w:rsidRPr="00900817">
              <w:rPr>
                <w:rFonts w:eastAsia="Arial" w:cs="Arial"/>
                <w:iCs/>
                <w:color w:val="142855" w:themeColor="text2"/>
              </w:rPr>
              <w:t>Metrics</w:t>
            </w:r>
          </w:p>
        </w:tc>
        <w:tc>
          <w:tcPr>
            <w:tcW w:w="2694" w:type="dxa"/>
            <w:tcBorders>
              <w:bottom w:val="single" w:sz="4" w:space="0" w:color="142855" w:themeColor="text2"/>
            </w:tcBorders>
            <w:hideMark/>
          </w:tcPr>
          <w:p w14:paraId="0808053D" w14:textId="77777777" w:rsidR="00CD60C2" w:rsidRPr="00900817" w:rsidRDefault="00CD60C2" w:rsidP="00313B64">
            <w:pPr>
              <w:spacing w:after="160"/>
              <w:jc w:val="right"/>
              <w:rPr>
                <w:rFonts w:eastAsia="Arial" w:cs="Arial"/>
                <w:iCs/>
                <w:color w:val="142855" w:themeColor="text2"/>
              </w:rPr>
            </w:pPr>
            <w:r w:rsidRPr="00900817">
              <w:rPr>
                <w:rFonts w:eastAsia="Arial" w:cs="Arial"/>
                <w:iCs/>
                <w:color w:val="142855" w:themeColor="text2"/>
              </w:rPr>
              <w:t>Result</w:t>
            </w:r>
          </w:p>
        </w:tc>
      </w:tr>
      <w:tr w:rsidR="00CD60C2" w:rsidRPr="00F34274" w14:paraId="22FB6E24" w14:textId="77777777" w:rsidTr="07F50397">
        <w:trPr>
          <w:cnfStyle w:val="000000100000" w:firstRow="0" w:lastRow="0" w:firstColumn="0" w:lastColumn="0" w:oddVBand="0" w:evenVBand="0" w:oddHBand="1" w:evenHBand="0" w:firstRowFirstColumn="0" w:firstRowLastColumn="0" w:lastRowFirstColumn="0" w:lastRowLastColumn="0"/>
          <w:trHeight w:val="768"/>
        </w:trPr>
        <w:tc>
          <w:tcPr>
            <w:tcW w:w="6804" w:type="dxa"/>
            <w:tcBorders>
              <w:top w:val="single" w:sz="4" w:space="0" w:color="142855" w:themeColor="text2"/>
              <w:bottom w:val="single" w:sz="4" w:space="0" w:color="142855" w:themeColor="text2"/>
            </w:tcBorders>
            <w:hideMark/>
          </w:tcPr>
          <w:p w14:paraId="232C7BB6" w14:textId="77777777" w:rsidR="00CD60C2" w:rsidRPr="00900817" w:rsidRDefault="00CD60C2" w:rsidP="00313B64">
            <w:pPr>
              <w:spacing w:after="160"/>
              <w:rPr>
                <w:rFonts w:eastAsia="Arial" w:cs="Arial"/>
                <w:b/>
                <w:bCs/>
                <w:iCs/>
              </w:rPr>
            </w:pPr>
            <w:r w:rsidRPr="00900817">
              <w:rPr>
                <w:rFonts w:eastAsia="Arial" w:cs="Arial"/>
                <w:b/>
                <w:bCs/>
                <w:iCs/>
              </w:rPr>
              <w:t>Number of variables whose Standardised Mean Difference higher than 0.05</w:t>
            </w:r>
            <w:r w:rsidRPr="00900817">
              <w:rPr>
                <w:rFonts w:eastAsia="Arial" w:cs="Arial"/>
                <w:b/>
                <w:bCs/>
                <w:iCs/>
              </w:rPr>
              <w:footnoteReference w:id="72"/>
            </w:r>
          </w:p>
        </w:tc>
        <w:tc>
          <w:tcPr>
            <w:tcW w:w="2694" w:type="dxa"/>
            <w:tcBorders>
              <w:top w:val="single" w:sz="4" w:space="0" w:color="142855" w:themeColor="text2"/>
              <w:bottom w:val="single" w:sz="4" w:space="0" w:color="142855" w:themeColor="text2"/>
            </w:tcBorders>
            <w:hideMark/>
          </w:tcPr>
          <w:p w14:paraId="7C92B374" w14:textId="77777777" w:rsidR="00CD60C2" w:rsidRPr="00F34274" w:rsidRDefault="00CD60C2" w:rsidP="00313B64">
            <w:pPr>
              <w:spacing w:after="160"/>
              <w:jc w:val="right"/>
              <w:rPr>
                <w:rFonts w:eastAsia="Arial" w:cs="Arial"/>
                <w:iCs/>
              </w:rPr>
            </w:pPr>
            <w:r w:rsidRPr="00F34274">
              <w:rPr>
                <w:rFonts w:eastAsia="Arial" w:cs="Arial"/>
                <w:iCs/>
              </w:rPr>
              <w:t>13</w:t>
            </w:r>
          </w:p>
        </w:tc>
      </w:tr>
      <w:tr w:rsidR="00CD60C2" w:rsidRPr="00F34274" w14:paraId="24458130" w14:textId="77777777" w:rsidTr="07F50397">
        <w:trPr>
          <w:trHeight w:val="626"/>
        </w:trPr>
        <w:tc>
          <w:tcPr>
            <w:tcW w:w="6804" w:type="dxa"/>
            <w:tcBorders>
              <w:bottom w:val="single" w:sz="4" w:space="0" w:color="142855" w:themeColor="text2"/>
            </w:tcBorders>
            <w:hideMark/>
          </w:tcPr>
          <w:p w14:paraId="22BD1E71" w14:textId="77777777" w:rsidR="00CD60C2" w:rsidRPr="00900817" w:rsidRDefault="00CD60C2" w:rsidP="00313B64">
            <w:pPr>
              <w:spacing w:after="160"/>
              <w:rPr>
                <w:rFonts w:eastAsia="Arial" w:cs="Arial"/>
                <w:b/>
                <w:bCs/>
                <w:iCs/>
              </w:rPr>
            </w:pPr>
            <w:r w:rsidRPr="00900817">
              <w:rPr>
                <w:rFonts w:eastAsia="Arial" w:cs="Arial"/>
                <w:b/>
                <w:bCs/>
                <w:iCs/>
              </w:rPr>
              <w:t>Number of variables whose variance ratios +/- 1 from 1 (continuous variables only)</w:t>
            </w:r>
          </w:p>
        </w:tc>
        <w:tc>
          <w:tcPr>
            <w:tcW w:w="2694" w:type="dxa"/>
            <w:tcBorders>
              <w:bottom w:val="single" w:sz="4" w:space="0" w:color="142855" w:themeColor="text2"/>
            </w:tcBorders>
            <w:hideMark/>
          </w:tcPr>
          <w:p w14:paraId="4C4593D7" w14:textId="77777777" w:rsidR="00CD60C2" w:rsidRPr="00F34274" w:rsidRDefault="00CD60C2" w:rsidP="00313B64">
            <w:pPr>
              <w:spacing w:after="160"/>
              <w:jc w:val="right"/>
              <w:rPr>
                <w:rFonts w:eastAsia="Arial" w:cs="Arial"/>
                <w:iCs/>
              </w:rPr>
            </w:pPr>
            <w:r w:rsidRPr="00F34274">
              <w:rPr>
                <w:rFonts w:eastAsia="Arial" w:cs="Arial"/>
                <w:iCs/>
              </w:rPr>
              <w:t>1</w:t>
            </w:r>
          </w:p>
        </w:tc>
      </w:tr>
      <w:tr w:rsidR="00CD60C2" w:rsidRPr="00F34274" w14:paraId="44461EA2" w14:textId="77777777" w:rsidTr="07F50397">
        <w:trPr>
          <w:cnfStyle w:val="000000100000" w:firstRow="0" w:lastRow="0" w:firstColumn="0" w:lastColumn="0" w:oddVBand="0" w:evenVBand="0" w:oddHBand="1" w:evenHBand="0" w:firstRowFirstColumn="0" w:firstRowLastColumn="0" w:lastRowFirstColumn="0" w:lastRowLastColumn="0"/>
          <w:trHeight w:val="485"/>
        </w:trPr>
        <w:tc>
          <w:tcPr>
            <w:tcW w:w="6804" w:type="dxa"/>
            <w:tcBorders>
              <w:top w:val="single" w:sz="4" w:space="0" w:color="142855" w:themeColor="text2"/>
              <w:bottom w:val="single" w:sz="4" w:space="0" w:color="142855" w:themeColor="text2"/>
            </w:tcBorders>
            <w:hideMark/>
          </w:tcPr>
          <w:p w14:paraId="1979DF5D" w14:textId="77777777" w:rsidR="00CD60C2" w:rsidRPr="00900817" w:rsidRDefault="00CD60C2" w:rsidP="00313B64">
            <w:pPr>
              <w:spacing w:after="160"/>
              <w:rPr>
                <w:rFonts w:eastAsia="Arial" w:cs="Arial"/>
                <w:b/>
                <w:bCs/>
                <w:iCs/>
              </w:rPr>
            </w:pPr>
            <w:r w:rsidRPr="00900817">
              <w:rPr>
                <w:rFonts w:eastAsia="Arial" w:cs="Arial"/>
                <w:b/>
                <w:bCs/>
                <w:iCs/>
              </w:rPr>
              <w:t>The mean of empirical CDF statistics</w:t>
            </w:r>
          </w:p>
        </w:tc>
        <w:tc>
          <w:tcPr>
            <w:tcW w:w="2694" w:type="dxa"/>
            <w:tcBorders>
              <w:top w:val="single" w:sz="4" w:space="0" w:color="142855" w:themeColor="text2"/>
              <w:bottom w:val="single" w:sz="4" w:space="0" w:color="142855" w:themeColor="text2"/>
            </w:tcBorders>
            <w:hideMark/>
          </w:tcPr>
          <w:p w14:paraId="737AACDA" w14:textId="77777777" w:rsidR="00CD60C2" w:rsidRPr="00F34274" w:rsidRDefault="00CD60C2" w:rsidP="00313B64">
            <w:pPr>
              <w:spacing w:after="160"/>
              <w:jc w:val="right"/>
              <w:rPr>
                <w:rFonts w:eastAsia="Arial" w:cs="Arial"/>
                <w:iCs/>
              </w:rPr>
            </w:pPr>
            <w:r w:rsidRPr="00F34274">
              <w:rPr>
                <w:rFonts w:eastAsia="Arial" w:cs="Arial"/>
                <w:iCs/>
              </w:rPr>
              <w:t>0.01533195</w:t>
            </w:r>
          </w:p>
        </w:tc>
      </w:tr>
      <w:tr w:rsidR="00CD60C2" w:rsidRPr="00F34274" w14:paraId="1611DCA7" w14:textId="77777777" w:rsidTr="07F50397">
        <w:trPr>
          <w:trHeight w:val="485"/>
        </w:trPr>
        <w:tc>
          <w:tcPr>
            <w:tcW w:w="6804" w:type="dxa"/>
            <w:tcBorders>
              <w:top w:val="single" w:sz="4" w:space="0" w:color="142855" w:themeColor="text2"/>
            </w:tcBorders>
            <w:hideMark/>
          </w:tcPr>
          <w:p w14:paraId="5111F502" w14:textId="77777777" w:rsidR="00CD60C2" w:rsidRPr="00900817" w:rsidRDefault="00CD60C2" w:rsidP="00313B64">
            <w:pPr>
              <w:spacing w:after="160"/>
              <w:rPr>
                <w:rFonts w:eastAsia="Arial" w:cs="Arial"/>
                <w:b/>
                <w:bCs/>
                <w:iCs/>
              </w:rPr>
            </w:pPr>
            <w:r w:rsidRPr="00900817">
              <w:rPr>
                <w:rFonts w:eastAsia="Arial" w:cs="Arial"/>
                <w:b/>
                <w:bCs/>
                <w:iCs/>
              </w:rPr>
              <w:t>Remaining sample size</w:t>
            </w:r>
          </w:p>
        </w:tc>
        <w:tc>
          <w:tcPr>
            <w:tcW w:w="2694" w:type="dxa"/>
            <w:tcBorders>
              <w:top w:val="single" w:sz="4" w:space="0" w:color="142855" w:themeColor="text2"/>
            </w:tcBorders>
            <w:hideMark/>
          </w:tcPr>
          <w:p w14:paraId="38F1247F" w14:textId="77777777" w:rsidR="00CD60C2" w:rsidRPr="00F34274" w:rsidRDefault="00CD60C2" w:rsidP="00313B64">
            <w:pPr>
              <w:spacing w:after="160"/>
              <w:jc w:val="right"/>
              <w:rPr>
                <w:rFonts w:eastAsia="Arial" w:cs="Arial"/>
                <w:iCs/>
              </w:rPr>
            </w:pPr>
            <w:r w:rsidRPr="00F34274">
              <w:rPr>
                <w:rFonts w:eastAsia="Arial" w:cs="Arial"/>
                <w:iCs/>
              </w:rPr>
              <w:t>142</w:t>
            </w:r>
          </w:p>
        </w:tc>
      </w:tr>
    </w:tbl>
    <w:p w14:paraId="4766BEB5" w14:textId="77777777" w:rsidR="00270A72" w:rsidRDefault="00270A72" w:rsidP="00957DB2">
      <w:pPr>
        <w:rPr>
          <w:rFonts w:eastAsia="Arial" w:cs="Arial"/>
        </w:rPr>
      </w:pPr>
    </w:p>
    <w:p w14:paraId="039521A9" w14:textId="30F2B1CD" w:rsidR="00270A72" w:rsidRPr="00F34274" w:rsidRDefault="00270A72" w:rsidP="00270A72">
      <w:pPr>
        <w:rPr>
          <w:rFonts w:eastAsia="Arial" w:cs="Arial"/>
        </w:rPr>
      </w:pPr>
      <w:r w:rsidRPr="00F34274">
        <w:rPr>
          <w:rFonts w:eastAsia="Arial" w:cs="Arial"/>
        </w:rPr>
        <w:t xml:space="preserve">We have also considered a matching specification based on the above criteria that it had the minimal number of variables with SMDs above 0.05, variance ratios close to 1, and </w:t>
      </w:r>
      <w:proofErr w:type="spellStart"/>
      <w:r w:rsidRPr="00F34274">
        <w:rPr>
          <w:rFonts w:eastAsia="Arial" w:cs="Arial"/>
        </w:rPr>
        <w:t>eCDFs</w:t>
      </w:r>
      <w:proofErr w:type="spellEnd"/>
      <w:r w:rsidRPr="00F34274">
        <w:rPr>
          <w:rFonts w:eastAsia="Arial" w:cs="Arial"/>
        </w:rPr>
        <w:t xml:space="preserve"> close to 0. </w:t>
      </w:r>
      <w:r w:rsidR="00B2667B">
        <w:rPr>
          <w:rFonts w:eastAsia="Arial" w:cs="Arial"/>
        </w:rPr>
        <w:t>These three criteria</w:t>
      </w:r>
      <w:r w:rsidR="000566ED">
        <w:rPr>
          <w:rFonts w:eastAsia="Arial" w:cs="Arial"/>
        </w:rPr>
        <w:t xml:space="preserve"> define the quality of the match and signal higher quality, the closer the scores are to each of the limits.</w:t>
      </w:r>
    </w:p>
    <w:p w14:paraId="0B3911CF" w14:textId="77777777" w:rsidR="00270A72" w:rsidRPr="00F34274" w:rsidRDefault="00270A72" w:rsidP="00270A72">
      <w:pPr>
        <w:rPr>
          <w:rFonts w:eastAsia="Arial" w:cs="Arial"/>
        </w:rPr>
      </w:pPr>
      <w:r w:rsidRPr="00F34274">
        <w:rPr>
          <w:rFonts w:eastAsia="Arial" w:cs="Arial"/>
        </w:rPr>
        <w:t xml:space="preserve">Our matched data set comprised </w:t>
      </w:r>
      <w:r w:rsidRPr="00F34274">
        <w:rPr>
          <w:rFonts w:eastAsia="Arial" w:cs="Arial"/>
          <w:b/>
          <w:bCs/>
        </w:rPr>
        <w:t>84</w:t>
      </w:r>
      <w:r w:rsidRPr="00F34274">
        <w:rPr>
          <w:rFonts w:eastAsia="Arial" w:cs="Arial"/>
        </w:rPr>
        <w:t xml:space="preserve"> portfolio firms and </w:t>
      </w:r>
      <w:r w:rsidRPr="00F34274">
        <w:rPr>
          <w:rFonts w:eastAsia="Arial" w:cs="Arial"/>
          <w:b/>
          <w:bCs/>
        </w:rPr>
        <w:t>58</w:t>
      </w:r>
      <w:r w:rsidRPr="00F34274">
        <w:rPr>
          <w:rFonts w:eastAsia="Arial" w:cs="Arial"/>
        </w:rPr>
        <w:t xml:space="preserve"> counterfactual firms, totalling </w:t>
      </w:r>
      <w:r w:rsidRPr="00F34274">
        <w:rPr>
          <w:rFonts w:eastAsia="Arial" w:cs="Arial"/>
          <w:b/>
          <w:bCs/>
        </w:rPr>
        <w:t>142</w:t>
      </w:r>
      <w:r w:rsidRPr="00F34274">
        <w:rPr>
          <w:rFonts w:eastAsia="Arial" w:cs="Arial"/>
        </w:rPr>
        <w:t xml:space="preserve"> observations. </w:t>
      </w:r>
    </w:p>
    <w:p w14:paraId="276CFBA1" w14:textId="04ACCCDD" w:rsidR="00270A72" w:rsidRPr="00F34274" w:rsidRDefault="37407A31" w:rsidP="00270A72">
      <w:pPr>
        <w:rPr>
          <w:rFonts w:eastAsia="Arial" w:cs="Arial"/>
        </w:rPr>
      </w:pPr>
      <w:r w:rsidRPr="00F34274">
        <w:rPr>
          <w:rFonts w:eastAsia="Arial" w:cs="Arial"/>
        </w:rPr>
        <w:t>Each observation was assigned a weight.</w:t>
      </w:r>
      <w:r w:rsidR="00270A72" w:rsidRPr="00F34274">
        <w:rPr>
          <w:rFonts w:eastAsia="Arial" w:cs="Arial"/>
          <w:vertAlign w:val="superscript"/>
        </w:rPr>
        <w:footnoteReference w:id="73"/>
      </w:r>
      <w:r w:rsidRPr="00F34274">
        <w:rPr>
          <w:rFonts w:eastAsia="Arial" w:cs="Arial"/>
        </w:rPr>
        <w:t xml:space="preserve"> The weight was used to adjust for differences in representativeness within the matched sample to control for the fact that some observations were more (or less) representative of the target population than others. While this approach helps mitigate the problem of the matched sample deviating from the initial </w:t>
      </w:r>
      <w:r w:rsidR="6336066D">
        <w:rPr>
          <w:rFonts w:eastAsia="Arial" w:cs="Arial"/>
        </w:rPr>
        <w:t>sample</w:t>
      </w:r>
      <w:r w:rsidRPr="00F34274">
        <w:rPr>
          <w:rFonts w:eastAsia="Arial" w:cs="Arial"/>
        </w:rPr>
        <w:t xml:space="preserve">, it does not resolve the underlying issue that the IDBR matched firms are only a subset of the larger population of treated firms. All the key performance indicator data used in the analysis were </w:t>
      </w:r>
      <w:r w:rsidRPr="00F34274">
        <w:rPr>
          <w:rFonts w:eastAsia="Arial" w:cs="Arial"/>
        </w:rPr>
        <w:lastRenderedPageBreak/>
        <w:t>adjusted for weights prior to calculating the median, median growth rate, and average shown in the main report.</w:t>
      </w:r>
      <w:r w:rsidR="00270A72" w:rsidRPr="00F34274">
        <w:rPr>
          <w:rFonts w:eastAsia="Arial" w:cs="Arial"/>
          <w:vertAlign w:val="superscript"/>
        </w:rPr>
        <w:footnoteReference w:id="74"/>
      </w:r>
      <w:r w:rsidRPr="00F34274">
        <w:rPr>
          <w:rFonts w:eastAsia="Arial" w:cs="Arial"/>
        </w:rPr>
        <w:t xml:space="preserve"> </w:t>
      </w:r>
    </w:p>
    <w:p w14:paraId="038BDCAF" w14:textId="3B1CD477" w:rsidR="00781363" w:rsidRPr="00B2667B" w:rsidRDefault="00270A72" w:rsidP="00B2667B">
      <w:pPr>
        <w:rPr>
          <w:rFonts w:eastAsia="Arial" w:cs="Arial"/>
        </w:rPr>
      </w:pPr>
      <w:r w:rsidRPr="00F34274">
        <w:rPr>
          <w:rFonts w:eastAsia="Arial" w:cs="Arial"/>
        </w:rPr>
        <w:t xml:space="preserve">Despite the matching, the portfolio of funded firms </w:t>
      </w:r>
      <w:r w:rsidR="00B2667B" w:rsidRPr="00F34274">
        <w:rPr>
          <w:rFonts w:eastAsia="Arial" w:cs="Arial"/>
        </w:rPr>
        <w:t>is</w:t>
      </w:r>
      <w:r w:rsidRPr="00F34274">
        <w:rPr>
          <w:rFonts w:eastAsia="Arial" w:cs="Arial"/>
        </w:rPr>
        <w:t xml:space="preserve"> considerably younger than that of the comparison group.</w:t>
      </w:r>
      <w:bookmarkStart w:id="288" w:name="_Ref136425277"/>
    </w:p>
    <w:p w14:paraId="7407E1E1" w14:textId="50209DCE" w:rsidR="00CD60C2" w:rsidRPr="00F34274" w:rsidRDefault="00CD60C2" w:rsidP="00957DB2">
      <w:pPr>
        <w:spacing w:before="120"/>
        <w:rPr>
          <w:rFonts w:eastAsia="Arial" w:cs="Arial"/>
          <w:iCs/>
          <w:color w:val="555674"/>
          <w:szCs w:val="18"/>
        </w:rPr>
      </w:pPr>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39</w:t>
      </w:r>
      <w:r w:rsidRPr="00F34274">
        <w:rPr>
          <w:rFonts w:eastAsia="Arial" w:cs="Arial"/>
          <w:iCs/>
          <w:color w:val="555674"/>
          <w:szCs w:val="18"/>
        </w:rPr>
        <w:fldChar w:fldCharType="end"/>
      </w:r>
      <w:bookmarkEnd w:id="288"/>
      <w:r w:rsidRPr="00F34274">
        <w:rPr>
          <w:rFonts w:eastAsia="Arial" w:cs="Arial"/>
          <w:iCs/>
          <w:color w:val="555674"/>
          <w:szCs w:val="18"/>
        </w:rPr>
        <w:t xml:space="preserve">: A comparison of the growth stage of the RAP funded firms and the comparison </w:t>
      </w:r>
      <w:proofErr w:type="gramStart"/>
      <w:r w:rsidRPr="00F34274">
        <w:rPr>
          <w:rFonts w:eastAsia="Arial" w:cs="Arial"/>
          <w:iCs/>
          <w:color w:val="555674"/>
          <w:szCs w:val="18"/>
        </w:rPr>
        <w:t>group</w:t>
      </w:r>
      <w:proofErr w:type="gramEnd"/>
    </w:p>
    <w:p w14:paraId="6D717CE1" w14:textId="48DFFAB4" w:rsidR="00CD60C2" w:rsidRPr="00F34274" w:rsidRDefault="00672FC9" w:rsidP="00957DB2">
      <w:pPr>
        <w:rPr>
          <w:rFonts w:eastAsia="Arial" w:cs="Arial"/>
        </w:rPr>
      </w:pPr>
      <w:r>
        <w:rPr>
          <w:rFonts w:eastAsia="Arial" w:cs="Arial"/>
          <w:noProof/>
        </w:rPr>
        <w:drawing>
          <wp:inline distT="0" distB="0" distL="0" distR="0" wp14:anchorId="53A1A468" wp14:editId="4F625A93">
            <wp:extent cx="6188710" cy="2313305"/>
            <wp:effectExtent l="0" t="0" r="2540" b="0"/>
            <wp:docPr id="20" name="Picture 20" descr="Figure 39 presents a comparison between the growth stages of RAP funded firms and a comparison group. The graph categorizes firms into different growth stages such as 'Seed,' 'Growth,' and 'Exited,' and shows the percentage of firms in each stage for both groups. The aim is to highlight similarities or differences in the distribution of firms' growth stages between those who received RAP funding and those in the compari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9 presents a comparison between the growth stages of RAP funded firms and a comparison group. The graph categorizes firms into different growth stages such as 'Seed,' 'Growth,' and 'Exited,' and shows the percentage of firms in each stage for both groups. The aim is to highlight similarities or differences in the distribution of firms' growth stages between those who received RAP funding and those in the comparison group."/>
                    <pic:cNvPicPr/>
                  </pic:nvPicPr>
                  <pic:blipFill>
                    <a:blip r:embed="rId86">
                      <a:extLst>
                        <a:ext uri="{28A0092B-C50C-407E-A947-70E740481C1C}">
                          <a14:useLocalDpi xmlns:a14="http://schemas.microsoft.com/office/drawing/2010/main" val="0"/>
                        </a:ext>
                      </a:extLst>
                    </a:blip>
                    <a:stretch>
                      <a:fillRect/>
                    </a:stretch>
                  </pic:blipFill>
                  <pic:spPr>
                    <a:xfrm>
                      <a:off x="0" y="0"/>
                      <a:ext cx="6188710" cy="2313305"/>
                    </a:xfrm>
                    <a:prstGeom prst="rect">
                      <a:avLst/>
                    </a:prstGeom>
                  </pic:spPr>
                </pic:pic>
              </a:graphicData>
            </a:graphic>
          </wp:inline>
        </w:drawing>
      </w:r>
    </w:p>
    <w:p w14:paraId="35D0C597" w14:textId="547F4A04" w:rsidR="00CD60C2" w:rsidRPr="00617B86" w:rsidRDefault="00CD60C2" w:rsidP="00957DB2">
      <w:pPr>
        <w:rPr>
          <w:rFonts w:eastAsia="Arial" w:cs="Arial"/>
          <w:i/>
          <w:color w:val="555674"/>
        </w:rPr>
      </w:pPr>
      <w:r w:rsidRPr="005A0C36">
        <w:rPr>
          <w:rFonts w:eastAsia="Arial" w:cs="Arial"/>
          <w:i/>
          <w:color w:val="555674"/>
        </w:rPr>
        <w:t xml:space="preserve">Source: </w:t>
      </w:r>
      <w:proofErr w:type="spellStart"/>
      <w:r w:rsidRPr="005A0C36">
        <w:rPr>
          <w:rFonts w:eastAsia="Arial" w:cs="Arial"/>
          <w:i/>
          <w:color w:val="555674"/>
        </w:rPr>
        <w:t>Beauhurst</w:t>
      </w:r>
      <w:proofErr w:type="spellEnd"/>
      <w:r w:rsidRPr="005A0C36">
        <w:rPr>
          <w:rFonts w:eastAsia="Arial" w:cs="Arial"/>
          <w:i/>
          <w:color w:val="555674"/>
        </w:rPr>
        <w:t>. N = 84 for the funded firms and N</w:t>
      </w:r>
      <w:r w:rsidR="00CB407B" w:rsidRPr="005A0C36">
        <w:rPr>
          <w:rFonts w:eastAsia="Arial" w:cs="Arial"/>
          <w:i/>
          <w:color w:val="555674"/>
        </w:rPr>
        <w:t xml:space="preserve"> </w:t>
      </w:r>
      <w:r w:rsidRPr="005A0C36">
        <w:rPr>
          <w:rFonts w:eastAsia="Arial" w:cs="Arial"/>
          <w:i/>
          <w:color w:val="555674"/>
        </w:rPr>
        <w:t>= 58 for the comparator group</w:t>
      </w:r>
    </w:p>
    <w:p w14:paraId="1DDDF05B" w14:textId="77777777" w:rsidR="00270A72" w:rsidRPr="00F34274" w:rsidRDefault="00270A72" w:rsidP="00270A72">
      <w:pPr>
        <w:rPr>
          <w:rFonts w:eastAsia="Arial" w:cs="Arial"/>
          <w:b/>
        </w:rPr>
      </w:pPr>
      <w:r w:rsidRPr="00F34274">
        <w:rPr>
          <w:rFonts w:eastAsia="Arial" w:cs="Arial"/>
          <w:b/>
        </w:rPr>
        <w:t>Assumption</w:t>
      </w:r>
    </w:p>
    <w:p w14:paraId="665A9285" w14:textId="77777777" w:rsidR="00270A72" w:rsidRPr="00F34274" w:rsidRDefault="00270A72" w:rsidP="00270A72">
      <w:pPr>
        <w:rPr>
          <w:rFonts w:eastAsia="Arial" w:cs="Arial"/>
        </w:rPr>
      </w:pPr>
      <w:r w:rsidRPr="00F34274">
        <w:rPr>
          <w:rFonts w:eastAsia="Arial" w:cs="Arial"/>
        </w:rPr>
        <w:t xml:space="preserve">The parallel trend assumption is fundamental </w:t>
      </w:r>
      <w:r>
        <w:rPr>
          <w:rFonts w:eastAsia="Arial" w:cs="Arial"/>
        </w:rPr>
        <w:t>to</w:t>
      </w:r>
      <w:r w:rsidRPr="00F34274">
        <w:rPr>
          <w:rFonts w:eastAsia="Arial" w:cs="Arial"/>
        </w:rPr>
        <w:t xml:space="preserve"> the Difference-in-Differences (</w:t>
      </w:r>
      <w:proofErr w:type="spellStart"/>
      <w:r w:rsidRPr="00F34274">
        <w:rPr>
          <w:rFonts w:eastAsia="Arial" w:cs="Arial"/>
        </w:rPr>
        <w:t>DiD</w:t>
      </w:r>
      <w:proofErr w:type="spellEnd"/>
      <w:r w:rsidRPr="00F34274">
        <w:rPr>
          <w:rFonts w:eastAsia="Arial" w:cs="Arial"/>
        </w:rPr>
        <w:t>) methodology</w:t>
      </w:r>
      <w:r>
        <w:rPr>
          <w:rFonts w:eastAsia="Arial" w:cs="Arial"/>
        </w:rPr>
        <w:t xml:space="preserve"> and interpretation</w:t>
      </w:r>
      <w:r w:rsidRPr="00F34274">
        <w:rPr>
          <w:rFonts w:eastAsia="Arial" w:cs="Arial"/>
        </w:rPr>
        <w:t>. It asserts that, in the absence of treatment, the average trends of the treatment and control groups would have followed parallel paths over time. This assumption is critical because it enables us to attribute any differences in outcomes between the two groups after the treatment solely to the treatment effect, rather than pre-existing differences in trends.</w:t>
      </w:r>
    </w:p>
    <w:p w14:paraId="1E851E96" w14:textId="6CF5CDEB" w:rsidR="00D92FD0" w:rsidRDefault="00270A72" w:rsidP="00957DB2">
      <w:pPr>
        <w:rPr>
          <w:rFonts w:eastAsia="Arial" w:cs="Arial"/>
        </w:rPr>
      </w:pPr>
      <w:r w:rsidRPr="00F34274">
        <w:rPr>
          <w:rFonts w:eastAsia="Arial" w:cs="Arial"/>
        </w:rPr>
        <w:t xml:space="preserve">In our analysis, we visually examined the level log fundraising trends between the treatment and counterfactual groups over a period of five years before the first RAP funding (2015 to 2020). </w:t>
      </w:r>
      <w:r>
        <w:rPr>
          <w:rFonts w:eastAsia="Arial" w:cs="Arial"/>
        </w:rPr>
        <w:fldChar w:fldCharType="begin"/>
      </w:r>
      <w:r>
        <w:rPr>
          <w:rFonts w:eastAsia="Arial" w:cs="Arial"/>
        </w:rPr>
        <w:instrText xml:space="preserve"> REF _Ref136600048 \h </w:instrText>
      </w:r>
      <w:r>
        <w:rPr>
          <w:rFonts w:eastAsia="Arial" w:cs="Arial"/>
        </w:rPr>
      </w:r>
      <w:r>
        <w:rPr>
          <w:rFonts w:eastAsia="Arial" w:cs="Arial"/>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40</w:t>
      </w:r>
      <w:r>
        <w:rPr>
          <w:rFonts w:eastAsia="Arial" w:cs="Arial"/>
        </w:rPr>
        <w:fldChar w:fldCharType="end"/>
      </w:r>
      <w:r w:rsidRPr="00F34274">
        <w:rPr>
          <w:rFonts w:eastAsia="Arial" w:cs="Arial"/>
        </w:rPr>
        <w:fldChar w:fldCharType="begin"/>
      </w:r>
      <w:r w:rsidRPr="00F34274">
        <w:rPr>
          <w:rFonts w:eastAsia="Arial" w:cs="Arial"/>
        </w:rPr>
        <w:instrText xml:space="preserve"> REF _Ref136600048 \h </w:instrText>
      </w:r>
      <w:r w:rsidRPr="00F34274">
        <w:rPr>
          <w:rFonts w:eastAsia="Arial" w:cs="Arial"/>
        </w:rPr>
      </w:r>
      <w:r w:rsidRPr="00F34274">
        <w:rPr>
          <w:rFonts w:eastAsia="Arial" w:cs="Arial"/>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40</w:t>
      </w:r>
      <w:r w:rsidRPr="00F34274">
        <w:rPr>
          <w:rFonts w:eastAsia="Arial" w:cs="Arial"/>
        </w:rPr>
        <w:fldChar w:fldCharType="end"/>
      </w:r>
      <w:r>
        <w:rPr>
          <w:rFonts w:eastAsia="Arial" w:cs="Arial"/>
        </w:rPr>
        <w:t xml:space="preserve"> </w:t>
      </w:r>
      <w:r w:rsidRPr="00F34274">
        <w:rPr>
          <w:rFonts w:eastAsia="Arial" w:cs="Arial"/>
        </w:rPr>
        <w:t xml:space="preserve">below </w:t>
      </w:r>
      <w:r>
        <w:rPr>
          <w:rFonts w:eastAsia="Arial" w:cs="Arial"/>
        </w:rPr>
        <w:t>suggests</w:t>
      </w:r>
      <w:r w:rsidRPr="00F34274">
        <w:rPr>
          <w:rFonts w:eastAsia="Arial" w:cs="Arial"/>
        </w:rPr>
        <w:t xml:space="preserve"> an alignment of these trends</w:t>
      </w:r>
      <w:r>
        <w:rPr>
          <w:rFonts w:eastAsia="Arial" w:cs="Arial"/>
        </w:rPr>
        <w:t>.</w:t>
      </w:r>
      <w:r w:rsidRPr="00F34274">
        <w:rPr>
          <w:rFonts w:eastAsia="Arial" w:cs="Arial"/>
        </w:rPr>
        <w:t xml:space="preserve"> The overall levels of fundraising show a consistent pattern of growth, with similar fluctuations and movements </w:t>
      </w:r>
      <w:r w:rsidRPr="00F34274">
        <w:rPr>
          <w:rFonts w:eastAsia="Arial" w:cs="Arial"/>
        </w:rPr>
        <w:lastRenderedPageBreak/>
        <w:t>observed between the two groups. However, it is worth noting a slight decline in the portfolio group's fundraising in 2020.</w:t>
      </w:r>
    </w:p>
    <w:p w14:paraId="21BE7E7E" w14:textId="00304C5A" w:rsidR="009E40F4" w:rsidRPr="00F34274" w:rsidRDefault="00CD60C2" w:rsidP="009E40F4">
      <w:pPr>
        <w:spacing w:before="120"/>
        <w:rPr>
          <w:rFonts w:eastAsia="Arial" w:cs="Arial"/>
          <w:iCs/>
          <w:color w:val="555674"/>
          <w:szCs w:val="18"/>
        </w:rPr>
      </w:pPr>
      <w:bookmarkStart w:id="289" w:name="_Ref136600048"/>
      <w:r w:rsidRPr="00F34274">
        <w:rPr>
          <w:rFonts w:eastAsia="Arial" w:cs="Arial"/>
          <w:iCs/>
          <w:color w:val="555674"/>
          <w:szCs w:val="18"/>
        </w:rPr>
        <w:t xml:space="preserve">Figure </w:t>
      </w:r>
      <w:r w:rsidRPr="00F34274">
        <w:rPr>
          <w:rFonts w:eastAsia="Arial" w:cs="Arial"/>
          <w:iCs/>
          <w:color w:val="555674"/>
          <w:szCs w:val="18"/>
        </w:rPr>
        <w:fldChar w:fldCharType="begin"/>
      </w:r>
      <w:r w:rsidRPr="00F34274">
        <w:rPr>
          <w:rFonts w:eastAsia="Arial" w:cs="Arial"/>
          <w:iCs/>
          <w:color w:val="555674"/>
          <w:szCs w:val="18"/>
        </w:rPr>
        <w:instrText>SEQ Figure \* ARABIC</w:instrText>
      </w:r>
      <w:r w:rsidRPr="00F34274">
        <w:rPr>
          <w:rFonts w:eastAsia="Arial" w:cs="Arial"/>
          <w:iCs/>
          <w:color w:val="555674"/>
          <w:szCs w:val="18"/>
        </w:rPr>
        <w:fldChar w:fldCharType="separate"/>
      </w:r>
      <w:r w:rsidR="00BC412E">
        <w:rPr>
          <w:rFonts w:eastAsia="Arial" w:cs="Arial"/>
          <w:iCs/>
          <w:noProof/>
          <w:color w:val="555674"/>
          <w:szCs w:val="18"/>
        </w:rPr>
        <w:t>40</w:t>
      </w:r>
      <w:r w:rsidRPr="00F34274">
        <w:rPr>
          <w:rFonts w:eastAsia="Arial" w:cs="Arial"/>
          <w:iCs/>
          <w:color w:val="555674"/>
          <w:szCs w:val="18"/>
        </w:rPr>
        <w:fldChar w:fldCharType="end"/>
      </w:r>
      <w:bookmarkEnd w:id="289"/>
      <w:r w:rsidRPr="00F34274">
        <w:rPr>
          <w:rFonts w:eastAsia="Arial" w:cs="Arial"/>
          <w:iCs/>
          <w:color w:val="555674"/>
          <w:szCs w:val="18"/>
        </w:rPr>
        <w:t xml:space="preserve">: Log fundraising </w:t>
      </w:r>
      <w:proofErr w:type="gramStart"/>
      <w:r w:rsidRPr="00F34274">
        <w:rPr>
          <w:rFonts w:eastAsia="Arial" w:cs="Arial"/>
          <w:iCs/>
          <w:color w:val="555674"/>
          <w:szCs w:val="18"/>
        </w:rPr>
        <w:t>trend</w:t>
      </w:r>
      <w:proofErr w:type="gramEnd"/>
    </w:p>
    <w:p w14:paraId="1506B26F" w14:textId="7AECE9A5" w:rsidR="00F3182D" w:rsidRPr="00F34274" w:rsidRDefault="00F3182D" w:rsidP="009E40F4">
      <w:pPr>
        <w:spacing w:before="120"/>
        <w:rPr>
          <w:rFonts w:eastAsia="Arial" w:cs="Arial"/>
          <w:iCs/>
          <w:color w:val="555674"/>
          <w:szCs w:val="18"/>
        </w:rPr>
      </w:pPr>
      <w:r>
        <w:rPr>
          <w:rFonts w:eastAsia="Arial" w:cs="Arial"/>
          <w:iCs/>
          <w:noProof/>
          <w:color w:val="555674"/>
          <w:szCs w:val="18"/>
        </w:rPr>
        <w:drawing>
          <wp:inline distT="0" distB="0" distL="0" distR="0" wp14:anchorId="6DCC5D58" wp14:editId="6269CBE3">
            <wp:extent cx="6197024" cy="3026979"/>
            <wp:effectExtent l="0" t="0" r="0" b="2540"/>
            <wp:docPr id="300" name="Picture 300" descr="Figure 40 illustrates the log fundraising trends for portfolio and counterfactual groups over time, measured in years. The graph shows lines representing each group's fundraising activities, plotted on a logarithmic scale. Both lines generally follow a consistent pattern of growth, indicating alignment in fundraising trends between the two groups. Notably, there is a slight dip in the portfolio group's fundraising activities in the year 2020, setting it apart from the otherwise parallel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Figure 40 illustrates the log fundraising trends for portfolio and counterfactual groups over time, measured in years. The graph shows lines representing each group's fundraising activities, plotted on a logarithmic scale. Both lines generally follow a consistent pattern of growth, indicating alignment in fundraising trends between the two groups. Notably, there is a slight dip in the portfolio group's fundraising activities in the year 2020, setting it apart from the otherwise parallel movements."/>
                    <pic:cNvPicPr/>
                  </pic:nvPicPr>
                  <pic:blipFill>
                    <a:blip r:embed="rId87">
                      <a:extLst>
                        <a:ext uri="{28A0092B-C50C-407E-A947-70E740481C1C}">
                          <a14:useLocalDpi xmlns:a14="http://schemas.microsoft.com/office/drawing/2010/main" val="0"/>
                        </a:ext>
                      </a:extLst>
                    </a:blip>
                    <a:stretch>
                      <a:fillRect/>
                    </a:stretch>
                  </pic:blipFill>
                  <pic:spPr>
                    <a:xfrm>
                      <a:off x="0" y="0"/>
                      <a:ext cx="6207285" cy="3031991"/>
                    </a:xfrm>
                    <a:prstGeom prst="rect">
                      <a:avLst/>
                    </a:prstGeom>
                  </pic:spPr>
                </pic:pic>
              </a:graphicData>
            </a:graphic>
          </wp:inline>
        </w:drawing>
      </w:r>
    </w:p>
    <w:p w14:paraId="1DBEEE95" w14:textId="1E87C880" w:rsidR="00CD60C2" w:rsidRPr="00F34274" w:rsidRDefault="00CD60C2" w:rsidP="00957DB2">
      <w:pPr>
        <w:rPr>
          <w:rFonts w:eastAsia="Arial" w:cs="Arial"/>
          <w:vanish/>
        </w:rPr>
      </w:pPr>
    </w:p>
    <w:p w14:paraId="40D380D4" w14:textId="0D7144E5" w:rsidR="00CD60C2" w:rsidRDefault="004A56BD" w:rsidP="00957DB2">
      <w:pPr>
        <w:rPr>
          <w:rFonts w:eastAsia="Arial" w:cs="Arial"/>
        </w:rPr>
      </w:pPr>
      <w:r>
        <w:rPr>
          <w:rFonts w:eastAsia="Arial" w:cs="Arial"/>
        </w:rPr>
        <w:t>Analysis was also conducted on</w:t>
      </w:r>
      <w:r w:rsidR="00CD60C2" w:rsidRPr="00F34274">
        <w:rPr>
          <w:rFonts w:eastAsia="Arial" w:cs="Arial"/>
        </w:rPr>
        <w:t xml:space="preserve"> the growth rate using </w:t>
      </w:r>
      <w:r w:rsidR="00CD60C2" w:rsidRPr="00F34274">
        <w:rPr>
          <w:rFonts w:eastAsia="Arial" w:cs="Arial"/>
          <w:highlight w:val="yellow"/>
        </w:rPr>
        <w:fldChar w:fldCharType="begin"/>
      </w:r>
      <w:r w:rsidR="00CD60C2" w:rsidRPr="00F34274">
        <w:rPr>
          <w:rFonts w:eastAsia="Arial" w:cs="Arial"/>
        </w:rPr>
        <w:instrText xml:space="preserve"> REF _Ref136425324 \h </w:instrText>
      </w:r>
      <w:r w:rsidR="00CD60C2" w:rsidRPr="00F34274">
        <w:rPr>
          <w:rFonts w:eastAsia="Arial" w:cs="Arial"/>
          <w:highlight w:val="yellow"/>
        </w:rPr>
      </w:r>
      <w:r w:rsidR="00CD60C2" w:rsidRPr="00F34274">
        <w:rPr>
          <w:rFonts w:eastAsia="Arial" w:cs="Arial"/>
          <w:highlight w:val="yellow"/>
        </w:rPr>
        <w:fldChar w:fldCharType="separate"/>
      </w:r>
      <w:r w:rsidR="00BC412E" w:rsidRPr="00F34274">
        <w:rPr>
          <w:rFonts w:eastAsia="Arial" w:cs="Arial"/>
          <w:iCs/>
          <w:color w:val="555674"/>
          <w:szCs w:val="18"/>
        </w:rPr>
        <w:t xml:space="preserve">Figure </w:t>
      </w:r>
      <w:r w:rsidR="00BC412E">
        <w:rPr>
          <w:rFonts w:eastAsia="Arial" w:cs="Arial"/>
          <w:iCs/>
          <w:noProof/>
          <w:color w:val="555674"/>
          <w:szCs w:val="18"/>
        </w:rPr>
        <w:t>41</w:t>
      </w:r>
      <w:r w:rsidR="00CD60C2" w:rsidRPr="00F34274">
        <w:rPr>
          <w:rFonts w:eastAsia="Arial" w:cs="Arial"/>
          <w:highlight w:val="yellow"/>
        </w:rPr>
        <w:fldChar w:fldCharType="end"/>
      </w:r>
      <w:r w:rsidR="00CD60C2" w:rsidRPr="00F34274">
        <w:rPr>
          <w:rFonts w:eastAsia="Arial" w:cs="Arial"/>
        </w:rPr>
        <w:t xml:space="preserve">, which illustrates the percentage change in fundraising pre-treatment since 2016. The graph also reveals a </w:t>
      </w:r>
      <w:r w:rsidR="00B2799B">
        <w:rPr>
          <w:rFonts w:eastAsia="Arial" w:cs="Arial"/>
        </w:rPr>
        <w:t xml:space="preserve">broad </w:t>
      </w:r>
      <w:r w:rsidR="00CD60C2" w:rsidRPr="00F34274">
        <w:rPr>
          <w:rFonts w:eastAsia="Arial" w:cs="Arial"/>
        </w:rPr>
        <w:t xml:space="preserve">alignment of trends, with one exception being the rate leading up to 2017 for the portfolio group. During this period, the portfolio group experienced a steeper decline in fundraising compared to the treatment group. </w:t>
      </w:r>
    </w:p>
    <w:p w14:paraId="10B383DC" w14:textId="77777777" w:rsidR="00B2667B" w:rsidRDefault="00B2667B" w:rsidP="00957DB2">
      <w:pPr>
        <w:rPr>
          <w:rFonts w:eastAsia="Arial" w:cs="Arial"/>
        </w:rPr>
      </w:pPr>
    </w:p>
    <w:p w14:paraId="23EC12A9" w14:textId="77777777" w:rsidR="00B2667B" w:rsidRDefault="00B2667B" w:rsidP="00957DB2">
      <w:pPr>
        <w:rPr>
          <w:rFonts w:eastAsia="Arial" w:cs="Arial"/>
        </w:rPr>
      </w:pPr>
    </w:p>
    <w:p w14:paraId="37FC66AE" w14:textId="77777777" w:rsidR="00B2667B" w:rsidRDefault="00B2667B" w:rsidP="00957DB2">
      <w:pPr>
        <w:rPr>
          <w:rFonts w:eastAsia="Arial" w:cs="Arial"/>
        </w:rPr>
      </w:pPr>
    </w:p>
    <w:p w14:paraId="72FEB33E" w14:textId="77777777" w:rsidR="00B2667B" w:rsidRDefault="00B2667B" w:rsidP="00957DB2">
      <w:pPr>
        <w:rPr>
          <w:rFonts w:eastAsia="Arial" w:cs="Arial"/>
        </w:rPr>
      </w:pPr>
    </w:p>
    <w:p w14:paraId="35DA9B94" w14:textId="77777777" w:rsidR="00B2667B" w:rsidRDefault="00B2667B" w:rsidP="00957DB2">
      <w:pPr>
        <w:rPr>
          <w:rFonts w:eastAsia="Arial" w:cs="Arial"/>
        </w:rPr>
      </w:pPr>
    </w:p>
    <w:p w14:paraId="7E78959B" w14:textId="77777777" w:rsidR="00B2667B" w:rsidRDefault="00B2667B" w:rsidP="00957DB2">
      <w:pPr>
        <w:rPr>
          <w:rFonts w:eastAsia="Arial" w:cs="Arial"/>
        </w:rPr>
      </w:pPr>
    </w:p>
    <w:p w14:paraId="3427AC93" w14:textId="77777777" w:rsidR="00B2667B" w:rsidRDefault="00B2667B" w:rsidP="00957DB2">
      <w:pPr>
        <w:rPr>
          <w:rFonts w:eastAsia="Arial" w:cs="Arial"/>
        </w:rPr>
      </w:pPr>
    </w:p>
    <w:p w14:paraId="2AFF9999" w14:textId="77777777" w:rsidR="00B2667B" w:rsidRPr="00F34274" w:rsidRDefault="00B2667B" w:rsidP="00957DB2">
      <w:pPr>
        <w:rPr>
          <w:rFonts w:eastAsia="Arial" w:cs="Arial"/>
        </w:rPr>
      </w:pPr>
    </w:p>
    <w:p w14:paraId="052401F8" w14:textId="7A3686F5" w:rsidR="00623407" w:rsidRDefault="00CD60C2" w:rsidP="00F170C8">
      <w:pPr>
        <w:spacing w:before="120"/>
        <w:rPr>
          <w:rFonts w:eastAsia="Arial" w:cs="Arial"/>
          <w:vanish/>
        </w:rPr>
      </w:pPr>
      <w:bookmarkStart w:id="290" w:name="_Ref136425324"/>
      <w:r w:rsidRPr="00F34274">
        <w:rPr>
          <w:rFonts w:eastAsia="Arial" w:cs="Arial"/>
          <w:iCs/>
          <w:color w:val="555674"/>
          <w:szCs w:val="18"/>
        </w:rPr>
        <w:lastRenderedPageBreak/>
        <w:t xml:space="preserve">Figure </w:t>
      </w:r>
      <w:r w:rsidRPr="00F34274">
        <w:rPr>
          <w:rFonts w:eastAsia="Arial" w:cs="Arial"/>
          <w:iCs/>
          <w:color w:val="555674"/>
          <w:szCs w:val="18"/>
        </w:rPr>
        <w:fldChar w:fldCharType="begin"/>
      </w:r>
      <w:r w:rsidRPr="00F34274">
        <w:rPr>
          <w:rFonts w:eastAsia="Arial" w:cs="Arial"/>
          <w:iCs/>
          <w:color w:val="555674"/>
          <w:szCs w:val="18"/>
        </w:rPr>
        <w:instrText xml:space="preserve"> SEQ Figure \* ARABIC </w:instrText>
      </w:r>
      <w:r w:rsidRPr="00F34274">
        <w:rPr>
          <w:rFonts w:eastAsia="Arial" w:cs="Arial"/>
          <w:iCs/>
          <w:color w:val="555674"/>
          <w:szCs w:val="18"/>
        </w:rPr>
        <w:fldChar w:fldCharType="separate"/>
      </w:r>
      <w:r w:rsidR="00BC412E">
        <w:rPr>
          <w:rFonts w:eastAsia="Arial" w:cs="Arial"/>
          <w:iCs/>
          <w:noProof/>
          <w:color w:val="555674"/>
          <w:szCs w:val="18"/>
        </w:rPr>
        <w:t>41</w:t>
      </w:r>
      <w:r w:rsidRPr="00F34274">
        <w:rPr>
          <w:rFonts w:eastAsia="Arial" w:cs="Arial"/>
          <w:iCs/>
          <w:color w:val="555674"/>
          <w:szCs w:val="18"/>
        </w:rPr>
        <w:fldChar w:fldCharType="end"/>
      </w:r>
      <w:bookmarkEnd w:id="290"/>
      <w:r w:rsidRPr="00F34274">
        <w:rPr>
          <w:rFonts w:eastAsia="Arial" w:cs="Arial"/>
          <w:iCs/>
          <w:color w:val="555674"/>
          <w:szCs w:val="18"/>
        </w:rPr>
        <w:t>: Fundraising trend growth rate</w:t>
      </w:r>
    </w:p>
    <w:p w14:paraId="2D024059" w14:textId="47C95310" w:rsidR="00CD60C2" w:rsidRDefault="00CD60C2" w:rsidP="00957DB2">
      <w:pPr>
        <w:rPr>
          <w:rFonts w:eastAsia="Arial" w:cs="Arial"/>
          <w:noProof/>
        </w:rPr>
      </w:pPr>
    </w:p>
    <w:p w14:paraId="1E157558" w14:textId="352E2F35" w:rsidR="009E40F4" w:rsidRPr="00F34274" w:rsidRDefault="00F3182D" w:rsidP="00957DB2">
      <w:pPr>
        <w:rPr>
          <w:rFonts w:eastAsia="Arial" w:cs="Arial"/>
          <w:b/>
        </w:rPr>
      </w:pPr>
      <w:r>
        <w:rPr>
          <w:rFonts w:eastAsia="Arial" w:cs="Arial"/>
          <w:b/>
          <w:noProof/>
        </w:rPr>
        <w:drawing>
          <wp:inline distT="0" distB="0" distL="0" distR="0" wp14:anchorId="430C4055" wp14:editId="45C8E216">
            <wp:extent cx="6163694" cy="2837794"/>
            <wp:effectExtent l="0" t="0" r="0" b="1270"/>
            <wp:docPr id="3" name="Picture 3" descr="Figure 41 shows a line graph illustrating the percentage change in fundraising since 2016 for both the portfolio and treatment groups. The x-axis represents time, in years, and the y-axis represents the growth rate in percentages. Both lines largely align in their trends, signifying a similar trajectory in fundraising activities. However, an exception occurs leading up to the year 2017, where the portfolio group's line indicates a steeper decline in fundraising growth rate compared to the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1 shows a line graph illustrating the percentage change in fundraising since 2016 for both the portfolio and treatment groups. The x-axis represents time, in years, and the y-axis represents the growth rate in percentages. Both lines largely align in their trends, signifying a similar trajectory in fundraising activities. However, an exception occurs leading up to the year 2017, where the portfolio group's line indicates a steeper decline in fundraising growth rate compared to the treatment grou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1445" cy="2845967"/>
                    </a:xfrm>
                    <a:prstGeom prst="rect">
                      <a:avLst/>
                    </a:prstGeom>
                    <a:noFill/>
                  </pic:spPr>
                </pic:pic>
              </a:graphicData>
            </a:graphic>
          </wp:inline>
        </w:drawing>
      </w:r>
    </w:p>
    <w:p w14:paraId="6E23D8CD" w14:textId="77777777" w:rsidR="00A068A5" w:rsidRPr="00F34274" w:rsidRDefault="00A068A5" w:rsidP="00A068A5">
      <w:pPr>
        <w:rPr>
          <w:rFonts w:eastAsia="Arial" w:cs="Arial"/>
        </w:rPr>
      </w:pPr>
      <w:r w:rsidRPr="00F34274">
        <w:rPr>
          <w:rFonts w:eastAsia="Arial" w:cs="Arial"/>
        </w:rPr>
        <w:t xml:space="preserve">It is important to acknowledge that graphical analysis has its limitations, including subjectivity and the potential for biased interpretation. </w:t>
      </w:r>
      <w:r>
        <w:rPr>
          <w:rFonts w:eastAsia="Arial" w:cs="Arial"/>
        </w:rPr>
        <w:t>I</w:t>
      </w:r>
      <w:r w:rsidRPr="00F34274">
        <w:rPr>
          <w:rFonts w:eastAsia="Arial" w:cs="Arial"/>
        </w:rPr>
        <w:t>t is worth</w:t>
      </w:r>
      <w:r>
        <w:rPr>
          <w:rFonts w:eastAsia="Arial" w:cs="Arial"/>
        </w:rPr>
        <w:t xml:space="preserve"> also</w:t>
      </w:r>
      <w:r w:rsidRPr="00F34274">
        <w:rPr>
          <w:rFonts w:eastAsia="Arial" w:cs="Arial"/>
        </w:rPr>
        <w:t xml:space="preserve"> noting that the sample of portfolio firms used for matching and subsequent modelling differs from the original sample used for this trend analysis due to the issues related to firm size retrieved from the IDBR, as explained earlier in the methodology section.</w:t>
      </w:r>
    </w:p>
    <w:p w14:paraId="704132FF" w14:textId="77777777" w:rsidR="00A068A5" w:rsidRPr="00F34274" w:rsidRDefault="00A068A5" w:rsidP="00A068A5">
      <w:pPr>
        <w:rPr>
          <w:rFonts w:eastAsia="Arial" w:cs="Arial"/>
          <w:b/>
        </w:rPr>
      </w:pPr>
      <w:r w:rsidRPr="00F34274">
        <w:rPr>
          <w:rFonts w:eastAsia="Arial" w:cs="Arial"/>
          <w:b/>
        </w:rPr>
        <w:t xml:space="preserve">Triple </w:t>
      </w:r>
      <w:proofErr w:type="spellStart"/>
      <w:r w:rsidRPr="00F34274">
        <w:rPr>
          <w:rFonts w:eastAsia="Arial" w:cs="Arial"/>
          <w:b/>
        </w:rPr>
        <w:t>DiD</w:t>
      </w:r>
      <w:proofErr w:type="spellEnd"/>
      <w:r w:rsidRPr="00F34274">
        <w:rPr>
          <w:rFonts w:eastAsia="Arial" w:cs="Arial"/>
          <w:b/>
        </w:rPr>
        <w:t xml:space="preserve"> to account for the regional impact of the </w:t>
      </w:r>
      <w:proofErr w:type="gramStart"/>
      <w:r w:rsidRPr="00F34274">
        <w:rPr>
          <w:rFonts w:eastAsia="Arial" w:cs="Arial"/>
          <w:b/>
        </w:rPr>
        <w:t>Programme</w:t>
      </w:r>
      <w:proofErr w:type="gramEnd"/>
    </w:p>
    <w:p w14:paraId="104E4AAA" w14:textId="39372DDC" w:rsidR="00A068A5" w:rsidRDefault="54D76136" w:rsidP="00A068A5">
      <w:pPr>
        <w:rPr>
          <w:rFonts w:eastAsia="Arial" w:cs="Arial"/>
        </w:rPr>
      </w:pPr>
      <w:r w:rsidRPr="00F34274">
        <w:rPr>
          <w:rFonts w:eastAsia="Arial" w:cs="Arial"/>
        </w:rPr>
        <w:t xml:space="preserve">We have </w:t>
      </w:r>
      <w:r>
        <w:rPr>
          <w:rFonts w:eastAsia="Arial" w:cs="Arial"/>
        </w:rPr>
        <w:t>applied</w:t>
      </w:r>
      <w:r w:rsidRPr="00F34274">
        <w:rPr>
          <w:rFonts w:eastAsia="Arial" w:cs="Arial"/>
        </w:rPr>
        <w:t xml:space="preserve"> a triple </w:t>
      </w:r>
      <w:proofErr w:type="spellStart"/>
      <w:r w:rsidRPr="00F34274">
        <w:rPr>
          <w:rFonts w:eastAsia="Arial" w:cs="Arial"/>
        </w:rPr>
        <w:t>DiD</w:t>
      </w:r>
      <w:proofErr w:type="spellEnd"/>
      <w:r w:rsidRPr="00F34274">
        <w:rPr>
          <w:rFonts w:eastAsia="Arial" w:cs="Arial"/>
        </w:rPr>
        <w:t xml:space="preserve"> structure to account for the regional component for the RAP Programme. The triple </w:t>
      </w:r>
      <w:proofErr w:type="spellStart"/>
      <w:r w:rsidRPr="00F34274">
        <w:rPr>
          <w:rFonts w:eastAsia="Arial" w:cs="Arial"/>
        </w:rPr>
        <w:t>DiD</w:t>
      </w:r>
      <w:proofErr w:type="spellEnd"/>
      <w:r w:rsidRPr="00F34274">
        <w:rPr>
          <w:rFonts w:eastAsia="Arial" w:cs="Arial"/>
        </w:rPr>
        <w:t xml:space="preserve">, compared to a standard </w:t>
      </w:r>
      <w:proofErr w:type="spellStart"/>
      <w:r w:rsidRPr="00F34274">
        <w:rPr>
          <w:rFonts w:eastAsia="Arial" w:cs="Arial"/>
        </w:rPr>
        <w:t>DiD</w:t>
      </w:r>
      <w:proofErr w:type="spellEnd"/>
      <w:r w:rsidRPr="00F34274">
        <w:rPr>
          <w:rFonts w:eastAsia="Arial" w:cs="Arial"/>
        </w:rPr>
        <w:t xml:space="preserve"> estimator, ha</w:t>
      </w:r>
      <w:r w:rsidR="16CA8BC9">
        <w:rPr>
          <w:rFonts w:eastAsia="Arial" w:cs="Arial"/>
        </w:rPr>
        <w:t>s</w:t>
      </w:r>
      <w:r w:rsidRPr="00F34274">
        <w:rPr>
          <w:rFonts w:eastAsia="Arial" w:cs="Arial"/>
        </w:rPr>
        <w:t xml:space="preserve"> allowed us to include the interaction regional variable in order to estimate the impact of RAP funding on the Rest of the UK compared to a counterfactual group of firms based outside London and the </w:t>
      </w:r>
      <w:proofErr w:type="gramStart"/>
      <w:r w:rsidRPr="00F34274">
        <w:rPr>
          <w:rFonts w:eastAsia="Arial" w:cs="Arial"/>
        </w:rPr>
        <w:t>South East</w:t>
      </w:r>
      <w:proofErr w:type="gramEnd"/>
      <w:r w:rsidR="00A068A5" w:rsidRPr="00F34274">
        <w:rPr>
          <w:rFonts w:eastAsia="Arial" w:cs="Arial"/>
          <w:vertAlign w:val="superscript"/>
        </w:rPr>
        <w:footnoteReference w:id="75"/>
      </w:r>
      <w:r>
        <w:rPr>
          <w:rFonts w:eastAsia="Arial" w:cs="Arial"/>
        </w:rPr>
        <w:t>. T</w:t>
      </w:r>
      <w:r w:rsidRPr="0082613C">
        <w:rPr>
          <w:rFonts w:eastAsia="Arial" w:cs="Arial"/>
        </w:rPr>
        <w:t xml:space="preserve">his analysis has been </w:t>
      </w:r>
      <w:r>
        <w:rPr>
          <w:rFonts w:eastAsia="Arial" w:cs="Arial"/>
        </w:rPr>
        <w:t>carried out</w:t>
      </w:r>
      <w:r w:rsidRPr="0082613C">
        <w:rPr>
          <w:rFonts w:eastAsia="Arial" w:cs="Arial"/>
        </w:rPr>
        <w:t xml:space="preserve"> in nominal terms and the impact of inflation is considered as part of background trends and structure of the model.</w:t>
      </w:r>
    </w:p>
    <w:p w14:paraId="7C227F69" w14:textId="77777777" w:rsidR="00B2667B" w:rsidRDefault="00B2667B" w:rsidP="00A068A5">
      <w:pPr>
        <w:rPr>
          <w:rFonts w:eastAsia="Arial" w:cs="Arial"/>
        </w:rPr>
      </w:pPr>
    </w:p>
    <w:p w14:paraId="09A2B0E1" w14:textId="77777777" w:rsidR="00B2667B" w:rsidRDefault="00B2667B" w:rsidP="00A068A5">
      <w:pPr>
        <w:rPr>
          <w:rFonts w:eastAsia="Arial" w:cs="Arial"/>
        </w:rPr>
      </w:pPr>
    </w:p>
    <w:p w14:paraId="5BB3DC53" w14:textId="77777777" w:rsidR="00B2667B" w:rsidRDefault="00B2667B" w:rsidP="00A068A5">
      <w:pPr>
        <w:rPr>
          <w:rFonts w:eastAsia="Arial" w:cs="Arial"/>
        </w:rPr>
      </w:pPr>
    </w:p>
    <w:p w14:paraId="222C9F54" w14:textId="77777777" w:rsidR="00B2667B" w:rsidRPr="00F34274" w:rsidRDefault="00B2667B" w:rsidP="00A068A5">
      <w:pPr>
        <w:rPr>
          <w:rFonts w:eastAsia="Arial" w:cs="Arial"/>
        </w:rPr>
      </w:pPr>
    </w:p>
    <w:p w14:paraId="26931022" w14:textId="77777777" w:rsidR="00A068A5" w:rsidRPr="00F34274" w:rsidRDefault="00A068A5" w:rsidP="00A068A5">
      <w:pPr>
        <w:rPr>
          <w:rFonts w:eastAsia="Arial" w:cs="Arial"/>
        </w:rPr>
      </w:pPr>
      <w:r w:rsidRPr="00F34274">
        <w:rPr>
          <w:rFonts w:eastAsia="Arial" w:cs="Arial"/>
        </w:rPr>
        <w:lastRenderedPageBreak/>
        <w:t>The difference-in-differences-in-differences (DiDiD) equation can be written as follows:</w:t>
      </w:r>
    </w:p>
    <w:p w14:paraId="72DEC0EA" w14:textId="77777777" w:rsidR="00A068A5" w:rsidRPr="00F34274" w:rsidRDefault="00A068A5" w:rsidP="00A068A5">
      <w:pPr>
        <w:rPr>
          <w:rFonts w:eastAsia="Arial" w:cs="Arial"/>
          <w:i/>
        </w:rPr>
      </w:pPr>
      <w:proofErr w:type="spellStart"/>
      <w:r w:rsidRPr="00F34274">
        <w:rPr>
          <w:rFonts w:eastAsia="Arial" w:cs="Arial"/>
          <w:i/>
        </w:rPr>
        <w:t>Y_it</w:t>
      </w:r>
      <w:proofErr w:type="spellEnd"/>
      <w:r w:rsidRPr="00F34274">
        <w:rPr>
          <w:rFonts w:eastAsia="Arial" w:cs="Arial"/>
          <w:i/>
        </w:rPr>
        <w:t xml:space="preserve"> = α + β1 * </w:t>
      </w:r>
      <w:proofErr w:type="spellStart"/>
      <w:r w:rsidRPr="00F34274">
        <w:rPr>
          <w:rFonts w:eastAsia="Arial" w:cs="Arial"/>
          <w:i/>
        </w:rPr>
        <w:t>T_i</w:t>
      </w:r>
      <w:proofErr w:type="spellEnd"/>
      <w:r w:rsidRPr="00F34274">
        <w:rPr>
          <w:rFonts w:eastAsia="Arial" w:cs="Arial"/>
          <w:i/>
        </w:rPr>
        <w:t xml:space="preserve"> + β2 * </w:t>
      </w:r>
      <w:proofErr w:type="spellStart"/>
      <w:r w:rsidRPr="00F34274">
        <w:rPr>
          <w:rFonts w:eastAsia="Arial" w:cs="Arial"/>
          <w:i/>
        </w:rPr>
        <w:t>P_t</w:t>
      </w:r>
      <w:proofErr w:type="spellEnd"/>
      <w:r w:rsidRPr="00F34274">
        <w:rPr>
          <w:rFonts w:eastAsia="Arial" w:cs="Arial"/>
          <w:i/>
        </w:rPr>
        <w:t xml:space="preserve"> + β3 * </w:t>
      </w:r>
      <w:proofErr w:type="spellStart"/>
      <w:r w:rsidRPr="00F34274">
        <w:rPr>
          <w:rFonts w:eastAsia="Arial" w:cs="Arial"/>
          <w:i/>
        </w:rPr>
        <w:t>D_j</w:t>
      </w:r>
      <w:proofErr w:type="spellEnd"/>
      <w:r w:rsidRPr="00F34274">
        <w:rPr>
          <w:rFonts w:eastAsia="Arial" w:cs="Arial"/>
          <w:i/>
        </w:rPr>
        <w:t xml:space="preserve"> + δ * (</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P_t</w:t>
      </w:r>
      <w:proofErr w:type="spellEnd"/>
      <w:r w:rsidRPr="00F34274">
        <w:rPr>
          <w:rFonts w:eastAsia="Arial" w:cs="Arial"/>
          <w:i/>
        </w:rPr>
        <w:t>) + λ * (</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 + γ * (</w:t>
      </w:r>
      <w:proofErr w:type="spellStart"/>
      <w:r w:rsidRPr="00F34274">
        <w:rPr>
          <w:rFonts w:eastAsia="Arial" w:cs="Arial"/>
          <w:i/>
        </w:rPr>
        <w:t>P_t</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 + θ * (</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P_t</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 xml:space="preserve">) + </w:t>
      </w:r>
      <w:proofErr w:type="spellStart"/>
      <w:r w:rsidRPr="00F34274">
        <w:rPr>
          <w:rFonts w:eastAsia="Arial" w:cs="Arial"/>
          <w:i/>
        </w:rPr>
        <w:t>ε_it</w:t>
      </w:r>
      <w:proofErr w:type="spellEnd"/>
    </w:p>
    <w:p w14:paraId="669BC5AB" w14:textId="77777777" w:rsidR="00A068A5" w:rsidRPr="00F34274" w:rsidRDefault="00A068A5" w:rsidP="00A068A5">
      <w:pPr>
        <w:rPr>
          <w:rFonts w:eastAsia="Arial" w:cs="Arial"/>
        </w:rPr>
      </w:pPr>
      <w:r w:rsidRPr="00F34274">
        <w:rPr>
          <w:rFonts w:eastAsia="Arial" w:cs="Arial"/>
        </w:rPr>
        <w:t>where:</w:t>
      </w:r>
    </w:p>
    <w:p w14:paraId="00FB2A49" w14:textId="77777777" w:rsidR="00A068A5" w:rsidRPr="00F34274" w:rsidRDefault="00A068A5" w:rsidP="00491364">
      <w:pPr>
        <w:numPr>
          <w:ilvl w:val="0"/>
          <w:numId w:val="48"/>
        </w:numPr>
        <w:rPr>
          <w:rFonts w:eastAsia="Arial" w:cs="Arial"/>
        </w:rPr>
      </w:pPr>
      <w:proofErr w:type="spellStart"/>
      <w:r w:rsidRPr="00F34274">
        <w:rPr>
          <w:rFonts w:eastAsia="Arial" w:cs="Arial"/>
          <w:i/>
        </w:rPr>
        <w:t>Y_it</w:t>
      </w:r>
      <w:proofErr w:type="spellEnd"/>
      <w:r w:rsidRPr="00F34274">
        <w:rPr>
          <w:rFonts w:eastAsia="Arial" w:cs="Arial"/>
        </w:rPr>
        <w:t xml:space="preserve"> is the outcome variable for unit </w:t>
      </w:r>
      <w:proofErr w:type="spellStart"/>
      <w:r w:rsidRPr="00F34274">
        <w:rPr>
          <w:rFonts w:eastAsia="Arial" w:cs="Arial"/>
        </w:rPr>
        <w:t>i</w:t>
      </w:r>
      <w:proofErr w:type="spellEnd"/>
      <w:r w:rsidRPr="00F34274">
        <w:rPr>
          <w:rFonts w:eastAsia="Arial" w:cs="Arial"/>
        </w:rPr>
        <w:t xml:space="preserve"> (e.g., individual, firm, region) at time t (before and after the treatment).</w:t>
      </w:r>
    </w:p>
    <w:p w14:paraId="3E91DAFB" w14:textId="77777777" w:rsidR="00A068A5" w:rsidRPr="00F34274" w:rsidRDefault="00A068A5" w:rsidP="00491364">
      <w:pPr>
        <w:numPr>
          <w:ilvl w:val="0"/>
          <w:numId w:val="48"/>
        </w:numPr>
        <w:rPr>
          <w:rFonts w:eastAsia="Arial" w:cs="Arial"/>
        </w:rPr>
      </w:pPr>
      <w:proofErr w:type="spellStart"/>
      <w:r w:rsidRPr="00F34274">
        <w:rPr>
          <w:rFonts w:eastAsia="Arial" w:cs="Arial"/>
          <w:i/>
        </w:rPr>
        <w:t>T_i</w:t>
      </w:r>
      <w:proofErr w:type="spellEnd"/>
      <w:r w:rsidRPr="00F34274">
        <w:rPr>
          <w:rFonts w:eastAsia="Arial" w:cs="Arial"/>
        </w:rPr>
        <w:t xml:space="preserve"> is an indicator variable that equals 1 for the treatment group (those who received the intervention) and 0 for the control group (those who did not receive the intervention).</w:t>
      </w:r>
    </w:p>
    <w:p w14:paraId="7C8AAC51" w14:textId="77777777" w:rsidR="00A068A5" w:rsidRPr="00F34274" w:rsidRDefault="00A068A5" w:rsidP="00491364">
      <w:pPr>
        <w:numPr>
          <w:ilvl w:val="0"/>
          <w:numId w:val="48"/>
        </w:numPr>
        <w:rPr>
          <w:rFonts w:eastAsia="Arial" w:cs="Arial"/>
        </w:rPr>
      </w:pPr>
      <w:proofErr w:type="spellStart"/>
      <w:r w:rsidRPr="00F34274">
        <w:rPr>
          <w:rFonts w:eastAsia="Arial" w:cs="Arial"/>
          <w:i/>
        </w:rPr>
        <w:t>P_t</w:t>
      </w:r>
      <w:proofErr w:type="spellEnd"/>
      <w:r w:rsidRPr="00F34274">
        <w:rPr>
          <w:rFonts w:eastAsia="Arial" w:cs="Arial"/>
        </w:rPr>
        <w:t xml:space="preserve"> is an indicator variable that equals 1 for the post-treatment period and 0 for the pre-treatment period.</w:t>
      </w:r>
    </w:p>
    <w:p w14:paraId="6F01A29F" w14:textId="77777777" w:rsidR="00A068A5" w:rsidRPr="00F34274" w:rsidRDefault="00A068A5" w:rsidP="00491364">
      <w:pPr>
        <w:numPr>
          <w:ilvl w:val="0"/>
          <w:numId w:val="48"/>
        </w:numPr>
        <w:rPr>
          <w:rFonts w:eastAsia="Arial" w:cs="Arial"/>
        </w:rPr>
      </w:pPr>
      <w:proofErr w:type="spellStart"/>
      <w:r w:rsidRPr="00F34274">
        <w:rPr>
          <w:rFonts w:eastAsia="Arial" w:cs="Arial"/>
          <w:i/>
        </w:rPr>
        <w:t>D_j</w:t>
      </w:r>
      <w:proofErr w:type="spellEnd"/>
      <w:r w:rsidRPr="00F34274">
        <w:rPr>
          <w:rFonts w:eastAsia="Arial" w:cs="Arial"/>
        </w:rPr>
        <w:t xml:space="preserve"> is an indicator variable that equals 1 for the j-</w:t>
      </w:r>
      <w:proofErr w:type="spellStart"/>
      <w:r w:rsidRPr="00F34274">
        <w:rPr>
          <w:rFonts w:eastAsia="Arial" w:cs="Arial"/>
        </w:rPr>
        <w:t>th</w:t>
      </w:r>
      <w:proofErr w:type="spellEnd"/>
      <w:r w:rsidRPr="00F34274">
        <w:rPr>
          <w:rFonts w:eastAsia="Arial" w:cs="Arial"/>
        </w:rPr>
        <w:t xml:space="preserve"> group (e.g., region) and 0 for all other groups.</w:t>
      </w:r>
    </w:p>
    <w:p w14:paraId="2CC8B010" w14:textId="77777777" w:rsidR="00A068A5" w:rsidRPr="00F34274" w:rsidRDefault="00A068A5" w:rsidP="00491364">
      <w:pPr>
        <w:numPr>
          <w:ilvl w:val="0"/>
          <w:numId w:val="48"/>
        </w:numPr>
        <w:rPr>
          <w:rFonts w:eastAsia="Arial" w:cs="Arial"/>
        </w:rPr>
      </w:pPr>
      <w:r w:rsidRPr="00F34274">
        <w:rPr>
          <w:rFonts w:eastAsia="Arial" w:cs="Arial"/>
          <w:i/>
        </w:rPr>
        <w:t>(</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P_t</w:t>
      </w:r>
      <w:proofErr w:type="spellEnd"/>
      <w:r w:rsidRPr="00F34274">
        <w:rPr>
          <w:rFonts w:eastAsia="Arial" w:cs="Arial"/>
          <w:i/>
        </w:rPr>
        <w:t>), (</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 (</w:t>
      </w:r>
      <w:proofErr w:type="spellStart"/>
      <w:r w:rsidRPr="00F34274">
        <w:rPr>
          <w:rFonts w:eastAsia="Arial" w:cs="Arial"/>
          <w:i/>
        </w:rPr>
        <w:t>P_t</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w:t>
      </w:r>
      <w:r w:rsidRPr="00F34274">
        <w:rPr>
          <w:rFonts w:eastAsia="Arial" w:cs="Arial"/>
        </w:rPr>
        <w:t xml:space="preserve"> and </w:t>
      </w:r>
      <w:r w:rsidRPr="00F34274">
        <w:rPr>
          <w:rFonts w:eastAsia="Arial" w:cs="Arial"/>
          <w:i/>
        </w:rPr>
        <w:t>(</w:t>
      </w:r>
      <w:proofErr w:type="spellStart"/>
      <w:r w:rsidRPr="00F34274">
        <w:rPr>
          <w:rFonts w:eastAsia="Arial" w:cs="Arial"/>
          <w:i/>
        </w:rPr>
        <w:t>T_i</w:t>
      </w:r>
      <w:proofErr w:type="spellEnd"/>
      <w:r w:rsidRPr="00F34274">
        <w:rPr>
          <w:rFonts w:eastAsia="Arial" w:cs="Arial"/>
          <w:i/>
        </w:rPr>
        <w:t xml:space="preserve"> * </w:t>
      </w:r>
      <w:proofErr w:type="spellStart"/>
      <w:r w:rsidRPr="00F34274">
        <w:rPr>
          <w:rFonts w:eastAsia="Arial" w:cs="Arial"/>
          <w:i/>
        </w:rPr>
        <w:t>P_t</w:t>
      </w:r>
      <w:proofErr w:type="spellEnd"/>
      <w:r w:rsidRPr="00F34274">
        <w:rPr>
          <w:rFonts w:eastAsia="Arial" w:cs="Arial"/>
          <w:i/>
        </w:rPr>
        <w:t xml:space="preserve"> * </w:t>
      </w:r>
      <w:proofErr w:type="spellStart"/>
      <w:r w:rsidRPr="00F34274">
        <w:rPr>
          <w:rFonts w:eastAsia="Arial" w:cs="Arial"/>
          <w:i/>
        </w:rPr>
        <w:t>D_j</w:t>
      </w:r>
      <w:proofErr w:type="spellEnd"/>
      <w:r w:rsidRPr="00F34274">
        <w:rPr>
          <w:rFonts w:eastAsia="Arial" w:cs="Arial"/>
          <w:i/>
        </w:rPr>
        <w:t>)</w:t>
      </w:r>
      <w:r w:rsidRPr="00F34274">
        <w:rPr>
          <w:rFonts w:eastAsia="Arial" w:cs="Arial"/>
        </w:rPr>
        <w:t xml:space="preserve"> are interaction terms between the treatment, time, and group variables.</w:t>
      </w:r>
    </w:p>
    <w:p w14:paraId="2A172ADC" w14:textId="77777777" w:rsidR="00A068A5" w:rsidRPr="00F34274" w:rsidRDefault="00A068A5" w:rsidP="00491364">
      <w:pPr>
        <w:numPr>
          <w:ilvl w:val="0"/>
          <w:numId w:val="48"/>
        </w:numPr>
        <w:rPr>
          <w:rFonts w:eastAsia="Arial" w:cs="Arial"/>
        </w:rPr>
      </w:pPr>
      <w:r w:rsidRPr="00F34274">
        <w:rPr>
          <w:rFonts w:eastAsia="Arial" w:cs="Arial"/>
          <w:i/>
        </w:rPr>
        <w:t xml:space="preserve">α </w:t>
      </w:r>
      <w:r w:rsidRPr="00F34274">
        <w:rPr>
          <w:rFonts w:eastAsia="Arial" w:cs="Arial"/>
        </w:rPr>
        <w:t>is a constant term.</w:t>
      </w:r>
    </w:p>
    <w:p w14:paraId="55D3F39E" w14:textId="77777777" w:rsidR="00A068A5" w:rsidRPr="00F34274" w:rsidRDefault="00A068A5" w:rsidP="00491364">
      <w:pPr>
        <w:numPr>
          <w:ilvl w:val="0"/>
          <w:numId w:val="48"/>
        </w:numPr>
        <w:rPr>
          <w:rFonts w:eastAsia="Arial" w:cs="Arial"/>
        </w:rPr>
      </w:pPr>
      <w:r w:rsidRPr="00F34274">
        <w:rPr>
          <w:rFonts w:eastAsia="Arial" w:cs="Arial"/>
          <w:i/>
        </w:rPr>
        <w:t xml:space="preserve">β1, β2, </w:t>
      </w:r>
      <w:r w:rsidRPr="00F34274">
        <w:rPr>
          <w:rFonts w:eastAsia="Arial" w:cs="Arial"/>
        </w:rPr>
        <w:t>and</w:t>
      </w:r>
      <w:r w:rsidRPr="00F34274">
        <w:rPr>
          <w:rFonts w:eastAsia="Arial" w:cs="Arial"/>
          <w:i/>
        </w:rPr>
        <w:t xml:space="preserve"> β3</w:t>
      </w:r>
      <w:r w:rsidRPr="00F34274">
        <w:rPr>
          <w:rFonts w:eastAsia="Arial" w:cs="Arial"/>
        </w:rPr>
        <w:t xml:space="preserve"> are the coefficients of the treatment, time, and group variables, respectively, which represent the average effect of each variable on the outcome variable.</w:t>
      </w:r>
    </w:p>
    <w:p w14:paraId="3F35C8FE" w14:textId="77777777" w:rsidR="00A068A5" w:rsidRPr="00F34274" w:rsidRDefault="00A068A5" w:rsidP="00491364">
      <w:pPr>
        <w:numPr>
          <w:ilvl w:val="0"/>
          <w:numId w:val="48"/>
        </w:numPr>
        <w:rPr>
          <w:rFonts w:eastAsia="Arial" w:cs="Arial"/>
        </w:rPr>
      </w:pPr>
      <w:r w:rsidRPr="00F34274">
        <w:rPr>
          <w:rFonts w:eastAsia="Arial" w:cs="Arial"/>
          <w:i/>
        </w:rPr>
        <w:t>δ, λ, γ</w:t>
      </w:r>
      <w:r w:rsidRPr="00F34274">
        <w:rPr>
          <w:rFonts w:eastAsia="Arial" w:cs="Arial"/>
        </w:rPr>
        <w:t xml:space="preserve">, and </w:t>
      </w:r>
      <w:r w:rsidRPr="00F34274">
        <w:rPr>
          <w:rFonts w:eastAsia="Arial" w:cs="Arial"/>
          <w:i/>
        </w:rPr>
        <w:t>θ</w:t>
      </w:r>
      <w:r w:rsidRPr="00F34274">
        <w:rPr>
          <w:rFonts w:eastAsia="Arial" w:cs="Arial"/>
        </w:rPr>
        <w:t xml:space="preserve"> are the coefficients of the interaction terms, which represent the additional effect of the treatment variable when combined with time, group, or both.</w:t>
      </w:r>
    </w:p>
    <w:p w14:paraId="5990A01E" w14:textId="6D1DAC7B" w:rsidR="00CD60C2" w:rsidRPr="00F34274" w:rsidRDefault="00A068A5" w:rsidP="00A068A5">
      <w:pPr>
        <w:rPr>
          <w:rFonts w:eastAsia="Arial" w:cs="Arial"/>
        </w:rPr>
      </w:pPr>
      <w:r w:rsidRPr="00F34274">
        <w:rPr>
          <w:rFonts w:eastAsia="Arial" w:cs="Arial"/>
        </w:rPr>
        <w:t xml:space="preserve">The DiDiD coefficient </w:t>
      </w:r>
      <w:r w:rsidRPr="00F34274">
        <w:rPr>
          <w:rFonts w:eastAsia="Arial" w:cs="Arial"/>
          <w:i/>
          <w:iCs/>
        </w:rPr>
        <w:t>(θ)</w:t>
      </w:r>
      <w:r w:rsidRPr="00F34274">
        <w:rPr>
          <w:rFonts w:eastAsia="Arial" w:cs="Arial"/>
        </w:rPr>
        <w:t xml:space="preserve"> measures the difference in the treatment effect between the treatment and control groups before and after the treatment, </w:t>
      </w:r>
      <w:proofErr w:type="gramStart"/>
      <w:r w:rsidRPr="00F34274">
        <w:rPr>
          <w:rFonts w:eastAsia="Arial" w:cs="Arial"/>
        </w:rPr>
        <w:t>taking into account</w:t>
      </w:r>
      <w:proofErr w:type="gramEnd"/>
      <w:r w:rsidRPr="00F34274">
        <w:rPr>
          <w:rFonts w:eastAsia="Arial" w:cs="Arial"/>
        </w:rPr>
        <w:t xml:space="preserve"> the differences in the outcome variable between the groups and over time. A positive DiDiD coefficient indicates that the treatment effect is greater for the treatment group than for the control group, after adjusting for the differences in the outcome variable between the groups and over time. Conversely, a negative DiDiD coefficient indicates that the treatment effect is smaller for the treatment group than for the control group, after adjusting for the </w:t>
      </w:r>
      <w:r w:rsidRPr="00F34274">
        <w:rPr>
          <w:rFonts w:eastAsia="Arial" w:cs="Arial"/>
        </w:rPr>
        <w:lastRenderedPageBreak/>
        <w:t xml:space="preserve">differences in the outcome variable between the groups and over time. The interpretation of our coefficient is highlighted </w:t>
      </w:r>
      <w:r w:rsidRPr="00CB407B">
        <w:rPr>
          <w:rFonts w:eastAsia="Arial" w:cs="Arial"/>
        </w:rPr>
        <w:t>in</w:t>
      </w:r>
      <w:r w:rsidR="00102406" w:rsidRPr="00CB407B">
        <w:rPr>
          <w:rFonts w:eastAsia="Arial" w:cs="Arial"/>
        </w:rPr>
        <w:t xml:space="preserve"> </w:t>
      </w:r>
      <w:r w:rsidR="00102406" w:rsidRPr="00CB407B">
        <w:rPr>
          <w:rFonts w:eastAsia="Arial" w:cs="Arial"/>
        </w:rPr>
        <w:fldChar w:fldCharType="begin"/>
      </w:r>
      <w:r w:rsidR="00102406" w:rsidRPr="00CB407B">
        <w:rPr>
          <w:rFonts w:eastAsia="Arial" w:cs="Arial"/>
        </w:rPr>
        <w:instrText xml:space="preserve"> REF _Ref145073155 \h </w:instrText>
      </w:r>
      <w:r w:rsidR="00CB407B">
        <w:rPr>
          <w:rFonts w:eastAsia="Arial" w:cs="Arial"/>
        </w:rPr>
        <w:instrText xml:space="preserve"> \* MERGEFORMAT </w:instrText>
      </w:r>
      <w:r w:rsidR="00102406" w:rsidRPr="00CB407B">
        <w:rPr>
          <w:rFonts w:eastAsia="Arial" w:cs="Arial"/>
        </w:rPr>
      </w:r>
      <w:r w:rsidR="00102406" w:rsidRPr="00CB407B">
        <w:rPr>
          <w:rFonts w:eastAsia="Arial" w:cs="Arial"/>
        </w:rPr>
        <w:fldChar w:fldCharType="separate"/>
      </w:r>
      <w:r w:rsidR="00BC412E">
        <w:t xml:space="preserve">Table </w:t>
      </w:r>
      <w:r w:rsidR="00BC412E">
        <w:rPr>
          <w:noProof/>
        </w:rPr>
        <w:t>21</w:t>
      </w:r>
      <w:r w:rsidR="00102406" w:rsidRPr="00CB407B">
        <w:rPr>
          <w:rFonts w:eastAsia="Arial" w:cs="Arial"/>
        </w:rPr>
        <w:fldChar w:fldCharType="end"/>
      </w:r>
      <w:r w:rsidR="00CD60C2" w:rsidRPr="00CB407B">
        <w:rPr>
          <w:rFonts w:eastAsia="Arial" w:cs="Arial"/>
        </w:rPr>
        <w:t xml:space="preserve"> below</w:t>
      </w:r>
      <w:r w:rsidR="00CD60C2" w:rsidRPr="00F34274">
        <w:rPr>
          <w:rFonts w:eastAsia="Arial" w:cs="Arial"/>
        </w:rPr>
        <w:t>.</w:t>
      </w:r>
    </w:p>
    <w:p w14:paraId="1C5B87F3" w14:textId="01E9B4AA" w:rsidR="00CD60C2" w:rsidRDefault="00102406" w:rsidP="00957DB2">
      <w:pPr>
        <w:rPr>
          <w:rFonts w:eastAsia="Arial" w:cs="Arial"/>
        </w:rPr>
      </w:pPr>
      <w:r>
        <w:rPr>
          <w:rFonts w:eastAsia="Arial" w:cs="Arial"/>
        </w:rPr>
        <w:fldChar w:fldCharType="begin"/>
      </w:r>
      <w:r>
        <w:rPr>
          <w:rFonts w:eastAsia="Arial" w:cs="Arial"/>
        </w:rPr>
        <w:instrText xml:space="preserve"> REF _Ref145073155 \h </w:instrText>
      </w:r>
      <w:r>
        <w:rPr>
          <w:rFonts w:eastAsia="Arial" w:cs="Arial"/>
        </w:rPr>
      </w:r>
      <w:r>
        <w:rPr>
          <w:rFonts w:eastAsia="Arial" w:cs="Arial"/>
        </w:rPr>
        <w:fldChar w:fldCharType="separate"/>
      </w:r>
      <w:r w:rsidR="00BC412E">
        <w:t xml:space="preserve">Table </w:t>
      </w:r>
      <w:r w:rsidR="00BC412E">
        <w:rPr>
          <w:noProof/>
        </w:rPr>
        <w:t>21</w:t>
      </w:r>
      <w:r>
        <w:rPr>
          <w:rFonts w:eastAsia="Arial" w:cs="Arial"/>
        </w:rPr>
        <w:fldChar w:fldCharType="end"/>
      </w:r>
      <w:r>
        <w:rPr>
          <w:rFonts w:eastAsia="Arial" w:cs="Arial"/>
        </w:rPr>
        <w:t xml:space="preserve"> </w:t>
      </w:r>
      <w:r w:rsidR="00CD60C2" w:rsidRPr="00F34274">
        <w:rPr>
          <w:rFonts w:eastAsia="Arial" w:cs="Arial"/>
        </w:rPr>
        <w:t xml:space="preserve">presents the fundraising results for both a national standard </w:t>
      </w:r>
      <w:proofErr w:type="spellStart"/>
      <w:proofErr w:type="gramStart"/>
      <w:r w:rsidR="00CD60C2" w:rsidRPr="00F34274">
        <w:rPr>
          <w:rFonts w:eastAsia="Arial" w:cs="Arial"/>
        </w:rPr>
        <w:t>DiD</w:t>
      </w:r>
      <w:proofErr w:type="spellEnd"/>
      <w:proofErr w:type="gramEnd"/>
      <w:r w:rsidR="00CD60C2" w:rsidRPr="00F34274">
        <w:rPr>
          <w:rFonts w:eastAsia="Arial" w:cs="Arial"/>
        </w:rPr>
        <w:t xml:space="preserve"> and</w:t>
      </w:r>
      <w:r>
        <w:rPr>
          <w:rFonts w:eastAsia="Arial" w:cs="Arial"/>
        </w:rPr>
        <w:t xml:space="preserve"> a</w:t>
      </w:r>
      <w:r w:rsidR="00CD60C2" w:rsidRPr="00F34274">
        <w:rPr>
          <w:rFonts w:eastAsia="Arial" w:cs="Arial"/>
        </w:rPr>
        <w:t xml:space="preserve"> triple </w:t>
      </w:r>
      <w:proofErr w:type="spellStart"/>
      <w:r w:rsidR="00CD60C2" w:rsidRPr="00F34274">
        <w:rPr>
          <w:rFonts w:eastAsia="Arial" w:cs="Arial"/>
        </w:rPr>
        <w:t>DiD</w:t>
      </w:r>
      <w:proofErr w:type="spellEnd"/>
      <w:r w:rsidR="00CD60C2" w:rsidRPr="00F34274">
        <w:rPr>
          <w:rFonts w:eastAsia="Arial" w:cs="Arial"/>
        </w:rPr>
        <w:t xml:space="preserve"> model, taking into account the regional component. Both models utilise logarithmic terms for fundraising and incorporate weights obtained from the propensity score matching (PSM).</w:t>
      </w:r>
    </w:p>
    <w:p w14:paraId="1D91CA53" w14:textId="15AD1840" w:rsidR="00102406" w:rsidRPr="00F34274" w:rsidRDefault="00102406" w:rsidP="00102406">
      <w:pPr>
        <w:pStyle w:val="Caption"/>
        <w:rPr>
          <w:rFonts w:eastAsia="Arial" w:cs="Arial"/>
        </w:rPr>
      </w:pPr>
      <w:bookmarkStart w:id="291" w:name="_Ref145073155"/>
      <w:r>
        <w:t xml:space="preserve">Table </w:t>
      </w:r>
      <w:r w:rsidR="002728D8">
        <w:fldChar w:fldCharType="begin"/>
      </w:r>
      <w:r w:rsidR="002728D8">
        <w:instrText xml:space="preserve"> SEQ Table \* ARABIC </w:instrText>
      </w:r>
      <w:r w:rsidR="002728D8">
        <w:fldChar w:fldCharType="separate"/>
      </w:r>
      <w:r w:rsidR="00BC412E">
        <w:rPr>
          <w:noProof/>
        </w:rPr>
        <w:t>21</w:t>
      </w:r>
      <w:r w:rsidR="002728D8">
        <w:rPr>
          <w:noProof/>
        </w:rPr>
        <w:fldChar w:fldCharType="end"/>
      </w:r>
      <w:bookmarkEnd w:id="291"/>
      <w:r>
        <w:t>: C</w:t>
      </w:r>
      <w:r w:rsidRPr="0073582F">
        <w:t xml:space="preserve">oefficient for National and Regional </w:t>
      </w:r>
      <w:r>
        <w:t>l</w:t>
      </w:r>
      <w:r w:rsidRPr="0073582F">
        <w:t>evel</w:t>
      </w:r>
    </w:p>
    <w:tbl>
      <w:tblPr>
        <w:tblStyle w:val="PlainTable21"/>
        <w:tblW w:w="9838" w:type="dxa"/>
        <w:tblBorders>
          <w:top w:val="single" w:sz="4" w:space="0" w:color="142855" w:themeColor="text2"/>
          <w:bottom w:val="single" w:sz="4" w:space="0" w:color="142855" w:themeColor="text2"/>
          <w:insideH w:val="single" w:sz="4" w:space="0" w:color="142855" w:themeColor="text2"/>
        </w:tblBorders>
        <w:tblLayout w:type="fixed"/>
        <w:tblLook w:val="0420" w:firstRow="1" w:lastRow="0" w:firstColumn="0" w:lastColumn="0" w:noHBand="0" w:noVBand="1"/>
      </w:tblPr>
      <w:tblGrid>
        <w:gridCol w:w="1843"/>
        <w:gridCol w:w="1418"/>
        <w:gridCol w:w="1134"/>
        <w:gridCol w:w="1842"/>
        <w:gridCol w:w="3601"/>
      </w:tblGrid>
      <w:tr w:rsidR="00F3182D" w:rsidRPr="00F34274" w14:paraId="34EBB274" w14:textId="77777777" w:rsidTr="00313B64">
        <w:trPr>
          <w:cnfStyle w:val="100000000000" w:firstRow="1" w:lastRow="0" w:firstColumn="0" w:lastColumn="0" w:oddVBand="0" w:evenVBand="0" w:oddHBand="0" w:evenHBand="0" w:firstRowFirstColumn="0" w:firstRowLastColumn="0" w:lastRowFirstColumn="0" w:lastRowLastColumn="0"/>
          <w:trHeight w:val="928"/>
        </w:trPr>
        <w:tc>
          <w:tcPr>
            <w:tcW w:w="1843" w:type="dxa"/>
            <w:hideMark/>
          </w:tcPr>
          <w:p w14:paraId="5A81DABA" w14:textId="77777777" w:rsidR="00F3182D" w:rsidRPr="00900817" w:rsidRDefault="00F3182D" w:rsidP="00313B64">
            <w:pPr>
              <w:rPr>
                <w:rFonts w:eastAsia="Arial" w:cs="Arial"/>
                <w:color w:val="142855" w:themeColor="text2"/>
              </w:rPr>
            </w:pPr>
            <w:r w:rsidRPr="00900817">
              <w:rPr>
                <w:rFonts w:eastAsia="Arial" w:cs="Arial"/>
                <w:color w:val="142855" w:themeColor="text2"/>
              </w:rPr>
              <w:t>Model</w:t>
            </w:r>
          </w:p>
        </w:tc>
        <w:tc>
          <w:tcPr>
            <w:tcW w:w="1418" w:type="dxa"/>
            <w:hideMark/>
          </w:tcPr>
          <w:p w14:paraId="42B0EFAE" w14:textId="77777777" w:rsidR="00F3182D" w:rsidRPr="00900817" w:rsidRDefault="00F3182D" w:rsidP="00313B64">
            <w:pPr>
              <w:rPr>
                <w:rFonts w:eastAsia="Arial" w:cs="Arial"/>
                <w:color w:val="142855" w:themeColor="text2"/>
              </w:rPr>
            </w:pPr>
            <w:proofErr w:type="spellStart"/>
            <w:r w:rsidRPr="00900817">
              <w:rPr>
                <w:rFonts w:eastAsia="Arial" w:cs="Arial"/>
                <w:color w:val="142855" w:themeColor="text2"/>
              </w:rPr>
              <w:t>DiD</w:t>
            </w:r>
            <w:proofErr w:type="spellEnd"/>
            <w:r w:rsidRPr="00900817">
              <w:rPr>
                <w:rFonts w:eastAsia="Arial" w:cs="Arial"/>
                <w:color w:val="142855" w:themeColor="text2"/>
              </w:rPr>
              <w:t>/ DiDiD coefficient</w:t>
            </w:r>
          </w:p>
        </w:tc>
        <w:tc>
          <w:tcPr>
            <w:tcW w:w="1134" w:type="dxa"/>
            <w:hideMark/>
          </w:tcPr>
          <w:p w14:paraId="18E7C573" w14:textId="77777777" w:rsidR="00F3182D" w:rsidRPr="00900817" w:rsidRDefault="00F3182D" w:rsidP="00313B64">
            <w:pPr>
              <w:rPr>
                <w:rFonts w:eastAsia="Arial" w:cs="Arial"/>
                <w:color w:val="142855" w:themeColor="text2"/>
              </w:rPr>
            </w:pPr>
            <w:r w:rsidRPr="00900817">
              <w:rPr>
                <w:rFonts w:eastAsia="Arial" w:cs="Arial"/>
                <w:color w:val="142855" w:themeColor="text2"/>
              </w:rPr>
              <w:t>P-value</w:t>
            </w:r>
          </w:p>
        </w:tc>
        <w:tc>
          <w:tcPr>
            <w:tcW w:w="1842" w:type="dxa"/>
            <w:hideMark/>
          </w:tcPr>
          <w:p w14:paraId="0E8E7B16" w14:textId="77777777" w:rsidR="00F3182D" w:rsidRPr="00900817" w:rsidRDefault="00F3182D" w:rsidP="00313B64">
            <w:pPr>
              <w:rPr>
                <w:rFonts w:eastAsia="Arial" w:cs="Arial"/>
                <w:color w:val="142855" w:themeColor="text2"/>
              </w:rPr>
            </w:pPr>
            <w:r w:rsidRPr="00900817">
              <w:rPr>
                <w:rFonts w:eastAsia="Arial" w:cs="Arial"/>
                <w:color w:val="142855" w:themeColor="text2"/>
              </w:rPr>
              <w:t>Significance</w:t>
            </w:r>
          </w:p>
        </w:tc>
        <w:tc>
          <w:tcPr>
            <w:tcW w:w="3601" w:type="dxa"/>
            <w:hideMark/>
          </w:tcPr>
          <w:p w14:paraId="0B14B836" w14:textId="77777777" w:rsidR="00F3182D" w:rsidRPr="00900817" w:rsidRDefault="00F3182D" w:rsidP="00313B64">
            <w:pPr>
              <w:rPr>
                <w:rFonts w:eastAsia="Arial" w:cs="Arial"/>
                <w:color w:val="142855" w:themeColor="text2"/>
              </w:rPr>
            </w:pPr>
            <w:r w:rsidRPr="00900817">
              <w:rPr>
                <w:rFonts w:eastAsia="Arial" w:cs="Arial"/>
                <w:color w:val="142855" w:themeColor="text2"/>
              </w:rPr>
              <w:t>Interpretation</w:t>
            </w:r>
          </w:p>
        </w:tc>
      </w:tr>
      <w:tr w:rsidR="00F3182D" w:rsidRPr="00F34274" w14:paraId="366F5541" w14:textId="77777777" w:rsidTr="00313B64">
        <w:trPr>
          <w:cnfStyle w:val="000000100000" w:firstRow="0" w:lastRow="0" w:firstColumn="0" w:lastColumn="0" w:oddVBand="0" w:evenVBand="0" w:oddHBand="1" w:evenHBand="0" w:firstRowFirstColumn="0" w:firstRowLastColumn="0" w:lastRowFirstColumn="0" w:lastRowLastColumn="0"/>
          <w:trHeight w:val="915"/>
        </w:trPr>
        <w:tc>
          <w:tcPr>
            <w:tcW w:w="1843" w:type="dxa"/>
            <w:hideMark/>
          </w:tcPr>
          <w:p w14:paraId="5129E6E1" w14:textId="77777777" w:rsidR="00F3182D" w:rsidRPr="00900817" w:rsidRDefault="00F3182D" w:rsidP="00313B64">
            <w:pPr>
              <w:rPr>
                <w:rFonts w:eastAsia="Arial" w:cs="Arial"/>
                <w:b/>
                <w:bCs/>
              </w:rPr>
            </w:pPr>
            <w:r w:rsidRPr="00900817">
              <w:rPr>
                <w:rFonts w:eastAsia="Arial" w:cs="Arial"/>
                <w:b/>
                <w:bCs/>
              </w:rPr>
              <w:t>National Level (fundraisings)</w:t>
            </w:r>
          </w:p>
        </w:tc>
        <w:tc>
          <w:tcPr>
            <w:tcW w:w="1418" w:type="dxa"/>
            <w:hideMark/>
          </w:tcPr>
          <w:p w14:paraId="4F8B1E4E" w14:textId="77777777" w:rsidR="00F3182D" w:rsidRPr="00F34274" w:rsidRDefault="00F3182D" w:rsidP="00313B64">
            <w:pPr>
              <w:rPr>
                <w:rFonts w:eastAsia="Arial" w:cs="Arial"/>
              </w:rPr>
            </w:pPr>
            <w:r w:rsidRPr="00F34274">
              <w:rPr>
                <w:rFonts w:eastAsia="Arial" w:cs="Arial"/>
              </w:rPr>
              <w:t>0.76</w:t>
            </w:r>
          </w:p>
        </w:tc>
        <w:tc>
          <w:tcPr>
            <w:tcW w:w="1134" w:type="dxa"/>
            <w:hideMark/>
          </w:tcPr>
          <w:p w14:paraId="271664A3" w14:textId="77777777" w:rsidR="00F3182D" w:rsidRPr="00F34274" w:rsidRDefault="00F3182D" w:rsidP="00313B64">
            <w:pPr>
              <w:rPr>
                <w:rFonts w:eastAsia="Arial" w:cs="Arial"/>
              </w:rPr>
            </w:pPr>
            <w:r w:rsidRPr="00F34274">
              <w:rPr>
                <w:rFonts w:eastAsia="Arial" w:cs="Arial"/>
              </w:rPr>
              <w:t>0.13</w:t>
            </w:r>
          </w:p>
        </w:tc>
        <w:tc>
          <w:tcPr>
            <w:tcW w:w="1842" w:type="dxa"/>
            <w:hideMark/>
          </w:tcPr>
          <w:p w14:paraId="211F93F0" w14:textId="77777777" w:rsidR="00F3182D" w:rsidRPr="00F34274" w:rsidRDefault="00F3182D" w:rsidP="00313B64">
            <w:pPr>
              <w:rPr>
                <w:rFonts w:eastAsia="Arial" w:cs="Arial"/>
              </w:rPr>
            </w:pPr>
            <w:r w:rsidRPr="00F34274">
              <w:rPr>
                <w:rFonts w:eastAsia="Arial" w:cs="Arial"/>
              </w:rPr>
              <w:t>Marginally insignificant</w:t>
            </w:r>
          </w:p>
        </w:tc>
        <w:tc>
          <w:tcPr>
            <w:tcW w:w="3601" w:type="dxa"/>
            <w:hideMark/>
          </w:tcPr>
          <w:p w14:paraId="537B260B" w14:textId="77777777" w:rsidR="00F3182D" w:rsidRPr="00F34274" w:rsidRDefault="00F3182D" w:rsidP="00313B64">
            <w:pPr>
              <w:rPr>
                <w:rFonts w:eastAsia="Arial" w:cs="Arial"/>
              </w:rPr>
            </w:pPr>
            <w:r w:rsidRPr="00F34274">
              <w:rPr>
                <w:rFonts w:eastAsia="Arial" w:cs="Arial"/>
              </w:rPr>
              <w:t xml:space="preserve">Positive impact of RAP funding on relative fundraising. On average, RAP funded firms experienced a 76% funding uplift compared to the counterfactual on a national basis. </w:t>
            </w:r>
          </w:p>
        </w:tc>
      </w:tr>
      <w:tr w:rsidR="00F3182D" w:rsidRPr="00F34274" w14:paraId="7D23D16F" w14:textId="77777777" w:rsidTr="00313B64">
        <w:trPr>
          <w:trHeight w:val="1144"/>
        </w:trPr>
        <w:tc>
          <w:tcPr>
            <w:tcW w:w="1843" w:type="dxa"/>
            <w:hideMark/>
          </w:tcPr>
          <w:p w14:paraId="68266F9C" w14:textId="77777777" w:rsidR="00F3182D" w:rsidRPr="00900817" w:rsidRDefault="00F3182D" w:rsidP="00313B64">
            <w:pPr>
              <w:rPr>
                <w:rFonts w:eastAsia="Arial" w:cs="Arial"/>
                <w:b/>
                <w:bCs/>
              </w:rPr>
            </w:pPr>
            <w:r w:rsidRPr="00900817">
              <w:rPr>
                <w:rFonts w:eastAsia="Arial" w:cs="Arial"/>
                <w:b/>
                <w:bCs/>
              </w:rPr>
              <w:t>Regional Level- Rest of UK (fundraisings)</w:t>
            </w:r>
          </w:p>
        </w:tc>
        <w:tc>
          <w:tcPr>
            <w:tcW w:w="1418" w:type="dxa"/>
            <w:hideMark/>
          </w:tcPr>
          <w:p w14:paraId="25949B13" w14:textId="77777777" w:rsidR="00F3182D" w:rsidRPr="00F34274" w:rsidRDefault="00F3182D" w:rsidP="00313B64">
            <w:pPr>
              <w:rPr>
                <w:rFonts w:eastAsia="Arial" w:cs="Arial"/>
              </w:rPr>
            </w:pPr>
            <w:r w:rsidRPr="00F34274">
              <w:rPr>
                <w:rFonts w:eastAsia="Arial" w:cs="Arial"/>
              </w:rPr>
              <w:t>1.50</w:t>
            </w:r>
          </w:p>
        </w:tc>
        <w:tc>
          <w:tcPr>
            <w:tcW w:w="1134" w:type="dxa"/>
            <w:hideMark/>
          </w:tcPr>
          <w:p w14:paraId="510DF4DA" w14:textId="77777777" w:rsidR="00F3182D" w:rsidRPr="00F34274" w:rsidRDefault="00F3182D" w:rsidP="00313B64">
            <w:pPr>
              <w:rPr>
                <w:rFonts w:eastAsia="Arial" w:cs="Arial"/>
              </w:rPr>
            </w:pPr>
            <w:r w:rsidRPr="00F34274">
              <w:rPr>
                <w:rFonts w:eastAsia="Arial" w:cs="Arial"/>
              </w:rPr>
              <w:t>0.11</w:t>
            </w:r>
          </w:p>
        </w:tc>
        <w:tc>
          <w:tcPr>
            <w:tcW w:w="1842" w:type="dxa"/>
            <w:hideMark/>
          </w:tcPr>
          <w:p w14:paraId="1F773DF1" w14:textId="77777777" w:rsidR="00F3182D" w:rsidRPr="00F34274" w:rsidRDefault="00F3182D" w:rsidP="00313B64">
            <w:pPr>
              <w:rPr>
                <w:rFonts w:eastAsia="Arial" w:cs="Arial"/>
              </w:rPr>
            </w:pPr>
            <w:r w:rsidRPr="00F34274">
              <w:rPr>
                <w:rFonts w:eastAsia="Arial" w:cs="Arial"/>
              </w:rPr>
              <w:t>Marginally insignificant</w:t>
            </w:r>
          </w:p>
        </w:tc>
        <w:tc>
          <w:tcPr>
            <w:tcW w:w="3601" w:type="dxa"/>
            <w:hideMark/>
          </w:tcPr>
          <w:p w14:paraId="3C900BDC" w14:textId="77777777" w:rsidR="00F3182D" w:rsidRPr="00F34274" w:rsidRDefault="00F3182D" w:rsidP="00313B64">
            <w:pPr>
              <w:rPr>
                <w:rFonts w:eastAsia="Arial" w:cs="Arial"/>
              </w:rPr>
            </w:pPr>
            <w:r w:rsidRPr="00F34274">
              <w:rPr>
                <w:rFonts w:eastAsia="Arial" w:cs="Arial"/>
              </w:rPr>
              <w:t xml:space="preserve">Positive impact of RAP funding on portfolio firms average fundraising. On average, RAP funded firms that were based in the rest of the UK experienced a 150% increase in funding compared to the counterfactual group of firms based outside London and the </w:t>
            </w:r>
            <w:proofErr w:type="gramStart"/>
            <w:r w:rsidRPr="00F34274">
              <w:rPr>
                <w:rFonts w:eastAsia="Arial" w:cs="Arial"/>
              </w:rPr>
              <w:t>South East</w:t>
            </w:r>
            <w:proofErr w:type="gramEnd"/>
            <w:r w:rsidRPr="00F34274">
              <w:rPr>
                <w:rFonts w:eastAsia="Arial" w:cs="Arial"/>
              </w:rPr>
              <w:t xml:space="preserve"> (Rest of the UK) post RAP financing.</w:t>
            </w:r>
          </w:p>
        </w:tc>
      </w:tr>
    </w:tbl>
    <w:p w14:paraId="59A2DA12" w14:textId="33C72116" w:rsidR="00CD60C2" w:rsidRPr="00F34274" w:rsidRDefault="00CD60C2" w:rsidP="00F170C8">
      <w:pPr>
        <w:spacing w:before="120"/>
        <w:rPr>
          <w:rFonts w:eastAsia="Arial" w:cs="Arial"/>
          <w:vanish/>
        </w:rPr>
      </w:pPr>
    </w:p>
    <w:p w14:paraId="743F8A82" w14:textId="77777777" w:rsidR="00C21966" w:rsidRDefault="00C21966" w:rsidP="00271F42">
      <w:pPr>
        <w:rPr>
          <w:rFonts w:eastAsia="Arial" w:cs="Arial"/>
        </w:rPr>
      </w:pPr>
    </w:p>
    <w:p w14:paraId="5201F098" w14:textId="56686298" w:rsidR="00A068A5" w:rsidRDefault="00102406" w:rsidP="00A068A5">
      <w:pPr>
        <w:rPr>
          <w:rFonts w:eastAsia="Arial" w:cs="Arial"/>
        </w:rPr>
      </w:pPr>
      <w:r>
        <w:rPr>
          <w:rFonts w:eastAsia="Arial" w:cs="Arial"/>
        </w:rPr>
        <w:fldChar w:fldCharType="begin"/>
      </w:r>
      <w:r>
        <w:rPr>
          <w:rFonts w:eastAsia="Arial" w:cs="Arial"/>
        </w:rPr>
        <w:instrText xml:space="preserve"> REF _Ref145073354 \h </w:instrText>
      </w:r>
      <w:r>
        <w:rPr>
          <w:rFonts w:eastAsia="Arial" w:cs="Arial"/>
        </w:rPr>
      </w:r>
      <w:r>
        <w:rPr>
          <w:rFonts w:eastAsia="Arial" w:cs="Arial"/>
        </w:rPr>
        <w:fldChar w:fldCharType="separate"/>
      </w:r>
      <w:r w:rsidR="00BC412E">
        <w:t xml:space="preserve">Table </w:t>
      </w:r>
      <w:r w:rsidR="00BC412E">
        <w:rPr>
          <w:noProof/>
        </w:rPr>
        <w:t>22</w:t>
      </w:r>
      <w:r>
        <w:rPr>
          <w:rFonts w:eastAsia="Arial" w:cs="Arial"/>
        </w:rPr>
        <w:fldChar w:fldCharType="end"/>
      </w:r>
      <w:r w:rsidR="3AAE8E8B">
        <w:rPr>
          <w:rFonts w:eastAsia="Arial" w:cs="Arial"/>
        </w:rPr>
        <w:t xml:space="preserve"> </w:t>
      </w:r>
      <w:r w:rsidR="54D76136" w:rsidRPr="00C21966">
        <w:rPr>
          <w:rFonts w:eastAsia="Arial" w:cs="Arial"/>
        </w:rPr>
        <w:t xml:space="preserve">below presents the fundraising results for both a national standard </w:t>
      </w:r>
      <w:proofErr w:type="spellStart"/>
      <w:proofErr w:type="gramStart"/>
      <w:r w:rsidR="54D76136" w:rsidRPr="00C21966">
        <w:rPr>
          <w:rFonts w:eastAsia="Arial" w:cs="Arial"/>
        </w:rPr>
        <w:t>DiD</w:t>
      </w:r>
      <w:proofErr w:type="spellEnd"/>
      <w:proofErr w:type="gramEnd"/>
      <w:r w:rsidR="54D76136" w:rsidRPr="00C21966">
        <w:rPr>
          <w:rFonts w:eastAsia="Arial" w:cs="Arial"/>
        </w:rPr>
        <w:t xml:space="preserve"> and a triple </w:t>
      </w:r>
      <w:proofErr w:type="spellStart"/>
      <w:r w:rsidR="54D76136" w:rsidRPr="00C21966">
        <w:rPr>
          <w:rFonts w:eastAsia="Arial" w:cs="Arial"/>
        </w:rPr>
        <w:t>DiD</w:t>
      </w:r>
      <w:proofErr w:type="spellEnd"/>
      <w:r w:rsidR="54D76136" w:rsidRPr="00C21966">
        <w:rPr>
          <w:rFonts w:eastAsia="Arial" w:cs="Arial"/>
        </w:rPr>
        <w:t xml:space="preserve"> model, considering the regional component after removing the three most influential observations in our dataset. This step was necessary to address the issue of outliers, which had a disproportionate impact on the results due to the small sample size, as discussed in previous sections of the report. To identify these influential observations, we utilised Cook's Distance, a measure that quantifies the extent to which the fitted values in the model </w:t>
      </w:r>
      <w:r w:rsidR="54D76136" w:rsidRPr="00C21966">
        <w:rPr>
          <w:rFonts w:eastAsia="Arial" w:cs="Arial"/>
        </w:rPr>
        <w:lastRenderedPageBreak/>
        <w:t xml:space="preserve">change when a specific data point is removed. A high value of Cook's Distance indicates a strong influence on the fitted values. As a general guideline, any data point with a Cook's Distance exceeding 4/n (where n represents the total number of data points) is considered an </w:t>
      </w:r>
      <w:r w:rsidR="54D76136" w:rsidRPr="00271F42">
        <w:rPr>
          <w:rFonts w:eastAsia="Arial" w:cs="Arial"/>
        </w:rPr>
        <w:t>outlier</w:t>
      </w:r>
      <w:r w:rsidR="00A068A5">
        <w:rPr>
          <w:rStyle w:val="FootnoteReference"/>
          <w:rFonts w:eastAsia="Arial" w:cs="Arial"/>
        </w:rPr>
        <w:footnoteReference w:id="76"/>
      </w:r>
      <w:r w:rsidR="54D76136">
        <w:rPr>
          <w:rFonts w:eastAsia="Arial" w:cs="Arial"/>
        </w:rPr>
        <w:t>.</w:t>
      </w:r>
      <w:r w:rsidR="54D76136" w:rsidRPr="00F34274">
        <w:rPr>
          <w:rFonts w:eastAsia="Arial" w:cs="Arial"/>
        </w:rPr>
        <w:t xml:space="preserve"> Both models utilise logarithmic terms for fundraising and incorporate weights obtained from the propensity score matching (PSM).</w:t>
      </w:r>
    </w:p>
    <w:p w14:paraId="35EA27EC" w14:textId="37F05E23" w:rsidR="00781363" w:rsidRDefault="00A068A5" w:rsidP="00D92FD0">
      <w:r w:rsidRPr="00C21966">
        <w:rPr>
          <w:rFonts w:eastAsia="Arial" w:cs="Arial"/>
        </w:rPr>
        <w:t>The results obtained after removing outliers indicate a positive impact, albeit lower than that of the full sample. However, these results are insignificant</w:t>
      </w:r>
      <w:r w:rsidR="00B2799B">
        <w:rPr>
          <w:rFonts w:eastAsia="Arial" w:cs="Arial"/>
        </w:rPr>
        <w:t>.</w:t>
      </w:r>
    </w:p>
    <w:p w14:paraId="48A78EC3" w14:textId="73E46737" w:rsidR="00EA237D" w:rsidRPr="00EA237D" w:rsidRDefault="00102406" w:rsidP="00102406">
      <w:pPr>
        <w:pStyle w:val="Caption"/>
        <w:rPr>
          <w:rFonts w:eastAsia="Arial" w:cs="Arial"/>
          <w:iCs w:val="0"/>
        </w:rPr>
      </w:pPr>
      <w:bookmarkStart w:id="292" w:name="_Ref145073354"/>
      <w:r>
        <w:t xml:space="preserve">Table </w:t>
      </w:r>
      <w:r w:rsidR="002728D8">
        <w:fldChar w:fldCharType="begin"/>
      </w:r>
      <w:r w:rsidR="002728D8">
        <w:instrText xml:space="preserve"> SEQ Table \* ARABIC </w:instrText>
      </w:r>
      <w:r w:rsidR="002728D8">
        <w:fldChar w:fldCharType="separate"/>
      </w:r>
      <w:r w:rsidR="00BC412E">
        <w:rPr>
          <w:noProof/>
        </w:rPr>
        <w:t>22</w:t>
      </w:r>
      <w:r w:rsidR="002728D8">
        <w:rPr>
          <w:noProof/>
        </w:rPr>
        <w:fldChar w:fldCharType="end"/>
      </w:r>
      <w:bookmarkEnd w:id="292"/>
      <w:r>
        <w:t xml:space="preserve">: </w:t>
      </w:r>
      <w:proofErr w:type="spellStart"/>
      <w:r w:rsidRPr="00A6070C">
        <w:t>DiD</w:t>
      </w:r>
      <w:proofErr w:type="spellEnd"/>
      <w:r w:rsidRPr="00A6070C">
        <w:t xml:space="preserve"> coefficient for National and Regional Level by excluding the three most influential outliers via Cook’s Distance</w:t>
      </w:r>
    </w:p>
    <w:tbl>
      <w:tblPr>
        <w:tblStyle w:val="PlainTable21"/>
        <w:tblW w:w="9781" w:type="dxa"/>
        <w:tblBorders>
          <w:top w:val="single" w:sz="4" w:space="0" w:color="142855" w:themeColor="text2"/>
          <w:bottom w:val="single" w:sz="4" w:space="0" w:color="142855" w:themeColor="text2"/>
          <w:insideH w:val="single" w:sz="4" w:space="0" w:color="142855" w:themeColor="text2"/>
        </w:tblBorders>
        <w:tblLayout w:type="fixed"/>
        <w:tblLook w:val="0420" w:firstRow="1" w:lastRow="0" w:firstColumn="0" w:lastColumn="0" w:noHBand="0" w:noVBand="1"/>
      </w:tblPr>
      <w:tblGrid>
        <w:gridCol w:w="2127"/>
        <w:gridCol w:w="1417"/>
        <w:gridCol w:w="1418"/>
        <w:gridCol w:w="1701"/>
        <w:gridCol w:w="3118"/>
      </w:tblGrid>
      <w:tr w:rsidR="004C5F36" w:rsidRPr="00D802A5" w14:paraId="5ECDF8BA" w14:textId="77777777" w:rsidTr="000B7E65">
        <w:trPr>
          <w:cnfStyle w:val="100000000000" w:firstRow="1" w:lastRow="0" w:firstColumn="0" w:lastColumn="0" w:oddVBand="0" w:evenVBand="0" w:oddHBand="0" w:evenHBand="0" w:firstRowFirstColumn="0" w:firstRowLastColumn="0" w:lastRowFirstColumn="0" w:lastRowLastColumn="0"/>
          <w:trHeight w:val="950"/>
        </w:trPr>
        <w:tc>
          <w:tcPr>
            <w:tcW w:w="2127" w:type="dxa"/>
            <w:hideMark/>
          </w:tcPr>
          <w:p w14:paraId="3A78D27F" w14:textId="77777777" w:rsidR="00271F42" w:rsidRPr="003B6179" w:rsidRDefault="00EA237D" w:rsidP="00650869">
            <w:pPr>
              <w:rPr>
                <w:rFonts w:eastAsia="Arial" w:cs="Arial"/>
                <w:color w:val="142855" w:themeColor="text2"/>
              </w:rPr>
            </w:pPr>
            <w:r w:rsidRPr="003B6179">
              <w:rPr>
                <w:rFonts w:eastAsia="Arial" w:cs="Arial"/>
                <w:color w:val="142855" w:themeColor="text2"/>
              </w:rPr>
              <w:t>Model</w:t>
            </w:r>
          </w:p>
        </w:tc>
        <w:tc>
          <w:tcPr>
            <w:tcW w:w="1417" w:type="dxa"/>
            <w:hideMark/>
          </w:tcPr>
          <w:p w14:paraId="483021DC" w14:textId="77777777" w:rsidR="00271F42" w:rsidRPr="003B6179" w:rsidRDefault="00271F42" w:rsidP="00313B64">
            <w:pPr>
              <w:rPr>
                <w:rFonts w:eastAsia="Arial" w:cs="Arial"/>
                <w:color w:val="142855" w:themeColor="text2"/>
              </w:rPr>
            </w:pPr>
            <w:proofErr w:type="spellStart"/>
            <w:r w:rsidRPr="003B6179">
              <w:rPr>
                <w:rFonts w:eastAsia="Arial" w:cs="Arial"/>
                <w:color w:val="142855" w:themeColor="text2"/>
              </w:rPr>
              <w:t>DiD</w:t>
            </w:r>
            <w:proofErr w:type="spellEnd"/>
            <w:r w:rsidRPr="003B6179">
              <w:rPr>
                <w:rFonts w:eastAsia="Arial" w:cs="Arial"/>
                <w:color w:val="142855" w:themeColor="text2"/>
              </w:rPr>
              <w:t>/ DiDiD coefficient</w:t>
            </w:r>
          </w:p>
        </w:tc>
        <w:tc>
          <w:tcPr>
            <w:tcW w:w="1418" w:type="dxa"/>
            <w:hideMark/>
          </w:tcPr>
          <w:p w14:paraId="798FD8F3" w14:textId="77777777" w:rsidR="00271F42" w:rsidRPr="003B6179" w:rsidRDefault="00271F42" w:rsidP="00313B64">
            <w:pPr>
              <w:rPr>
                <w:rFonts w:eastAsia="Arial" w:cs="Arial"/>
                <w:color w:val="142855" w:themeColor="text2"/>
              </w:rPr>
            </w:pPr>
            <w:r w:rsidRPr="003B6179">
              <w:rPr>
                <w:rFonts w:eastAsia="Arial" w:cs="Arial"/>
                <w:color w:val="142855" w:themeColor="text2"/>
              </w:rPr>
              <w:t>P-value</w:t>
            </w:r>
          </w:p>
        </w:tc>
        <w:tc>
          <w:tcPr>
            <w:tcW w:w="1701" w:type="dxa"/>
            <w:hideMark/>
          </w:tcPr>
          <w:p w14:paraId="1E82CEED" w14:textId="77777777" w:rsidR="00271F42" w:rsidRPr="003B6179" w:rsidRDefault="00271F42" w:rsidP="00313B64">
            <w:pPr>
              <w:rPr>
                <w:rFonts w:eastAsia="Arial" w:cs="Arial"/>
                <w:color w:val="142855" w:themeColor="text2"/>
              </w:rPr>
            </w:pPr>
            <w:r w:rsidRPr="003B6179">
              <w:rPr>
                <w:rFonts w:eastAsia="Arial" w:cs="Arial"/>
                <w:color w:val="142855" w:themeColor="text2"/>
              </w:rPr>
              <w:t>Significance</w:t>
            </w:r>
          </w:p>
        </w:tc>
        <w:tc>
          <w:tcPr>
            <w:tcW w:w="3118" w:type="dxa"/>
            <w:hideMark/>
          </w:tcPr>
          <w:p w14:paraId="1B491C43" w14:textId="77777777" w:rsidR="00271F42" w:rsidRPr="003B6179" w:rsidRDefault="00271F42" w:rsidP="00650869">
            <w:pPr>
              <w:rPr>
                <w:rFonts w:eastAsia="Arial" w:cs="Arial"/>
                <w:color w:val="142855" w:themeColor="text2"/>
              </w:rPr>
            </w:pPr>
            <w:r w:rsidRPr="003B6179">
              <w:rPr>
                <w:rFonts w:eastAsia="Arial" w:cs="Arial"/>
                <w:color w:val="142855" w:themeColor="text2"/>
              </w:rPr>
              <w:t>Interpretation</w:t>
            </w:r>
          </w:p>
        </w:tc>
      </w:tr>
      <w:tr w:rsidR="004C5F36" w:rsidRPr="00F34274" w14:paraId="6E9F0C64" w14:textId="77777777" w:rsidTr="000B7E65">
        <w:trPr>
          <w:cnfStyle w:val="000000100000" w:firstRow="0" w:lastRow="0" w:firstColumn="0" w:lastColumn="0" w:oddVBand="0" w:evenVBand="0" w:oddHBand="1" w:evenHBand="0" w:firstRowFirstColumn="0" w:firstRowLastColumn="0" w:lastRowFirstColumn="0" w:lastRowLastColumn="0"/>
          <w:trHeight w:val="937"/>
        </w:trPr>
        <w:tc>
          <w:tcPr>
            <w:tcW w:w="2127" w:type="dxa"/>
            <w:hideMark/>
          </w:tcPr>
          <w:p w14:paraId="1ECBCEDD" w14:textId="77777777" w:rsidR="00271F42" w:rsidRPr="003B6179" w:rsidRDefault="00271F42" w:rsidP="00957DB2">
            <w:pPr>
              <w:rPr>
                <w:rFonts w:eastAsia="Arial" w:cs="Arial"/>
                <w:b/>
                <w:bCs/>
              </w:rPr>
            </w:pPr>
            <w:r w:rsidRPr="003B6179">
              <w:rPr>
                <w:rFonts w:eastAsia="Arial" w:cs="Arial"/>
                <w:b/>
                <w:bCs/>
              </w:rPr>
              <w:t>National Level (fundraisings)</w:t>
            </w:r>
          </w:p>
        </w:tc>
        <w:tc>
          <w:tcPr>
            <w:tcW w:w="1417" w:type="dxa"/>
            <w:hideMark/>
          </w:tcPr>
          <w:p w14:paraId="0BCBBF38" w14:textId="77777777" w:rsidR="00271F42" w:rsidRPr="00F34274" w:rsidRDefault="00271F42" w:rsidP="000B7E65">
            <w:pPr>
              <w:rPr>
                <w:rFonts w:eastAsia="Arial" w:cs="Arial"/>
              </w:rPr>
            </w:pPr>
            <w:r w:rsidRPr="00F34274">
              <w:rPr>
                <w:rFonts w:eastAsia="Arial" w:cs="Arial"/>
              </w:rPr>
              <w:t>0.</w:t>
            </w:r>
            <w:r w:rsidR="00C21966">
              <w:rPr>
                <w:rFonts w:eastAsia="Arial" w:cs="Arial"/>
              </w:rPr>
              <w:t>67</w:t>
            </w:r>
          </w:p>
        </w:tc>
        <w:tc>
          <w:tcPr>
            <w:tcW w:w="1418" w:type="dxa"/>
            <w:hideMark/>
          </w:tcPr>
          <w:p w14:paraId="22736D09" w14:textId="77777777" w:rsidR="00271F42" w:rsidRPr="00F34274" w:rsidRDefault="00271F42" w:rsidP="000B7E65">
            <w:pPr>
              <w:rPr>
                <w:rFonts w:eastAsia="Arial" w:cs="Arial"/>
              </w:rPr>
            </w:pPr>
            <w:r w:rsidRPr="00F34274">
              <w:rPr>
                <w:rFonts w:eastAsia="Arial" w:cs="Arial"/>
              </w:rPr>
              <w:t>0.</w:t>
            </w:r>
            <w:r w:rsidR="00C21966">
              <w:rPr>
                <w:rFonts w:eastAsia="Arial" w:cs="Arial"/>
              </w:rPr>
              <w:t>34</w:t>
            </w:r>
          </w:p>
        </w:tc>
        <w:tc>
          <w:tcPr>
            <w:tcW w:w="1701" w:type="dxa"/>
            <w:hideMark/>
          </w:tcPr>
          <w:p w14:paraId="412AB3C2" w14:textId="77777777" w:rsidR="00271F42" w:rsidRPr="00F34274" w:rsidRDefault="00C21966" w:rsidP="000B7E65">
            <w:pPr>
              <w:rPr>
                <w:rFonts w:eastAsia="Arial" w:cs="Arial"/>
              </w:rPr>
            </w:pPr>
            <w:r>
              <w:rPr>
                <w:rFonts w:eastAsia="Arial" w:cs="Arial"/>
              </w:rPr>
              <w:t>Insignificant</w:t>
            </w:r>
          </w:p>
        </w:tc>
        <w:tc>
          <w:tcPr>
            <w:tcW w:w="3118" w:type="dxa"/>
            <w:hideMark/>
          </w:tcPr>
          <w:p w14:paraId="1E3EE9E1" w14:textId="77777777" w:rsidR="00271F42" w:rsidRPr="00F34274" w:rsidRDefault="00271F42" w:rsidP="00957DB2">
            <w:pPr>
              <w:rPr>
                <w:rFonts w:eastAsia="Arial" w:cs="Arial"/>
              </w:rPr>
            </w:pPr>
            <w:r w:rsidRPr="00F34274">
              <w:rPr>
                <w:rFonts w:eastAsia="Arial" w:cs="Arial"/>
              </w:rPr>
              <w:t xml:space="preserve">Positive impact of RAP funding on relative fundraising. On average, RAP funded firms experienced a </w:t>
            </w:r>
            <w:r w:rsidR="00C21966">
              <w:rPr>
                <w:rFonts w:eastAsia="Arial" w:cs="Arial"/>
              </w:rPr>
              <w:t>67</w:t>
            </w:r>
            <w:r w:rsidRPr="00F34274">
              <w:rPr>
                <w:rFonts w:eastAsia="Arial" w:cs="Arial"/>
              </w:rPr>
              <w:t xml:space="preserve">% funding uplift compared to the counterfactual on a national basis. </w:t>
            </w:r>
          </w:p>
        </w:tc>
      </w:tr>
      <w:tr w:rsidR="00650869" w:rsidRPr="00F34274" w14:paraId="7899DD1B" w14:textId="77777777" w:rsidTr="000B7E65">
        <w:trPr>
          <w:trHeight w:val="1171"/>
        </w:trPr>
        <w:tc>
          <w:tcPr>
            <w:tcW w:w="2127" w:type="dxa"/>
            <w:hideMark/>
          </w:tcPr>
          <w:p w14:paraId="66AB463F" w14:textId="77777777" w:rsidR="00271F42" w:rsidRPr="003B6179" w:rsidRDefault="00271F42" w:rsidP="00957DB2">
            <w:pPr>
              <w:rPr>
                <w:rFonts w:eastAsia="Arial" w:cs="Arial"/>
                <w:b/>
                <w:bCs/>
              </w:rPr>
            </w:pPr>
            <w:r w:rsidRPr="003B6179">
              <w:rPr>
                <w:rFonts w:eastAsia="Arial" w:cs="Arial"/>
                <w:b/>
                <w:bCs/>
              </w:rPr>
              <w:t>Regional Level- Rest of UK (fundraisings)</w:t>
            </w:r>
          </w:p>
        </w:tc>
        <w:tc>
          <w:tcPr>
            <w:tcW w:w="1417" w:type="dxa"/>
            <w:hideMark/>
          </w:tcPr>
          <w:p w14:paraId="53B2CAB5" w14:textId="77777777" w:rsidR="00271F42" w:rsidRPr="00F34274" w:rsidRDefault="00271F42" w:rsidP="000B7E65">
            <w:pPr>
              <w:rPr>
                <w:rFonts w:eastAsia="Arial" w:cs="Arial"/>
              </w:rPr>
            </w:pPr>
            <w:r w:rsidRPr="00F34274">
              <w:rPr>
                <w:rFonts w:eastAsia="Arial" w:cs="Arial"/>
              </w:rPr>
              <w:t>1.</w:t>
            </w:r>
            <w:r w:rsidR="00C21966">
              <w:rPr>
                <w:rFonts w:eastAsia="Arial" w:cs="Arial"/>
              </w:rPr>
              <w:t>10</w:t>
            </w:r>
          </w:p>
        </w:tc>
        <w:tc>
          <w:tcPr>
            <w:tcW w:w="1418" w:type="dxa"/>
            <w:hideMark/>
          </w:tcPr>
          <w:p w14:paraId="0D176A35" w14:textId="77777777" w:rsidR="00271F42" w:rsidRPr="00F34274" w:rsidRDefault="00271F42" w:rsidP="000B7E65">
            <w:pPr>
              <w:rPr>
                <w:rFonts w:eastAsia="Arial" w:cs="Arial"/>
              </w:rPr>
            </w:pPr>
            <w:r w:rsidRPr="00F34274">
              <w:rPr>
                <w:rFonts w:eastAsia="Arial" w:cs="Arial"/>
              </w:rPr>
              <w:t>0.</w:t>
            </w:r>
            <w:r w:rsidR="00C21966">
              <w:rPr>
                <w:rFonts w:eastAsia="Arial" w:cs="Arial"/>
              </w:rPr>
              <w:t>30</w:t>
            </w:r>
          </w:p>
        </w:tc>
        <w:tc>
          <w:tcPr>
            <w:tcW w:w="1701" w:type="dxa"/>
            <w:hideMark/>
          </w:tcPr>
          <w:p w14:paraId="56522EAC" w14:textId="77777777" w:rsidR="00271F42" w:rsidRPr="00F34274" w:rsidRDefault="00DB675F" w:rsidP="000B7E65">
            <w:pPr>
              <w:rPr>
                <w:rFonts w:eastAsia="Arial" w:cs="Arial"/>
              </w:rPr>
            </w:pPr>
            <w:r>
              <w:rPr>
                <w:rFonts w:eastAsia="Arial" w:cs="Arial"/>
              </w:rPr>
              <w:t>I</w:t>
            </w:r>
            <w:r w:rsidR="00271F42" w:rsidRPr="00F34274">
              <w:rPr>
                <w:rFonts w:eastAsia="Arial" w:cs="Arial"/>
              </w:rPr>
              <w:t>nsignificant</w:t>
            </w:r>
          </w:p>
        </w:tc>
        <w:tc>
          <w:tcPr>
            <w:tcW w:w="3118" w:type="dxa"/>
            <w:hideMark/>
          </w:tcPr>
          <w:p w14:paraId="29D557E6" w14:textId="77777777" w:rsidR="00271F42" w:rsidRPr="00F34274" w:rsidRDefault="00271F42" w:rsidP="00957DB2">
            <w:pPr>
              <w:rPr>
                <w:rFonts w:eastAsia="Arial" w:cs="Arial"/>
              </w:rPr>
            </w:pPr>
            <w:r w:rsidRPr="00F34274">
              <w:rPr>
                <w:rFonts w:eastAsia="Arial" w:cs="Arial"/>
              </w:rPr>
              <w:t>Positive impact of RAP funding on portfolio firms average fundraising. On average, RAP funded firms that were based in the rest of the UK experienced a 1</w:t>
            </w:r>
            <w:r w:rsidR="00DB675F">
              <w:rPr>
                <w:rFonts w:eastAsia="Arial" w:cs="Arial"/>
              </w:rPr>
              <w:t>10</w:t>
            </w:r>
            <w:r w:rsidRPr="00F34274">
              <w:rPr>
                <w:rFonts w:eastAsia="Arial" w:cs="Arial"/>
              </w:rPr>
              <w:t xml:space="preserve">% increase in funding compared to the counterfactual group of firms based outside London and the </w:t>
            </w:r>
            <w:proofErr w:type="gramStart"/>
            <w:r w:rsidRPr="00F34274">
              <w:rPr>
                <w:rFonts w:eastAsia="Arial" w:cs="Arial"/>
              </w:rPr>
              <w:t>South East</w:t>
            </w:r>
            <w:proofErr w:type="gramEnd"/>
            <w:r w:rsidRPr="00F34274">
              <w:rPr>
                <w:rFonts w:eastAsia="Arial" w:cs="Arial"/>
              </w:rPr>
              <w:t xml:space="preserve"> (Rest of the UK) post RAP financing.</w:t>
            </w:r>
          </w:p>
        </w:tc>
      </w:tr>
    </w:tbl>
    <w:p w14:paraId="3C8A3F6F" w14:textId="1B582395" w:rsidR="00CD60C2" w:rsidRPr="00F34274" w:rsidRDefault="00CD60C2" w:rsidP="00957DB2">
      <w:pPr>
        <w:rPr>
          <w:rFonts w:eastAsia="Arial" w:cs="Arial"/>
        </w:rPr>
      </w:pPr>
      <w:r w:rsidRPr="00F34274">
        <w:rPr>
          <w:rFonts w:eastAsia="Arial" w:cs="Arial"/>
        </w:rPr>
        <w:lastRenderedPageBreak/>
        <w:t>In conclusion, it is important to acknowledge and address several key limitations associated with our methods, as highlighted throughout this note. These limitations should be carefully considered</w:t>
      </w:r>
      <w:r w:rsidR="004E03E5">
        <w:rPr>
          <w:rFonts w:eastAsia="Arial" w:cs="Arial"/>
        </w:rPr>
        <w:t>:</w:t>
      </w:r>
    </w:p>
    <w:p w14:paraId="1EB05DF7" w14:textId="1F59CDD1" w:rsidR="00CD60C2" w:rsidRPr="00F34274" w:rsidRDefault="00CD60C2" w:rsidP="00491364">
      <w:pPr>
        <w:numPr>
          <w:ilvl w:val="0"/>
          <w:numId w:val="49"/>
        </w:numPr>
        <w:rPr>
          <w:rFonts w:eastAsia="Arial" w:cs="Arial"/>
        </w:rPr>
      </w:pPr>
      <w:r w:rsidRPr="00F34274">
        <w:rPr>
          <w:rFonts w:eastAsia="Arial" w:cs="Arial"/>
        </w:rPr>
        <w:t xml:space="preserve">Building a counterfactual sample on </w:t>
      </w:r>
      <w:proofErr w:type="spellStart"/>
      <w:r w:rsidRPr="00F34274">
        <w:rPr>
          <w:rFonts w:eastAsia="Arial" w:cs="Arial"/>
        </w:rPr>
        <w:t>Beauhurst</w:t>
      </w:r>
      <w:proofErr w:type="spellEnd"/>
      <w:r w:rsidRPr="00F34274">
        <w:rPr>
          <w:rFonts w:eastAsia="Arial" w:cs="Arial"/>
        </w:rPr>
        <w:t xml:space="preserve">: We were unable to specifically target the first fundraising event when applying financial statements to the counterfactual group. This limitation may introduce </w:t>
      </w:r>
      <w:r w:rsidR="000566ED">
        <w:rPr>
          <w:rFonts w:eastAsia="Arial" w:cs="Arial"/>
        </w:rPr>
        <w:t>quality concerns</w:t>
      </w:r>
      <w:r w:rsidRPr="00F34274">
        <w:rPr>
          <w:rFonts w:eastAsia="Arial" w:cs="Arial"/>
        </w:rPr>
        <w:t xml:space="preserve"> in our analysis.</w:t>
      </w:r>
      <w:r w:rsidR="000566ED">
        <w:rPr>
          <w:rFonts w:eastAsia="Arial" w:cs="Arial"/>
        </w:rPr>
        <w:t xml:space="preserve"> By aligning the specific static time of fundraisings between the counterfactual and funded firms, one can improve the quality of the match by aligning firms that raised the same amount (or in a ballpark of) at the time funded firms received funding through the RAP.</w:t>
      </w:r>
    </w:p>
    <w:p w14:paraId="6F11A1FF" w14:textId="5FF08F25" w:rsidR="00CD60C2" w:rsidRPr="00F34274" w:rsidRDefault="00CD60C2" w:rsidP="00491364">
      <w:pPr>
        <w:numPr>
          <w:ilvl w:val="0"/>
          <w:numId w:val="49"/>
        </w:numPr>
        <w:rPr>
          <w:rFonts w:eastAsia="Arial" w:cs="Arial"/>
        </w:rPr>
      </w:pPr>
      <w:r w:rsidRPr="00F34274">
        <w:rPr>
          <w:rFonts w:eastAsia="Arial" w:cs="Arial"/>
        </w:rPr>
        <w:t xml:space="preserve">Data frame construction: The IDBR dataset did not include most of the MI (Micro-Innovation) firms due to their small size. Consequently, our analysis of treated firms may be biased towards larger firms receiving RAP funding. However, this issue was partially </w:t>
      </w:r>
      <w:r w:rsidR="003E37B1">
        <w:rPr>
          <w:rFonts w:eastAsia="Arial" w:cs="Arial"/>
        </w:rPr>
        <w:t>controlled</w:t>
      </w:r>
      <w:r w:rsidR="003E37B1" w:rsidRPr="00F34274">
        <w:rPr>
          <w:rFonts w:eastAsia="Arial" w:cs="Arial"/>
        </w:rPr>
        <w:t xml:space="preserve"> </w:t>
      </w:r>
      <w:r w:rsidRPr="00F34274">
        <w:rPr>
          <w:rFonts w:eastAsia="Arial" w:cs="Arial"/>
        </w:rPr>
        <w:t>through the matching process</w:t>
      </w:r>
      <w:r w:rsidR="004E03E5">
        <w:rPr>
          <w:rFonts w:eastAsia="Arial" w:cs="Arial"/>
        </w:rPr>
        <w:t xml:space="preserve"> and balancing</w:t>
      </w:r>
      <w:r w:rsidR="00AE4209">
        <w:rPr>
          <w:rFonts w:eastAsia="Arial" w:cs="Arial"/>
        </w:rPr>
        <w:t xml:space="preserve"> in that we compared like for like firms with the same bias applied</w:t>
      </w:r>
      <w:r w:rsidRPr="00F34274">
        <w:rPr>
          <w:rFonts w:eastAsia="Arial" w:cs="Arial"/>
        </w:rPr>
        <w:t>.</w:t>
      </w:r>
    </w:p>
    <w:p w14:paraId="1280A89A" w14:textId="77777777" w:rsidR="00CD60C2" w:rsidRPr="00F34274" w:rsidRDefault="00CD60C2" w:rsidP="00491364">
      <w:pPr>
        <w:numPr>
          <w:ilvl w:val="0"/>
          <w:numId w:val="49"/>
        </w:numPr>
        <w:rPr>
          <w:rFonts w:eastAsia="Arial" w:cs="Arial"/>
        </w:rPr>
      </w:pPr>
      <w:r w:rsidRPr="00F34274">
        <w:rPr>
          <w:rFonts w:eastAsia="Arial" w:cs="Arial"/>
        </w:rPr>
        <w:t>Matching limitations: Due to the low sample size, the matching process was not as robust as desired. We had to strike a balance between matching metrics and maintaining a sufficiently large sample size for our modelling purposes.</w:t>
      </w:r>
    </w:p>
    <w:p w14:paraId="5B7F1DD9" w14:textId="36A8FE00" w:rsidR="00D92FD0" w:rsidRDefault="00D92FD0" w:rsidP="00957DB2">
      <w:pPr>
        <w:rPr>
          <w:rFonts w:eastAsia="Arial" w:cs="Arial"/>
        </w:rPr>
      </w:pPr>
    </w:p>
    <w:p w14:paraId="0C251C9F" w14:textId="582A5A14" w:rsidR="00D92FD0" w:rsidRDefault="00D92FD0" w:rsidP="00957DB2">
      <w:pPr>
        <w:rPr>
          <w:rFonts w:eastAsia="Arial" w:cs="Arial"/>
        </w:rPr>
      </w:pPr>
    </w:p>
    <w:p w14:paraId="6BCEA15B" w14:textId="0CAFF74C" w:rsidR="00D92FD0" w:rsidRDefault="00D92FD0" w:rsidP="00957DB2">
      <w:pPr>
        <w:rPr>
          <w:rFonts w:eastAsia="Arial" w:cs="Arial"/>
        </w:rPr>
      </w:pPr>
    </w:p>
    <w:p w14:paraId="55AEE318" w14:textId="3385A40F" w:rsidR="00D92FD0" w:rsidRDefault="00D92FD0" w:rsidP="00957DB2">
      <w:pPr>
        <w:rPr>
          <w:rFonts w:eastAsia="Arial" w:cs="Arial"/>
        </w:rPr>
      </w:pPr>
    </w:p>
    <w:p w14:paraId="28F3A56C" w14:textId="740288C1" w:rsidR="00D92FD0" w:rsidRDefault="00D92FD0" w:rsidP="00957DB2">
      <w:pPr>
        <w:rPr>
          <w:rFonts w:eastAsia="Arial" w:cs="Arial"/>
        </w:rPr>
      </w:pPr>
    </w:p>
    <w:p w14:paraId="2045385F" w14:textId="7A862154" w:rsidR="00D92FD0" w:rsidRDefault="00D92FD0" w:rsidP="00957DB2">
      <w:pPr>
        <w:rPr>
          <w:rFonts w:eastAsia="Arial" w:cs="Arial"/>
        </w:rPr>
      </w:pPr>
    </w:p>
    <w:p w14:paraId="06B98F9A" w14:textId="1E77A30B" w:rsidR="00D92FD0" w:rsidRDefault="00D92FD0" w:rsidP="00957DB2">
      <w:pPr>
        <w:rPr>
          <w:rFonts w:eastAsia="Arial" w:cs="Arial"/>
        </w:rPr>
      </w:pPr>
    </w:p>
    <w:p w14:paraId="6EB6AA9F" w14:textId="5F63CCAC" w:rsidR="00D92FD0" w:rsidRDefault="00D92FD0" w:rsidP="00957DB2">
      <w:pPr>
        <w:rPr>
          <w:rFonts w:eastAsia="Arial" w:cs="Arial"/>
        </w:rPr>
      </w:pPr>
    </w:p>
    <w:p w14:paraId="12AFD607" w14:textId="066536C6" w:rsidR="00D92FD0" w:rsidRDefault="00D92FD0" w:rsidP="00957DB2">
      <w:pPr>
        <w:rPr>
          <w:rFonts w:eastAsia="Arial" w:cs="Arial"/>
        </w:rPr>
      </w:pPr>
    </w:p>
    <w:p w14:paraId="0E0F8B2C" w14:textId="77777777" w:rsidR="00D92FD0" w:rsidRPr="00F34274" w:rsidRDefault="00D92FD0" w:rsidP="00957DB2">
      <w:pPr>
        <w:rPr>
          <w:rFonts w:eastAsia="Arial" w:cs="Arial"/>
        </w:rPr>
      </w:pPr>
    </w:p>
    <w:p w14:paraId="24D14FF5" w14:textId="574EC297" w:rsidR="00CD60C2" w:rsidRPr="00F34274" w:rsidRDefault="00CD60C2" w:rsidP="00784475">
      <w:pPr>
        <w:pStyle w:val="Heading2"/>
      </w:pPr>
      <w:bookmarkStart w:id="293" w:name="_Toc165482251"/>
      <w:bookmarkStart w:id="294" w:name="_Toc165497216"/>
      <w:r w:rsidRPr="00F34274">
        <w:lastRenderedPageBreak/>
        <w:t xml:space="preserve">Annex </w:t>
      </w:r>
      <w:r w:rsidR="00CE4318">
        <w:t>H</w:t>
      </w:r>
      <w:r w:rsidRPr="00F34274">
        <w:t xml:space="preserve">: Econometric </w:t>
      </w:r>
      <w:proofErr w:type="spellStart"/>
      <w:r w:rsidRPr="00F34274">
        <w:t>DiD</w:t>
      </w:r>
      <w:proofErr w:type="spellEnd"/>
      <w:r w:rsidRPr="00F34274">
        <w:t xml:space="preserve"> Modelling</w:t>
      </w:r>
      <w:bookmarkEnd w:id="293"/>
      <w:bookmarkEnd w:id="294"/>
    </w:p>
    <w:p w14:paraId="0CF52247" w14:textId="2331ADCF" w:rsidR="00CD60C2" w:rsidRPr="00F34274" w:rsidRDefault="00102406" w:rsidP="00102406">
      <w:pPr>
        <w:pStyle w:val="Caption"/>
        <w:rPr>
          <w:rFonts w:eastAsia="Arial" w:cs="Arial"/>
          <w:iCs w:val="0"/>
        </w:rPr>
      </w:pPr>
      <w:r>
        <w:t xml:space="preserve">Table </w:t>
      </w:r>
      <w:r w:rsidR="002728D8">
        <w:fldChar w:fldCharType="begin"/>
      </w:r>
      <w:r w:rsidR="002728D8">
        <w:instrText xml:space="preserve"> SEQ Table \* ARABIC </w:instrText>
      </w:r>
      <w:r w:rsidR="002728D8">
        <w:fldChar w:fldCharType="separate"/>
      </w:r>
      <w:r w:rsidR="00BC412E">
        <w:rPr>
          <w:noProof/>
        </w:rPr>
        <w:t>23</w:t>
      </w:r>
      <w:r w:rsidR="002728D8">
        <w:rPr>
          <w:noProof/>
        </w:rPr>
        <w:fldChar w:fldCharType="end"/>
      </w:r>
      <w:r>
        <w:t xml:space="preserve">: </w:t>
      </w:r>
      <w:r w:rsidRPr="00362182">
        <w:t xml:space="preserve">Results from a Difference-in-Difference analysis estimating the impact on funding </w:t>
      </w:r>
      <w:proofErr w:type="gramStart"/>
      <w:r w:rsidRPr="00362182">
        <w:t>raised</w:t>
      </w:r>
      <w:proofErr w:type="gramEnd"/>
    </w:p>
    <w:tbl>
      <w:tblPr>
        <w:tblStyle w:val="PlainTable21"/>
        <w:tblW w:w="0" w:type="auto"/>
        <w:tblBorders>
          <w:top w:val="single" w:sz="4" w:space="0" w:color="142855" w:themeColor="text2"/>
          <w:bottom w:val="single" w:sz="4" w:space="0" w:color="142855" w:themeColor="text2"/>
          <w:insideH w:val="single" w:sz="4" w:space="0" w:color="142855" w:themeColor="text2"/>
        </w:tblBorders>
        <w:tblLook w:val="04A0" w:firstRow="1" w:lastRow="0" w:firstColumn="1" w:lastColumn="0" w:noHBand="0" w:noVBand="1"/>
      </w:tblPr>
      <w:tblGrid>
        <w:gridCol w:w="1342"/>
        <w:gridCol w:w="1093"/>
        <w:gridCol w:w="914"/>
        <w:gridCol w:w="1244"/>
        <w:gridCol w:w="1046"/>
        <w:gridCol w:w="1101"/>
        <w:gridCol w:w="926"/>
        <w:gridCol w:w="1247"/>
        <w:gridCol w:w="1049"/>
      </w:tblGrid>
      <w:tr w:rsidR="00A3145D" w:rsidRPr="00F34274" w14:paraId="47950BC3" w14:textId="77777777" w:rsidTr="00313B64">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hideMark/>
          </w:tcPr>
          <w:p w14:paraId="281451B1" w14:textId="77777777" w:rsidR="00CD60C2" w:rsidRPr="003B6179" w:rsidRDefault="00CD60C2" w:rsidP="00313B64">
            <w:pPr>
              <w:rPr>
                <w:rFonts w:eastAsia="Arial" w:cs="Arial"/>
                <w:color w:val="142855" w:themeColor="text2"/>
              </w:rPr>
            </w:pPr>
            <w:r w:rsidRPr="003B6179">
              <w:rPr>
                <w:rFonts w:eastAsia="Arial" w:cs="Arial"/>
                <w:color w:val="142855" w:themeColor="text2"/>
              </w:rPr>
              <w:t> Log-amount raised</w:t>
            </w:r>
          </w:p>
        </w:tc>
        <w:tc>
          <w:tcPr>
            <w:tcW w:w="0" w:type="auto"/>
            <w:gridSpan w:val="2"/>
            <w:hideMark/>
          </w:tcPr>
          <w:p w14:paraId="2E8EC4C0" w14:textId="77777777" w:rsidR="00CD60C2" w:rsidRPr="003B6179" w:rsidRDefault="00CD60C2"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3B6179">
              <w:rPr>
                <w:rFonts w:eastAsia="Arial" w:cs="Arial"/>
                <w:color w:val="142855" w:themeColor="text2"/>
              </w:rPr>
              <w:t xml:space="preserve">1. National </w:t>
            </w:r>
            <w:proofErr w:type="spellStart"/>
            <w:r w:rsidRPr="003B6179">
              <w:rPr>
                <w:rFonts w:eastAsia="Arial" w:cs="Arial"/>
                <w:color w:val="142855" w:themeColor="text2"/>
              </w:rPr>
              <w:t>DiD</w:t>
            </w:r>
            <w:proofErr w:type="spellEnd"/>
            <w:r w:rsidRPr="003B6179">
              <w:rPr>
                <w:rFonts w:eastAsia="Arial" w:cs="Arial"/>
                <w:color w:val="142855" w:themeColor="text2"/>
              </w:rPr>
              <w:t xml:space="preserve"> model</w:t>
            </w:r>
          </w:p>
        </w:tc>
        <w:tc>
          <w:tcPr>
            <w:tcW w:w="0" w:type="auto"/>
            <w:gridSpan w:val="2"/>
            <w:hideMark/>
          </w:tcPr>
          <w:p w14:paraId="361EBE3C" w14:textId="77777777" w:rsidR="00CD60C2" w:rsidRPr="003B6179" w:rsidRDefault="00CD60C2"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3B6179">
              <w:rPr>
                <w:rFonts w:eastAsia="Arial" w:cs="Arial"/>
                <w:color w:val="142855" w:themeColor="text2"/>
              </w:rPr>
              <w:t xml:space="preserve">2. National </w:t>
            </w:r>
            <w:proofErr w:type="spellStart"/>
            <w:r w:rsidRPr="003B6179">
              <w:rPr>
                <w:rFonts w:eastAsia="Arial" w:cs="Arial"/>
                <w:color w:val="142855" w:themeColor="text2"/>
              </w:rPr>
              <w:t>DiD</w:t>
            </w:r>
            <w:proofErr w:type="spellEnd"/>
            <w:r w:rsidRPr="003B6179">
              <w:rPr>
                <w:rFonts w:eastAsia="Arial" w:cs="Arial"/>
                <w:color w:val="142855" w:themeColor="text2"/>
              </w:rPr>
              <w:t xml:space="preserve"> model – applying Cook’s distance</w:t>
            </w:r>
          </w:p>
        </w:tc>
        <w:tc>
          <w:tcPr>
            <w:tcW w:w="0" w:type="auto"/>
            <w:gridSpan w:val="2"/>
            <w:hideMark/>
          </w:tcPr>
          <w:p w14:paraId="5474DE62" w14:textId="77777777" w:rsidR="00CD60C2" w:rsidRPr="003B6179" w:rsidRDefault="00CD60C2"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3B6179">
              <w:rPr>
                <w:rFonts w:eastAsia="Arial" w:cs="Arial"/>
                <w:color w:val="142855" w:themeColor="text2"/>
              </w:rPr>
              <w:t xml:space="preserve">3. Regional </w:t>
            </w:r>
            <w:proofErr w:type="spellStart"/>
            <w:r w:rsidRPr="003B6179">
              <w:rPr>
                <w:rFonts w:eastAsia="Arial" w:cs="Arial"/>
                <w:color w:val="142855" w:themeColor="text2"/>
              </w:rPr>
              <w:t>DiD</w:t>
            </w:r>
            <w:proofErr w:type="spellEnd"/>
            <w:r w:rsidRPr="003B6179">
              <w:rPr>
                <w:rFonts w:eastAsia="Arial" w:cs="Arial"/>
                <w:color w:val="142855" w:themeColor="text2"/>
              </w:rPr>
              <w:t xml:space="preserve"> model</w:t>
            </w:r>
          </w:p>
        </w:tc>
        <w:tc>
          <w:tcPr>
            <w:tcW w:w="0" w:type="auto"/>
            <w:gridSpan w:val="2"/>
            <w:hideMark/>
          </w:tcPr>
          <w:p w14:paraId="22844698" w14:textId="77777777" w:rsidR="00CD60C2" w:rsidRPr="003B6179" w:rsidRDefault="00CD60C2" w:rsidP="00313B64">
            <w:pPr>
              <w:cnfStyle w:val="100000000000" w:firstRow="1" w:lastRow="0" w:firstColumn="0" w:lastColumn="0" w:oddVBand="0" w:evenVBand="0" w:oddHBand="0" w:evenHBand="0" w:firstRowFirstColumn="0" w:firstRowLastColumn="0" w:lastRowFirstColumn="0" w:lastRowLastColumn="0"/>
              <w:rPr>
                <w:rFonts w:eastAsia="Arial" w:cs="Arial"/>
                <w:color w:val="142855" w:themeColor="text2"/>
              </w:rPr>
            </w:pPr>
            <w:r w:rsidRPr="003B6179">
              <w:rPr>
                <w:rFonts w:eastAsia="Arial" w:cs="Arial"/>
                <w:color w:val="142855" w:themeColor="text2"/>
              </w:rPr>
              <w:t xml:space="preserve">4. Regional </w:t>
            </w:r>
            <w:proofErr w:type="spellStart"/>
            <w:r w:rsidRPr="003B6179">
              <w:rPr>
                <w:rFonts w:eastAsia="Arial" w:cs="Arial"/>
                <w:color w:val="142855" w:themeColor="text2"/>
              </w:rPr>
              <w:t>DiD</w:t>
            </w:r>
            <w:proofErr w:type="spellEnd"/>
            <w:r w:rsidRPr="003B6179">
              <w:rPr>
                <w:rFonts w:eastAsia="Arial" w:cs="Arial"/>
                <w:color w:val="142855" w:themeColor="text2"/>
              </w:rPr>
              <w:t xml:space="preserve"> model – applying Cook’s distance</w:t>
            </w:r>
          </w:p>
        </w:tc>
      </w:tr>
      <w:tr w:rsidR="00C21966" w:rsidRPr="00F34274" w14:paraId="232668B9"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3BF109D0" w14:textId="77777777" w:rsidR="00CD60C2" w:rsidRPr="00F34274" w:rsidRDefault="00CD60C2" w:rsidP="00957DB2">
            <w:pPr>
              <w:rPr>
                <w:rFonts w:eastAsia="Arial" w:cs="Arial"/>
                <w:color w:val="000000"/>
              </w:rPr>
            </w:pPr>
            <w:r w:rsidRPr="00F34274">
              <w:rPr>
                <w:rFonts w:eastAsia="Arial" w:cs="Arial"/>
                <w:color w:val="000000"/>
              </w:rPr>
              <w:t> </w:t>
            </w:r>
          </w:p>
        </w:tc>
        <w:tc>
          <w:tcPr>
            <w:tcW w:w="0" w:type="auto"/>
            <w:hideMark/>
          </w:tcPr>
          <w:p w14:paraId="29123F77"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Estimate</w:t>
            </w:r>
          </w:p>
        </w:tc>
        <w:tc>
          <w:tcPr>
            <w:tcW w:w="0" w:type="auto"/>
            <w:hideMark/>
          </w:tcPr>
          <w:p w14:paraId="3C1975F9"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proofErr w:type="spellStart"/>
            <w:r w:rsidRPr="00F34274">
              <w:rPr>
                <w:rFonts w:eastAsia="Arial" w:cs="Arial"/>
                <w:color w:val="000000"/>
              </w:rPr>
              <w:t>Pr</w:t>
            </w:r>
            <w:proofErr w:type="spellEnd"/>
            <w:r w:rsidRPr="00F34274">
              <w:rPr>
                <w:rFonts w:eastAsia="Arial" w:cs="Arial"/>
                <w:color w:val="000000"/>
              </w:rPr>
              <w:t>(&gt;|t|)</w:t>
            </w:r>
          </w:p>
        </w:tc>
        <w:tc>
          <w:tcPr>
            <w:tcW w:w="0" w:type="auto"/>
            <w:hideMark/>
          </w:tcPr>
          <w:p w14:paraId="37CF9EB5"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Estimate</w:t>
            </w:r>
          </w:p>
        </w:tc>
        <w:tc>
          <w:tcPr>
            <w:tcW w:w="0" w:type="auto"/>
            <w:hideMark/>
          </w:tcPr>
          <w:p w14:paraId="33086A02"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proofErr w:type="spellStart"/>
            <w:r w:rsidRPr="00F34274">
              <w:rPr>
                <w:rFonts w:eastAsia="Arial" w:cs="Arial"/>
                <w:color w:val="000000"/>
              </w:rPr>
              <w:t>Pr</w:t>
            </w:r>
            <w:proofErr w:type="spellEnd"/>
            <w:r w:rsidRPr="00F34274">
              <w:rPr>
                <w:rFonts w:eastAsia="Arial" w:cs="Arial"/>
                <w:color w:val="000000"/>
              </w:rPr>
              <w:t>(&gt;|t|)</w:t>
            </w:r>
          </w:p>
        </w:tc>
        <w:tc>
          <w:tcPr>
            <w:tcW w:w="0" w:type="auto"/>
            <w:hideMark/>
          </w:tcPr>
          <w:p w14:paraId="64D7A9EA"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Estimate</w:t>
            </w:r>
          </w:p>
        </w:tc>
        <w:tc>
          <w:tcPr>
            <w:tcW w:w="0" w:type="auto"/>
            <w:hideMark/>
          </w:tcPr>
          <w:p w14:paraId="409E5205"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proofErr w:type="spellStart"/>
            <w:r w:rsidRPr="00F34274">
              <w:rPr>
                <w:rFonts w:eastAsia="Arial" w:cs="Arial"/>
                <w:color w:val="000000"/>
              </w:rPr>
              <w:t>Pr</w:t>
            </w:r>
            <w:proofErr w:type="spellEnd"/>
            <w:r w:rsidRPr="00F34274">
              <w:rPr>
                <w:rFonts w:eastAsia="Arial" w:cs="Arial"/>
                <w:color w:val="000000"/>
              </w:rPr>
              <w:t>(&gt;|t|)</w:t>
            </w:r>
          </w:p>
        </w:tc>
        <w:tc>
          <w:tcPr>
            <w:tcW w:w="0" w:type="auto"/>
            <w:hideMark/>
          </w:tcPr>
          <w:p w14:paraId="14BD65C2"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Estimate</w:t>
            </w:r>
          </w:p>
        </w:tc>
        <w:tc>
          <w:tcPr>
            <w:tcW w:w="0" w:type="auto"/>
            <w:hideMark/>
          </w:tcPr>
          <w:p w14:paraId="40F57215"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proofErr w:type="spellStart"/>
            <w:r w:rsidRPr="00F34274">
              <w:rPr>
                <w:rFonts w:eastAsia="Arial" w:cs="Arial"/>
                <w:color w:val="000000"/>
              </w:rPr>
              <w:t>Pr</w:t>
            </w:r>
            <w:proofErr w:type="spellEnd"/>
            <w:r w:rsidRPr="00F34274">
              <w:rPr>
                <w:rFonts w:eastAsia="Arial" w:cs="Arial"/>
                <w:color w:val="000000"/>
              </w:rPr>
              <w:t>(&gt;|t|)</w:t>
            </w:r>
          </w:p>
        </w:tc>
      </w:tr>
      <w:tr w:rsidR="00BA08BE" w:rsidRPr="00F34274" w14:paraId="536CA7CA" w14:textId="77777777" w:rsidTr="00313B64">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138C3390" w14:textId="77777777" w:rsidR="00CD60C2" w:rsidRPr="00F34274" w:rsidRDefault="00CD60C2" w:rsidP="00957DB2">
            <w:pPr>
              <w:rPr>
                <w:rFonts w:eastAsia="Arial" w:cs="Arial"/>
                <w:color w:val="000000"/>
              </w:rPr>
            </w:pPr>
            <w:r w:rsidRPr="00F34274">
              <w:rPr>
                <w:rFonts w:eastAsia="Arial" w:cs="Arial"/>
                <w:color w:val="000000"/>
              </w:rPr>
              <w:t>RAP funded</w:t>
            </w:r>
          </w:p>
        </w:tc>
        <w:tc>
          <w:tcPr>
            <w:tcW w:w="0" w:type="auto"/>
            <w:hideMark/>
          </w:tcPr>
          <w:p w14:paraId="04A2D131"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-2.05</w:t>
            </w:r>
          </w:p>
        </w:tc>
        <w:tc>
          <w:tcPr>
            <w:tcW w:w="0" w:type="auto"/>
            <w:hideMark/>
          </w:tcPr>
          <w:p w14:paraId="753FE8EA"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0.00 ***</w:t>
            </w:r>
          </w:p>
        </w:tc>
        <w:tc>
          <w:tcPr>
            <w:tcW w:w="0" w:type="auto"/>
            <w:hideMark/>
          </w:tcPr>
          <w:p w14:paraId="2FD747FA"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-2.07</w:t>
            </w:r>
          </w:p>
        </w:tc>
        <w:tc>
          <w:tcPr>
            <w:tcW w:w="0" w:type="auto"/>
            <w:hideMark/>
          </w:tcPr>
          <w:p w14:paraId="70F11C1B"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0.00***</w:t>
            </w:r>
          </w:p>
        </w:tc>
        <w:tc>
          <w:tcPr>
            <w:tcW w:w="0" w:type="auto"/>
            <w:hideMark/>
          </w:tcPr>
          <w:p w14:paraId="6CD0334A"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-3.02</w:t>
            </w:r>
          </w:p>
        </w:tc>
        <w:tc>
          <w:tcPr>
            <w:tcW w:w="0" w:type="auto"/>
            <w:hideMark/>
          </w:tcPr>
          <w:p w14:paraId="0A4C84EA"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0.00***</w:t>
            </w:r>
          </w:p>
        </w:tc>
        <w:tc>
          <w:tcPr>
            <w:tcW w:w="0" w:type="auto"/>
            <w:hideMark/>
          </w:tcPr>
          <w:p w14:paraId="3493AF32"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-2.67</w:t>
            </w:r>
          </w:p>
        </w:tc>
        <w:tc>
          <w:tcPr>
            <w:tcW w:w="0" w:type="auto"/>
            <w:hideMark/>
          </w:tcPr>
          <w:p w14:paraId="20B4CEC2"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0.00***</w:t>
            </w:r>
          </w:p>
        </w:tc>
      </w:tr>
      <w:tr w:rsidR="00C21966" w:rsidRPr="00F34274" w14:paraId="545B86FA"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A6DDCE2" w14:textId="77777777" w:rsidR="00CD60C2" w:rsidRPr="00F34274" w:rsidRDefault="00CD60C2" w:rsidP="00957DB2">
            <w:pPr>
              <w:rPr>
                <w:rFonts w:eastAsia="Arial" w:cs="Arial"/>
                <w:color w:val="000000"/>
              </w:rPr>
            </w:pPr>
            <w:r w:rsidRPr="00F34274">
              <w:rPr>
                <w:rFonts w:eastAsia="Arial" w:cs="Arial"/>
                <w:color w:val="000000"/>
              </w:rPr>
              <w:t>Time</w:t>
            </w:r>
          </w:p>
        </w:tc>
        <w:tc>
          <w:tcPr>
            <w:tcW w:w="0" w:type="auto"/>
            <w:hideMark/>
          </w:tcPr>
          <w:p w14:paraId="33BF7E2E"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-0.11</w:t>
            </w:r>
          </w:p>
        </w:tc>
        <w:tc>
          <w:tcPr>
            <w:tcW w:w="0" w:type="auto"/>
            <w:hideMark/>
          </w:tcPr>
          <w:p w14:paraId="54586767"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0.78</w:t>
            </w:r>
          </w:p>
        </w:tc>
        <w:tc>
          <w:tcPr>
            <w:tcW w:w="0" w:type="auto"/>
            <w:hideMark/>
          </w:tcPr>
          <w:p w14:paraId="5E83B933"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0.50</w:t>
            </w:r>
          </w:p>
        </w:tc>
        <w:tc>
          <w:tcPr>
            <w:tcW w:w="0" w:type="auto"/>
            <w:hideMark/>
          </w:tcPr>
          <w:p w14:paraId="7E64D11C"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0.21</w:t>
            </w:r>
          </w:p>
        </w:tc>
        <w:tc>
          <w:tcPr>
            <w:tcW w:w="0" w:type="auto"/>
            <w:hideMark/>
          </w:tcPr>
          <w:p w14:paraId="7CB71B79"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0.65</w:t>
            </w:r>
          </w:p>
        </w:tc>
        <w:tc>
          <w:tcPr>
            <w:tcW w:w="0" w:type="auto"/>
            <w:hideMark/>
          </w:tcPr>
          <w:p w14:paraId="17A5FE59"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0.13</w:t>
            </w:r>
          </w:p>
        </w:tc>
        <w:tc>
          <w:tcPr>
            <w:tcW w:w="0" w:type="auto"/>
            <w:hideMark/>
          </w:tcPr>
          <w:p w14:paraId="561B6CE1"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1.00</w:t>
            </w:r>
          </w:p>
        </w:tc>
        <w:tc>
          <w:tcPr>
            <w:tcW w:w="0" w:type="auto"/>
            <w:hideMark/>
          </w:tcPr>
          <w:p w14:paraId="752CD7B1"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0.05</w:t>
            </w:r>
          </w:p>
        </w:tc>
      </w:tr>
      <w:tr w:rsidR="00BA08BE" w:rsidRPr="00F34274" w14:paraId="7AF8B40B" w14:textId="77777777" w:rsidTr="00313B64">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56561164" w14:textId="77777777" w:rsidR="00CD60C2" w:rsidRPr="00F34274" w:rsidRDefault="00CD60C2" w:rsidP="00957DB2">
            <w:pPr>
              <w:rPr>
                <w:rFonts w:eastAsia="Arial" w:cs="Arial"/>
                <w:color w:val="000000"/>
              </w:rPr>
            </w:pPr>
            <w:r w:rsidRPr="00F34274">
              <w:rPr>
                <w:rFonts w:eastAsia="Arial" w:cs="Arial"/>
                <w:color w:val="000000"/>
              </w:rPr>
              <w:t>RAP funded * Time</w:t>
            </w:r>
          </w:p>
        </w:tc>
        <w:tc>
          <w:tcPr>
            <w:tcW w:w="0" w:type="auto"/>
            <w:hideMark/>
          </w:tcPr>
          <w:p w14:paraId="3EE60AB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0.76</w:t>
            </w:r>
          </w:p>
        </w:tc>
        <w:tc>
          <w:tcPr>
            <w:tcW w:w="0" w:type="auto"/>
            <w:hideMark/>
          </w:tcPr>
          <w:p w14:paraId="1A36AD3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0.13</w:t>
            </w:r>
          </w:p>
        </w:tc>
        <w:tc>
          <w:tcPr>
            <w:tcW w:w="0" w:type="auto"/>
            <w:hideMark/>
          </w:tcPr>
          <w:p w14:paraId="3EA08F98"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0.15</w:t>
            </w:r>
          </w:p>
        </w:tc>
        <w:tc>
          <w:tcPr>
            <w:tcW w:w="0" w:type="auto"/>
            <w:hideMark/>
          </w:tcPr>
          <w:p w14:paraId="30B187E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0.76</w:t>
            </w:r>
          </w:p>
        </w:tc>
        <w:tc>
          <w:tcPr>
            <w:tcW w:w="0" w:type="auto"/>
            <w:hideMark/>
          </w:tcPr>
          <w:p w14:paraId="25B82A13"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1.02</w:t>
            </w:r>
          </w:p>
        </w:tc>
        <w:tc>
          <w:tcPr>
            <w:tcW w:w="0" w:type="auto"/>
            <w:hideMark/>
          </w:tcPr>
          <w:p w14:paraId="2532DD5E"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0.13</w:t>
            </w:r>
          </w:p>
        </w:tc>
        <w:tc>
          <w:tcPr>
            <w:tcW w:w="0" w:type="auto"/>
            <w:hideMark/>
          </w:tcPr>
          <w:p w14:paraId="2B63170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0.67</w:t>
            </w:r>
          </w:p>
        </w:tc>
        <w:tc>
          <w:tcPr>
            <w:tcW w:w="0" w:type="auto"/>
            <w:hideMark/>
          </w:tcPr>
          <w:p w14:paraId="1377EE2B"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0.34</w:t>
            </w:r>
          </w:p>
        </w:tc>
      </w:tr>
      <w:tr w:rsidR="00C21966" w:rsidRPr="00F34274" w14:paraId="53D34FEF"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322014B1" w14:textId="77777777" w:rsidR="00CD60C2" w:rsidRPr="00F34274" w:rsidRDefault="00CD60C2" w:rsidP="00957DB2">
            <w:pPr>
              <w:rPr>
                <w:rFonts w:eastAsia="Arial" w:cs="Arial"/>
                <w:color w:val="000000"/>
              </w:rPr>
            </w:pPr>
            <w:r w:rsidRPr="00F34274">
              <w:rPr>
                <w:rFonts w:eastAsia="Arial" w:cs="Arial"/>
                <w:color w:val="000000"/>
              </w:rPr>
              <w:t>Regional dummy</w:t>
            </w:r>
          </w:p>
        </w:tc>
        <w:tc>
          <w:tcPr>
            <w:tcW w:w="0" w:type="auto"/>
            <w:hideMark/>
          </w:tcPr>
          <w:p w14:paraId="13C6862C"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4215FE7B"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60D08CDF"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3BB93F33"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4CBA487D"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-0.69</w:t>
            </w:r>
          </w:p>
        </w:tc>
        <w:tc>
          <w:tcPr>
            <w:tcW w:w="0" w:type="auto"/>
            <w:hideMark/>
          </w:tcPr>
          <w:p w14:paraId="217BCFC2"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0.15</w:t>
            </w:r>
          </w:p>
        </w:tc>
        <w:tc>
          <w:tcPr>
            <w:tcW w:w="0" w:type="auto"/>
            <w:hideMark/>
          </w:tcPr>
          <w:p w14:paraId="25DE11FB"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0.10</w:t>
            </w:r>
          </w:p>
        </w:tc>
        <w:tc>
          <w:tcPr>
            <w:tcW w:w="0" w:type="auto"/>
            <w:hideMark/>
          </w:tcPr>
          <w:p w14:paraId="53648F1E"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0.87</w:t>
            </w:r>
          </w:p>
        </w:tc>
      </w:tr>
      <w:tr w:rsidR="00BA08BE" w:rsidRPr="00F34274" w14:paraId="3BC9A7C7" w14:textId="77777777" w:rsidTr="00313B64">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6CAE5C16" w14:textId="77777777" w:rsidR="00CD60C2" w:rsidRPr="00F34274" w:rsidRDefault="00CD60C2" w:rsidP="00957DB2">
            <w:pPr>
              <w:rPr>
                <w:rFonts w:eastAsia="Arial" w:cs="Arial"/>
                <w:color w:val="000000"/>
              </w:rPr>
            </w:pPr>
            <w:r w:rsidRPr="00F34274">
              <w:rPr>
                <w:rFonts w:eastAsia="Arial" w:cs="Arial"/>
                <w:color w:val="000000"/>
              </w:rPr>
              <w:t>Region * RAP funded</w:t>
            </w:r>
          </w:p>
        </w:tc>
        <w:tc>
          <w:tcPr>
            <w:tcW w:w="0" w:type="auto"/>
            <w:hideMark/>
          </w:tcPr>
          <w:p w14:paraId="780FB724"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0DF1E9BA"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14A02B9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5FB5CB7F"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5C4CC072"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1.58</w:t>
            </w:r>
          </w:p>
        </w:tc>
        <w:tc>
          <w:tcPr>
            <w:tcW w:w="0" w:type="auto"/>
            <w:hideMark/>
          </w:tcPr>
          <w:p w14:paraId="077FB22E"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0.01*</w:t>
            </w:r>
          </w:p>
        </w:tc>
        <w:tc>
          <w:tcPr>
            <w:tcW w:w="0" w:type="auto"/>
            <w:hideMark/>
          </w:tcPr>
          <w:p w14:paraId="48E33D3E"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0.80</w:t>
            </w:r>
          </w:p>
        </w:tc>
        <w:tc>
          <w:tcPr>
            <w:tcW w:w="0" w:type="auto"/>
            <w:hideMark/>
          </w:tcPr>
          <w:p w14:paraId="50B145A5"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0.26</w:t>
            </w:r>
          </w:p>
        </w:tc>
      </w:tr>
      <w:tr w:rsidR="00C21966" w:rsidRPr="00F34274" w14:paraId="3887A144"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2365928" w14:textId="77777777" w:rsidR="00CD60C2" w:rsidRPr="00F34274" w:rsidRDefault="00CD60C2" w:rsidP="00957DB2">
            <w:pPr>
              <w:rPr>
                <w:rFonts w:eastAsia="Arial" w:cs="Arial"/>
                <w:color w:val="000000"/>
              </w:rPr>
            </w:pPr>
            <w:r w:rsidRPr="00F34274">
              <w:rPr>
                <w:rFonts w:eastAsia="Arial" w:cs="Arial"/>
                <w:color w:val="000000"/>
              </w:rPr>
              <w:t>Region * Time</w:t>
            </w:r>
          </w:p>
        </w:tc>
        <w:tc>
          <w:tcPr>
            <w:tcW w:w="0" w:type="auto"/>
            <w:hideMark/>
          </w:tcPr>
          <w:p w14:paraId="3A072188"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3E9E3B9E"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5761F4BD"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63F6D66B"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0F8CA5F5"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-2.91</w:t>
            </w:r>
          </w:p>
        </w:tc>
        <w:tc>
          <w:tcPr>
            <w:tcW w:w="0" w:type="auto"/>
            <w:hideMark/>
          </w:tcPr>
          <w:p w14:paraId="21C76EBD"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0.00***</w:t>
            </w:r>
          </w:p>
        </w:tc>
        <w:tc>
          <w:tcPr>
            <w:tcW w:w="0" w:type="auto"/>
            <w:hideMark/>
          </w:tcPr>
          <w:p w14:paraId="7AF00E1E"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-2.51</w:t>
            </w:r>
          </w:p>
        </w:tc>
        <w:tc>
          <w:tcPr>
            <w:tcW w:w="0" w:type="auto"/>
            <w:hideMark/>
          </w:tcPr>
          <w:p w14:paraId="665A7D59"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0.00 **</w:t>
            </w:r>
          </w:p>
        </w:tc>
      </w:tr>
      <w:tr w:rsidR="00BA08BE" w:rsidRPr="00F34274" w14:paraId="1C3DF112" w14:textId="77777777" w:rsidTr="00313B64">
        <w:trPr>
          <w:trHeight w:val="460"/>
        </w:trPr>
        <w:tc>
          <w:tcPr>
            <w:cnfStyle w:val="001000000000" w:firstRow="0" w:lastRow="0" w:firstColumn="1" w:lastColumn="0" w:oddVBand="0" w:evenVBand="0" w:oddHBand="0" w:evenHBand="0" w:firstRowFirstColumn="0" w:firstRowLastColumn="0" w:lastRowFirstColumn="0" w:lastRowLastColumn="0"/>
            <w:tcW w:w="0" w:type="auto"/>
            <w:hideMark/>
          </w:tcPr>
          <w:p w14:paraId="464270B0" w14:textId="77777777" w:rsidR="00CD60C2" w:rsidRPr="00F34274" w:rsidRDefault="00CD60C2" w:rsidP="00957DB2">
            <w:pPr>
              <w:rPr>
                <w:rFonts w:eastAsia="Arial" w:cs="Arial"/>
                <w:color w:val="000000"/>
              </w:rPr>
            </w:pPr>
            <w:r w:rsidRPr="00F34274">
              <w:rPr>
                <w:rFonts w:eastAsia="Arial" w:cs="Arial"/>
                <w:color w:val="000000"/>
              </w:rPr>
              <w:t>Region * RAP funded * Time</w:t>
            </w:r>
          </w:p>
        </w:tc>
        <w:tc>
          <w:tcPr>
            <w:tcW w:w="0" w:type="auto"/>
            <w:hideMark/>
          </w:tcPr>
          <w:p w14:paraId="7DE9F89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13F36F5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7D03EB78"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1A6D4CA3"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6E21CE5F"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1.50</w:t>
            </w:r>
          </w:p>
        </w:tc>
        <w:tc>
          <w:tcPr>
            <w:tcW w:w="0" w:type="auto"/>
            <w:hideMark/>
          </w:tcPr>
          <w:p w14:paraId="21F70574"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0.11</w:t>
            </w:r>
          </w:p>
        </w:tc>
        <w:tc>
          <w:tcPr>
            <w:tcW w:w="0" w:type="auto"/>
            <w:hideMark/>
          </w:tcPr>
          <w:p w14:paraId="1C98FF32"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1.10</w:t>
            </w:r>
          </w:p>
        </w:tc>
        <w:tc>
          <w:tcPr>
            <w:tcW w:w="0" w:type="auto"/>
            <w:hideMark/>
          </w:tcPr>
          <w:p w14:paraId="3482E2A7"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0.30</w:t>
            </w:r>
          </w:p>
        </w:tc>
      </w:tr>
      <w:tr w:rsidR="00C21966" w:rsidRPr="00F34274" w14:paraId="1CEF0191" w14:textId="77777777" w:rsidTr="00313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F55EF32" w14:textId="77777777" w:rsidR="00CD60C2" w:rsidRPr="00F34274" w:rsidRDefault="00CD60C2" w:rsidP="00957DB2">
            <w:pPr>
              <w:rPr>
                <w:rFonts w:eastAsia="Arial" w:cs="Arial"/>
                <w:color w:val="000000"/>
              </w:rPr>
            </w:pPr>
            <w:r w:rsidRPr="00F34274">
              <w:rPr>
                <w:rFonts w:eastAsia="Arial" w:cs="Arial"/>
                <w:color w:val="000000"/>
              </w:rPr>
              <w:t>Adjusted R-squared</w:t>
            </w:r>
          </w:p>
        </w:tc>
        <w:tc>
          <w:tcPr>
            <w:tcW w:w="0" w:type="auto"/>
            <w:hideMark/>
          </w:tcPr>
          <w:p w14:paraId="6EC618B8"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0.23</w:t>
            </w:r>
          </w:p>
        </w:tc>
        <w:tc>
          <w:tcPr>
            <w:tcW w:w="0" w:type="auto"/>
            <w:hideMark/>
          </w:tcPr>
          <w:p w14:paraId="40AF3697"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1CCE207D"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0.32</w:t>
            </w:r>
          </w:p>
        </w:tc>
        <w:tc>
          <w:tcPr>
            <w:tcW w:w="0" w:type="auto"/>
            <w:hideMark/>
          </w:tcPr>
          <w:p w14:paraId="2AC128E3"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4F4A5F43"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0.42</w:t>
            </w:r>
          </w:p>
        </w:tc>
        <w:tc>
          <w:tcPr>
            <w:tcW w:w="0" w:type="auto"/>
            <w:hideMark/>
          </w:tcPr>
          <w:p w14:paraId="73355C29"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611D9464"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0.39</w:t>
            </w:r>
          </w:p>
        </w:tc>
        <w:tc>
          <w:tcPr>
            <w:tcW w:w="0" w:type="auto"/>
            <w:hideMark/>
          </w:tcPr>
          <w:p w14:paraId="46D2B823" w14:textId="77777777" w:rsidR="00CD60C2" w:rsidRPr="00F34274" w:rsidRDefault="00CD60C2" w:rsidP="00957DB2">
            <w:pPr>
              <w:jc w:val="righ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F34274">
              <w:rPr>
                <w:rFonts w:eastAsia="Arial" w:cs="Arial"/>
                <w:color w:val="000000"/>
              </w:rPr>
              <w:t> </w:t>
            </w:r>
          </w:p>
        </w:tc>
      </w:tr>
      <w:tr w:rsidR="00BA08BE" w:rsidRPr="00F34274" w14:paraId="6BF165C5" w14:textId="77777777" w:rsidTr="00313B64">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181BCBE7" w14:textId="77777777" w:rsidR="00CD60C2" w:rsidRPr="00F34274" w:rsidRDefault="00CD60C2" w:rsidP="00957DB2">
            <w:pPr>
              <w:rPr>
                <w:rFonts w:eastAsia="Arial" w:cs="Arial"/>
                <w:color w:val="000000"/>
              </w:rPr>
            </w:pPr>
            <w:r w:rsidRPr="00F34274">
              <w:rPr>
                <w:rFonts w:eastAsia="Arial" w:cs="Arial"/>
                <w:color w:val="000000"/>
              </w:rPr>
              <w:t>N</w:t>
            </w:r>
          </w:p>
        </w:tc>
        <w:tc>
          <w:tcPr>
            <w:tcW w:w="0" w:type="auto"/>
            <w:hideMark/>
          </w:tcPr>
          <w:p w14:paraId="7D6A278B"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168</w:t>
            </w:r>
          </w:p>
        </w:tc>
        <w:tc>
          <w:tcPr>
            <w:tcW w:w="0" w:type="auto"/>
            <w:hideMark/>
          </w:tcPr>
          <w:p w14:paraId="6C7BFC66"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6B8ECD76"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165</w:t>
            </w:r>
          </w:p>
        </w:tc>
        <w:tc>
          <w:tcPr>
            <w:tcW w:w="0" w:type="auto"/>
            <w:hideMark/>
          </w:tcPr>
          <w:p w14:paraId="606D242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56119302"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168</w:t>
            </w:r>
          </w:p>
        </w:tc>
        <w:tc>
          <w:tcPr>
            <w:tcW w:w="0" w:type="auto"/>
            <w:hideMark/>
          </w:tcPr>
          <w:p w14:paraId="7B41AA8F"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c>
          <w:tcPr>
            <w:tcW w:w="0" w:type="auto"/>
            <w:hideMark/>
          </w:tcPr>
          <w:p w14:paraId="2139334D"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165</w:t>
            </w:r>
          </w:p>
        </w:tc>
        <w:tc>
          <w:tcPr>
            <w:tcW w:w="0" w:type="auto"/>
            <w:hideMark/>
          </w:tcPr>
          <w:p w14:paraId="2A71D47C" w14:textId="77777777" w:rsidR="00CD60C2" w:rsidRPr="00F34274" w:rsidRDefault="00CD60C2" w:rsidP="00957DB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rPr>
            </w:pPr>
            <w:r w:rsidRPr="00F34274">
              <w:rPr>
                <w:rFonts w:eastAsia="Arial" w:cs="Arial"/>
                <w:color w:val="000000"/>
              </w:rPr>
              <w:t> </w:t>
            </w:r>
          </w:p>
        </w:tc>
      </w:tr>
    </w:tbl>
    <w:p w14:paraId="41B9E7FE" w14:textId="77777777" w:rsidR="00D92FD0" w:rsidRDefault="00D92FD0" w:rsidP="00D92FD0">
      <w:bookmarkStart w:id="295" w:name="_Toc136592093"/>
    </w:p>
    <w:p w14:paraId="329BC0EB" w14:textId="6C09365E" w:rsidR="00CD60C2" w:rsidRPr="00F34274" w:rsidRDefault="00CD60C2" w:rsidP="00784475">
      <w:pPr>
        <w:pStyle w:val="Heading2"/>
      </w:pPr>
      <w:bookmarkStart w:id="296" w:name="_Toc165482252"/>
      <w:bookmarkStart w:id="297" w:name="_Toc165497217"/>
      <w:r w:rsidRPr="00F34274">
        <w:lastRenderedPageBreak/>
        <w:t xml:space="preserve">Annex </w:t>
      </w:r>
      <w:r w:rsidR="00CE4318">
        <w:t>I</w:t>
      </w:r>
      <w:bookmarkStart w:id="298" w:name="_Hlk99031448"/>
      <w:bookmarkEnd w:id="267"/>
      <w:bookmarkEnd w:id="268"/>
      <w:bookmarkEnd w:id="295"/>
      <w:r w:rsidR="00483001">
        <w:t xml:space="preserve">: </w:t>
      </w:r>
      <w:r w:rsidRPr="00F34274">
        <w:t>Abbreviations</w:t>
      </w:r>
      <w:bookmarkEnd w:id="296"/>
      <w:bookmarkEnd w:id="297"/>
    </w:p>
    <w:tbl>
      <w:tblPr>
        <w:tblStyle w:val="BBBTableoption1"/>
        <w:tblW w:w="5000" w:type="pct"/>
        <w:tblBorders>
          <w:top w:val="single" w:sz="4" w:space="0" w:color="142855" w:themeColor="text2"/>
          <w:bottom w:val="none" w:sz="0" w:space="0" w:color="auto"/>
          <w:insideH w:val="single" w:sz="4" w:space="0" w:color="142855" w:themeColor="text2"/>
        </w:tblBorders>
        <w:tblLook w:val="04A0" w:firstRow="1" w:lastRow="0" w:firstColumn="1" w:lastColumn="0" w:noHBand="0" w:noVBand="1"/>
      </w:tblPr>
      <w:tblGrid>
        <w:gridCol w:w="1822"/>
        <w:gridCol w:w="7924"/>
      </w:tblGrid>
      <w:tr w:rsidR="00CD60C2" w:rsidRPr="00F34274" w14:paraId="7E1E23DE" w14:textId="77777777" w:rsidTr="008A6222">
        <w:trPr>
          <w:cnfStyle w:val="100000000000" w:firstRow="1" w:lastRow="0" w:firstColumn="0" w:lastColumn="0" w:oddVBand="0" w:evenVBand="0" w:oddHBand="0" w:evenHBand="0" w:firstRowFirstColumn="0" w:firstRowLastColumn="0" w:lastRowFirstColumn="0" w:lastRowLastColumn="0"/>
          <w:trHeight w:val="288"/>
          <w:tblHeader/>
        </w:trPr>
        <w:tc>
          <w:tcPr>
            <w:tcW w:w="935" w:type="pct"/>
            <w:noWrap/>
            <w:vAlign w:val="center"/>
            <w:hideMark/>
          </w:tcPr>
          <w:bookmarkEnd w:id="298"/>
          <w:p w14:paraId="1C44BB8F" w14:textId="77777777" w:rsidR="00CD60C2" w:rsidRPr="003B6179" w:rsidRDefault="00CD60C2" w:rsidP="003B6179">
            <w:pPr>
              <w:rPr>
                <w:rFonts w:eastAsia="Arial" w:cs="Arial"/>
                <w:color w:val="142855" w:themeColor="text2"/>
              </w:rPr>
            </w:pPr>
            <w:r w:rsidRPr="003B6179">
              <w:rPr>
                <w:rFonts w:eastAsia="Arial" w:cs="Arial"/>
                <w:color w:val="142855" w:themeColor="text2"/>
              </w:rPr>
              <w:t>Abbreviation</w:t>
            </w:r>
          </w:p>
        </w:tc>
        <w:tc>
          <w:tcPr>
            <w:tcW w:w="4065" w:type="pct"/>
            <w:noWrap/>
            <w:vAlign w:val="top"/>
            <w:hideMark/>
          </w:tcPr>
          <w:p w14:paraId="13DC1BAB" w14:textId="77777777" w:rsidR="00CD60C2" w:rsidRPr="003B6179" w:rsidRDefault="00CD60C2" w:rsidP="003B6179">
            <w:pPr>
              <w:rPr>
                <w:rFonts w:eastAsia="Arial" w:cs="Arial"/>
                <w:color w:val="142855" w:themeColor="text2"/>
              </w:rPr>
            </w:pPr>
            <w:r w:rsidRPr="003B6179">
              <w:rPr>
                <w:rFonts w:eastAsia="Arial" w:cs="Arial"/>
                <w:color w:val="142855" w:themeColor="text2"/>
              </w:rPr>
              <w:t>Full Title</w:t>
            </w:r>
          </w:p>
        </w:tc>
      </w:tr>
      <w:tr w:rsidR="00CD60C2" w:rsidRPr="00F34274" w14:paraId="3FFAA3E8" w14:textId="77777777" w:rsidTr="008A6222">
        <w:trPr>
          <w:trHeight w:val="288"/>
        </w:trPr>
        <w:tc>
          <w:tcPr>
            <w:tcW w:w="935" w:type="pct"/>
            <w:noWrap/>
            <w:hideMark/>
          </w:tcPr>
          <w:p w14:paraId="6552F70E"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AML</w:t>
            </w:r>
          </w:p>
        </w:tc>
        <w:tc>
          <w:tcPr>
            <w:tcW w:w="4065" w:type="pct"/>
            <w:noWrap/>
            <w:hideMark/>
          </w:tcPr>
          <w:p w14:paraId="3ADCB438"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Anti-Money Laundering</w:t>
            </w:r>
          </w:p>
        </w:tc>
      </w:tr>
      <w:tr w:rsidR="00CD60C2" w:rsidRPr="00F34274" w14:paraId="115F532F" w14:textId="77777777" w:rsidTr="008A6222">
        <w:trPr>
          <w:trHeight w:val="288"/>
        </w:trPr>
        <w:tc>
          <w:tcPr>
            <w:tcW w:w="935" w:type="pct"/>
            <w:noWrap/>
            <w:hideMark/>
          </w:tcPr>
          <w:p w14:paraId="0D6ED3C6"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BEIS</w:t>
            </w:r>
          </w:p>
        </w:tc>
        <w:tc>
          <w:tcPr>
            <w:tcW w:w="4065" w:type="pct"/>
            <w:noWrap/>
            <w:hideMark/>
          </w:tcPr>
          <w:p w14:paraId="6FBF1A4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Department for Business, Energy &amp; Industrial Strategy</w:t>
            </w:r>
          </w:p>
        </w:tc>
      </w:tr>
      <w:tr w:rsidR="00CD60C2" w:rsidRPr="00F34274" w14:paraId="42A1BC47" w14:textId="77777777" w:rsidTr="008A6222">
        <w:trPr>
          <w:trHeight w:val="288"/>
        </w:trPr>
        <w:tc>
          <w:tcPr>
            <w:tcW w:w="935" w:type="pct"/>
            <w:noWrap/>
          </w:tcPr>
          <w:p w14:paraId="1106F9A2"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BBLS</w:t>
            </w:r>
          </w:p>
        </w:tc>
        <w:tc>
          <w:tcPr>
            <w:tcW w:w="4065" w:type="pct"/>
            <w:noWrap/>
          </w:tcPr>
          <w:p w14:paraId="53A3813C"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Bounce Back Loan Scheme</w:t>
            </w:r>
          </w:p>
        </w:tc>
      </w:tr>
      <w:tr w:rsidR="00CD60C2" w:rsidRPr="00F34274" w14:paraId="4F360F77" w14:textId="77777777" w:rsidTr="008A6222">
        <w:trPr>
          <w:trHeight w:val="288"/>
        </w:trPr>
        <w:tc>
          <w:tcPr>
            <w:tcW w:w="935" w:type="pct"/>
            <w:noWrap/>
            <w:hideMark/>
          </w:tcPr>
          <w:p w14:paraId="51C0D5B2"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CBILS</w:t>
            </w:r>
          </w:p>
        </w:tc>
        <w:tc>
          <w:tcPr>
            <w:tcW w:w="4065" w:type="pct"/>
            <w:noWrap/>
            <w:hideMark/>
          </w:tcPr>
          <w:p w14:paraId="6DD2E8B3"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 xml:space="preserve">Coronavirus Business Interruption Loan Scheme </w:t>
            </w:r>
          </w:p>
        </w:tc>
      </w:tr>
      <w:tr w:rsidR="00CD60C2" w:rsidRPr="00F34274" w14:paraId="33E27FB3" w14:textId="77777777" w:rsidTr="008A6222">
        <w:trPr>
          <w:trHeight w:val="288"/>
        </w:trPr>
        <w:tc>
          <w:tcPr>
            <w:tcW w:w="935" w:type="pct"/>
            <w:noWrap/>
          </w:tcPr>
          <w:p w14:paraId="67FC2C8F"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CDF</w:t>
            </w:r>
          </w:p>
        </w:tc>
        <w:tc>
          <w:tcPr>
            <w:tcW w:w="4065" w:type="pct"/>
            <w:noWrap/>
          </w:tcPr>
          <w:p w14:paraId="50464C1B"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Cumulative density functions</w:t>
            </w:r>
          </w:p>
        </w:tc>
      </w:tr>
      <w:tr w:rsidR="00CD60C2" w:rsidRPr="00F34274" w14:paraId="1CF54E93" w14:textId="77777777" w:rsidTr="008A6222">
        <w:trPr>
          <w:trHeight w:val="288"/>
        </w:trPr>
        <w:tc>
          <w:tcPr>
            <w:tcW w:w="935" w:type="pct"/>
            <w:noWrap/>
            <w:hideMark/>
          </w:tcPr>
          <w:p w14:paraId="1349D25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CLA</w:t>
            </w:r>
          </w:p>
        </w:tc>
        <w:tc>
          <w:tcPr>
            <w:tcW w:w="4065" w:type="pct"/>
            <w:noWrap/>
            <w:hideMark/>
          </w:tcPr>
          <w:p w14:paraId="1217250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Convertible Loan Agreement</w:t>
            </w:r>
          </w:p>
        </w:tc>
      </w:tr>
      <w:tr w:rsidR="00CD60C2" w:rsidRPr="00F34274" w14:paraId="696B0D70" w14:textId="77777777" w:rsidTr="008A6222">
        <w:trPr>
          <w:trHeight w:val="288"/>
        </w:trPr>
        <w:tc>
          <w:tcPr>
            <w:tcW w:w="935" w:type="pct"/>
            <w:noWrap/>
            <w:hideMark/>
          </w:tcPr>
          <w:p w14:paraId="09D411A2"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CLA applicants/ non-recipients</w:t>
            </w:r>
          </w:p>
        </w:tc>
        <w:tc>
          <w:tcPr>
            <w:tcW w:w="4065" w:type="pct"/>
            <w:noWrap/>
            <w:hideMark/>
          </w:tcPr>
          <w:p w14:paraId="27B5181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Businesses who applied, were successful but did not take up the funding.</w:t>
            </w:r>
          </w:p>
        </w:tc>
      </w:tr>
      <w:tr w:rsidR="00CD60C2" w:rsidRPr="00F34274" w14:paraId="21016E5F" w14:textId="77777777" w:rsidTr="008A6222">
        <w:trPr>
          <w:trHeight w:val="288"/>
        </w:trPr>
        <w:tc>
          <w:tcPr>
            <w:tcW w:w="935" w:type="pct"/>
            <w:noWrap/>
            <w:hideMark/>
          </w:tcPr>
          <w:p w14:paraId="4AEF7A06"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CLA funded businesses/ recipients</w:t>
            </w:r>
          </w:p>
        </w:tc>
        <w:tc>
          <w:tcPr>
            <w:tcW w:w="4065" w:type="pct"/>
            <w:noWrap/>
            <w:hideMark/>
          </w:tcPr>
          <w:p w14:paraId="60290714"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Businesses who applied and received funding from the Future Fund Scheme.</w:t>
            </w:r>
          </w:p>
        </w:tc>
      </w:tr>
      <w:tr w:rsidR="00CD60C2" w:rsidRPr="00F34274" w14:paraId="1B8133E9" w14:textId="77777777" w:rsidTr="008A6222">
        <w:trPr>
          <w:trHeight w:val="288"/>
        </w:trPr>
        <w:tc>
          <w:tcPr>
            <w:tcW w:w="935" w:type="pct"/>
            <w:noWrap/>
            <w:hideMark/>
          </w:tcPr>
          <w:p w14:paraId="4EF3FFC3"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CLBILS</w:t>
            </w:r>
          </w:p>
        </w:tc>
        <w:tc>
          <w:tcPr>
            <w:tcW w:w="4065" w:type="pct"/>
            <w:noWrap/>
            <w:hideMark/>
          </w:tcPr>
          <w:p w14:paraId="01A7C019"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Coronavirus Large Business Interruption Loan Scheme</w:t>
            </w:r>
          </w:p>
        </w:tc>
      </w:tr>
      <w:tr w:rsidR="00CD60C2" w:rsidRPr="00F34274" w14:paraId="6C26D03A" w14:textId="77777777" w:rsidTr="008A6222">
        <w:trPr>
          <w:trHeight w:val="288"/>
        </w:trPr>
        <w:tc>
          <w:tcPr>
            <w:tcW w:w="935" w:type="pct"/>
            <w:noWrap/>
            <w:hideMark/>
          </w:tcPr>
          <w:p w14:paraId="46B1274B"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CLN</w:t>
            </w:r>
          </w:p>
        </w:tc>
        <w:tc>
          <w:tcPr>
            <w:tcW w:w="4065" w:type="pct"/>
            <w:noWrap/>
            <w:hideMark/>
          </w:tcPr>
          <w:p w14:paraId="153D4FB0"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Convertible Loan Note</w:t>
            </w:r>
          </w:p>
        </w:tc>
      </w:tr>
      <w:tr w:rsidR="00CD60C2" w:rsidRPr="00F34274" w14:paraId="6F5FD61A" w14:textId="77777777" w:rsidTr="008A6222">
        <w:trPr>
          <w:trHeight w:val="288"/>
        </w:trPr>
        <w:tc>
          <w:tcPr>
            <w:tcW w:w="935" w:type="pct"/>
            <w:noWrap/>
            <w:hideMark/>
          </w:tcPr>
          <w:p w14:paraId="280F313D"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Covid-19</w:t>
            </w:r>
          </w:p>
        </w:tc>
        <w:tc>
          <w:tcPr>
            <w:tcW w:w="4065" w:type="pct"/>
            <w:noWrap/>
            <w:hideMark/>
          </w:tcPr>
          <w:p w14:paraId="69E0C7DA"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Coronavirus disease (Covid-19) is an infectious disease caused by the SARS-CoV-2 virus.</w:t>
            </w:r>
          </w:p>
        </w:tc>
      </w:tr>
      <w:tr w:rsidR="00CD60C2" w:rsidRPr="00F34274" w14:paraId="4C269412" w14:textId="77777777" w:rsidTr="008A6222">
        <w:trPr>
          <w:trHeight w:val="288"/>
        </w:trPr>
        <w:tc>
          <w:tcPr>
            <w:tcW w:w="935" w:type="pct"/>
            <w:noWrap/>
          </w:tcPr>
          <w:p w14:paraId="4AA59077"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CRN</w:t>
            </w:r>
          </w:p>
        </w:tc>
        <w:tc>
          <w:tcPr>
            <w:tcW w:w="4065" w:type="pct"/>
            <w:noWrap/>
          </w:tcPr>
          <w:p w14:paraId="4CA40A29"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Company registration number</w:t>
            </w:r>
          </w:p>
        </w:tc>
      </w:tr>
      <w:tr w:rsidR="00CD60C2" w:rsidRPr="00F34274" w14:paraId="1E144D02" w14:textId="77777777" w:rsidTr="008A6222">
        <w:trPr>
          <w:trHeight w:val="288"/>
        </w:trPr>
        <w:tc>
          <w:tcPr>
            <w:tcW w:w="935" w:type="pct"/>
            <w:noWrap/>
          </w:tcPr>
          <w:p w14:paraId="7F0B53D2"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DCF</w:t>
            </w:r>
          </w:p>
        </w:tc>
        <w:tc>
          <w:tcPr>
            <w:tcW w:w="4065" w:type="pct"/>
            <w:noWrap/>
          </w:tcPr>
          <w:p w14:paraId="709BA4F5"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Discounted cash-flow</w:t>
            </w:r>
          </w:p>
        </w:tc>
      </w:tr>
      <w:tr w:rsidR="00CD60C2" w:rsidRPr="00F34274" w14:paraId="7D710A64" w14:textId="77777777" w:rsidTr="008A6222">
        <w:trPr>
          <w:trHeight w:val="288"/>
        </w:trPr>
        <w:tc>
          <w:tcPr>
            <w:tcW w:w="935" w:type="pct"/>
            <w:noWrap/>
            <w:hideMark/>
          </w:tcPr>
          <w:p w14:paraId="0BDAFEE6" w14:textId="77777777" w:rsidR="00CD60C2" w:rsidRPr="00561616" w:rsidRDefault="00CD60C2" w:rsidP="003B6179">
            <w:pPr>
              <w:spacing w:before="120" w:after="0"/>
              <w:rPr>
                <w:rFonts w:eastAsia="Arial" w:cs="Arial"/>
                <w:b/>
                <w:bCs/>
                <w:color w:val="1D1D1B"/>
                <w:szCs w:val="24"/>
                <w:lang w:eastAsia="en-GB"/>
              </w:rPr>
            </w:pPr>
            <w:proofErr w:type="spellStart"/>
            <w:r w:rsidRPr="00561616">
              <w:rPr>
                <w:rFonts w:eastAsia="Arial" w:cs="Arial"/>
                <w:b/>
                <w:bCs/>
                <w:color w:val="1D1D1B"/>
                <w:szCs w:val="24"/>
                <w:lang w:eastAsia="en-GB"/>
              </w:rPr>
              <w:t>DiD</w:t>
            </w:r>
            <w:proofErr w:type="spellEnd"/>
          </w:p>
        </w:tc>
        <w:tc>
          <w:tcPr>
            <w:tcW w:w="4065" w:type="pct"/>
            <w:noWrap/>
            <w:hideMark/>
          </w:tcPr>
          <w:p w14:paraId="6B7187BB"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Difference-in-difference (regression)</w:t>
            </w:r>
          </w:p>
        </w:tc>
      </w:tr>
      <w:tr w:rsidR="00CD60C2" w:rsidRPr="00F34274" w14:paraId="281400DF" w14:textId="77777777" w:rsidTr="008A6222">
        <w:trPr>
          <w:trHeight w:val="288"/>
        </w:trPr>
        <w:tc>
          <w:tcPr>
            <w:tcW w:w="935" w:type="pct"/>
            <w:noWrap/>
          </w:tcPr>
          <w:p w14:paraId="74A88919"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EBITDA</w:t>
            </w:r>
          </w:p>
        </w:tc>
        <w:tc>
          <w:tcPr>
            <w:tcW w:w="4065" w:type="pct"/>
            <w:noWrap/>
          </w:tcPr>
          <w:p w14:paraId="00A07E25"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Earnings Before Interest, Taxes, Depreciation, and Amortisation</w:t>
            </w:r>
          </w:p>
        </w:tc>
      </w:tr>
      <w:tr w:rsidR="00CD60C2" w:rsidRPr="00F34274" w14:paraId="23BA3D64" w14:textId="77777777" w:rsidTr="008A6222">
        <w:trPr>
          <w:trHeight w:val="288"/>
        </w:trPr>
        <w:tc>
          <w:tcPr>
            <w:tcW w:w="935" w:type="pct"/>
            <w:noWrap/>
          </w:tcPr>
          <w:p w14:paraId="22724408" w14:textId="77777777" w:rsidR="00CD60C2" w:rsidRPr="00561616" w:rsidRDefault="00CD60C2" w:rsidP="003B6179">
            <w:pPr>
              <w:spacing w:before="120" w:after="0"/>
              <w:rPr>
                <w:rFonts w:eastAsia="Arial" w:cs="Arial"/>
                <w:b/>
                <w:bCs/>
                <w:color w:val="1D1D1B"/>
                <w:szCs w:val="24"/>
                <w:lang w:eastAsia="en-GB"/>
              </w:rPr>
            </w:pPr>
            <w:proofErr w:type="spellStart"/>
            <w:r w:rsidRPr="00561616">
              <w:rPr>
                <w:rFonts w:eastAsia="Arial" w:cs="Arial"/>
                <w:b/>
                <w:bCs/>
                <w:color w:val="1D1D1B"/>
                <w:szCs w:val="24"/>
                <w:lang w:eastAsia="en-GB"/>
              </w:rPr>
              <w:t>eCDF</w:t>
            </w:r>
            <w:proofErr w:type="spellEnd"/>
          </w:p>
        </w:tc>
        <w:tc>
          <w:tcPr>
            <w:tcW w:w="4065" w:type="pct"/>
            <w:noWrap/>
          </w:tcPr>
          <w:p w14:paraId="14A89DCB"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Empirical cumulative density functions</w:t>
            </w:r>
          </w:p>
        </w:tc>
      </w:tr>
      <w:tr w:rsidR="00CD60C2" w:rsidRPr="00F34274" w14:paraId="2EEE0DF5" w14:textId="77777777" w:rsidTr="008A6222">
        <w:trPr>
          <w:trHeight w:val="288"/>
        </w:trPr>
        <w:tc>
          <w:tcPr>
            <w:tcW w:w="935" w:type="pct"/>
            <w:noWrap/>
            <w:hideMark/>
          </w:tcPr>
          <w:p w14:paraId="3AD1EFD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EIS</w:t>
            </w:r>
          </w:p>
        </w:tc>
        <w:tc>
          <w:tcPr>
            <w:tcW w:w="4065" w:type="pct"/>
            <w:noWrap/>
            <w:hideMark/>
          </w:tcPr>
          <w:p w14:paraId="22EB10B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Enterprise Investment Scheme</w:t>
            </w:r>
          </w:p>
        </w:tc>
      </w:tr>
      <w:tr w:rsidR="00CD60C2" w:rsidRPr="00F34274" w14:paraId="4C0C297F" w14:textId="77777777" w:rsidTr="008A6222">
        <w:trPr>
          <w:trHeight w:val="288"/>
        </w:trPr>
        <w:tc>
          <w:tcPr>
            <w:tcW w:w="935" w:type="pct"/>
            <w:noWrap/>
          </w:tcPr>
          <w:p w14:paraId="7D9A4E09"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EDI</w:t>
            </w:r>
          </w:p>
        </w:tc>
        <w:tc>
          <w:tcPr>
            <w:tcW w:w="4065" w:type="pct"/>
            <w:noWrap/>
          </w:tcPr>
          <w:p w14:paraId="23B0ADE7"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Equality, Diversity, and Inclusion</w:t>
            </w:r>
          </w:p>
        </w:tc>
      </w:tr>
      <w:tr w:rsidR="00CD60C2" w:rsidRPr="00F34274" w14:paraId="59343523" w14:textId="77777777" w:rsidTr="008A6222">
        <w:trPr>
          <w:trHeight w:val="288"/>
        </w:trPr>
        <w:tc>
          <w:tcPr>
            <w:tcW w:w="935" w:type="pct"/>
            <w:noWrap/>
            <w:hideMark/>
          </w:tcPr>
          <w:p w14:paraId="09A0B7EB"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FAQ</w:t>
            </w:r>
          </w:p>
        </w:tc>
        <w:tc>
          <w:tcPr>
            <w:tcW w:w="4065" w:type="pct"/>
            <w:noWrap/>
            <w:hideMark/>
          </w:tcPr>
          <w:p w14:paraId="75BC707C"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Frequently Asked Questions</w:t>
            </w:r>
          </w:p>
        </w:tc>
      </w:tr>
      <w:tr w:rsidR="00CD60C2" w:rsidRPr="00F34274" w14:paraId="38F53A42" w14:textId="77777777" w:rsidTr="008A6222">
        <w:trPr>
          <w:trHeight w:val="288"/>
        </w:trPr>
        <w:tc>
          <w:tcPr>
            <w:tcW w:w="935" w:type="pct"/>
            <w:noWrap/>
            <w:hideMark/>
          </w:tcPr>
          <w:p w14:paraId="42E775BA"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FCA</w:t>
            </w:r>
          </w:p>
        </w:tc>
        <w:tc>
          <w:tcPr>
            <w:tcW w:w="4065" w:type="pct"/>
            <w:noWrap/>
            <w:hideMark/>
          </w:tcPr>
          <w:p w14:paraId="449C3DA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Financial Conduct Authority</w:t>
            </w:r>
          </w:p>
        </w:tc>
      </w:tr>
      <w:tr w:rsidR="00CD60C2" w:rsidRPr="00F34274" w14:paraId="76046A49" w14:textId="77777777" w:rsidTr="008A6222">
        <w:trPr>
          <w:trHeight w:val="288"/>
        </w:trPr>
        <w:tc>
          <w:tcPr>
            <w:tcW w:w="935" w:type="pct"/>
            <w:noWrap/>
          </w:tcPr>
          <w:p w14:paraId="32C8B79D"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lastRenderedPageBreak/>
              <w:t>FF</w:t>
            </w:r>
          </w:p>
        </w:tc>
        <w:tc>
          <w:tcPr>
            <w:tcW w:w="4065" w:type="pct"/>
            <w:noWrap/>
          </w:tcPr>
          <w:p w14:paraId="5938E05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Future Fund</w:t>
            </w:r>
          </w:p>
        </w:tc>
      </w:tr>
      <w:tr w:rsidR="00CD60C2" w:rsidRPr="00F34274" w14:paraId="51EC4A95" w14:textId="77777777" w:rsidTr="008A6222">
        <w:trPr>
          <w:trHeight w:val="288"/>
        </w:trPr>
        <w:tc>
          <w:tcPr>
            <w:tcW w:w="935" w:type="pct"/>
            <w:noWrap/>
            <w:hideMark/>
          </w:tcPr>
          <w:p w14:paraId="226E6131"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FPO</w:t>
            </w:r>
          </w:p>
        </w:tc>
        <w:tc>
          <w:tcPr>
            <w:tcW w:w="4065" w:type="pct"/>
            <w:noWrap/>
            <w:hideMark/>
          </w:tcPr>
          <w:p w14:paraId="7F935336"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Financial Promotion Order</w:t>
            </w:r>
          </w:p>
        </w:tc>
      </w:tr>
      <w:tr w:rsidR="00CD60C2" w:rsidRPr="00F34274" w14:paraId="25C1B5B0" w14:textId="77777777" w:rsidTr="008A6222">
        <w:trPr>
          <w:trHeight w:val="288"/>
        </w:trPr>
        <w:tc>
          <w:tcPr>
            <w:tcW w:w="935" w:type="pct"/>
            <w:noWrap/>
          </w:tcPr>
          <w:p w14:paraId="70F61BA7" w14:textId="77777777" w:rsidR="00CD60C2" w:rsidRPr="00561616" w:rsidRDefault="00CD60C2" w:rsidP="003B6179">
            <w:pPr>
              <w:spacing w:before="120" w:after="0"/>
              <w:rPr>
                <w:rFonts w:eastAsia="Arial" w:cs="Arial"/>
                <w:b/>
                <w:bCs/>
                <w:color w:val="1D1D1B"/>
                <w:szCs w:val="24"/>
                <w:highlight w:val="yellow"/>
                <w:lang w:eastAsia="en-GB"/>
              </w:rPr>
            </w:pPr>
            <w:r w:rsidRPr="00561616">
              <w:rPr>
                <w:rFonts w:eastAsia="Arial" w:cs="Arial"/>
                <w:b/>
                <w:bCs/>
                <w:color w:val="1D1D1B"/>
                <w:szCs w:val="24"/>
                <w:lang w:eastAsia="en-GB"/>
              </w:rPr>
              <w:t>FTE</w:t>
            </w:r>
          </w:p>
        </w:tc>
        <w:tc>
          <w:tcPr>
            <w:tcW w:w="4065" w:type="pct"/>
            <w:noWrap/>
          </w:tcPr>
          <w:p w14:paraId="2C8FDA98" w14:textId="77777777" w:rsidR="00CD60C2" w:rsidRPr="00F34274" w:rsidRDefault="00CD60C2" w:rsidP="003B6179">
            <w:pPr>
              <w:spacing w:before="120" w:after="0"/>
              <w:rPr>
                <w:rFonts w:eastAsia="Arial" w:cs="Arial"/>
                <w:color w:val="1D1D1B"/>
                <w:szCs w:val="24"/>
                <w:highlight w:val="yellow"/>
                <w:lang w:eastAsia="en-GB"/>
              </w:rPr>
            </w:pPr>
            <w:r w:rsidRPr="00F34274">
              <w:rPr>
                <w:rFonts w:eastAsia="Arial" w:cs="Arial"/>
                <w:color w:val="1D1D1B"/>
                <w:szCs w:val="24"/>
                <w:lang w:eastAsia="en-GB"/>
              </w:rPr>
              <w:t>Full-Time Equivalent</w:t>
            </w:r>
          </w:p>
        </w:tc>
      </w:tr>
      <w:tr w:rsidR="00CD60C2" w:rsidRPr="00F34274" w14:paraId="1C5C4369" w14:textId="77777777" w:rsidTr="008A6222">
        <w:trPr>
          <w:trHeight w:val="288"/>
        </w:trPr>
        <w:tc>
          <w:tcPr>
            <w:tcW w:w="935" w:type="pct"/>
            <w:noWrap/>
            <w:hideMark/>
          </w:tcPr>
          <w:p w14:paraId="1363EAD2"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GBP</w:t>
            </w:r>
          </w:p>
        </w:tc>
        <w:tc>
          <w:tcPr>
            <w:tcW w:w="4065" w:type="pct"/>
            <w:noWrap/>
            <w:hideMark/>
          </w:tcPr>
          <w:p w14:paraId="7B34318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Great British Pound</w:t>
            </w:r>
          </w:p>
        </w:tc>
      </w:tr>
      <w:tr w:rsidR="00CD60C2" w:rsidRPr="00F34274" w14:paraId="7A419829" w14:textId="77777777" w:rsidTr="008A6222">
        <w:trPr>
          <w:trHeight w:val="288"/>
        </w:trPr>
        <w:tc>
          <w:tcPr>
            <w:tcW w:w="935" w:type="pct"/>
            <w:noWrap/>
            <w:hideMark/>
          </w:tcPr>
          <w:p w14:paraId="1A92DE4D"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GVA</w:t>
            </w:r>
          </w:p>
        </w:tc>
        <w:tc>
          <w:tcPr>
            <w:tcW w:w="4065" w:type="pct"/>
            <w:noWrap/>
            <w:hideMark/>
          </w:tcPr>
          <w:p w14:paraId="0F66EA9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Gross Value Added</w:t>
            </w:r>
          </w:p>
        </w:tc>
      </w:tr>
      <w:tr w:rsidR="00CD60C2" w:rsidRPr="00F34274" w14:paraId="7E6730A3" w14:textId="77777777" w:rsidTr="008A6222">
        <w:trPr>
          <w:trHeight w:val="288"/>
        </w:trPr>
        <w:tc>
          <w:tcPr>
            <w:tcW w:w="935" w:type="pct"/>
            <w:noWrap/>
            <w:hideMark/>
          </w:tcPr>
          <w:p w14:paraId="417754C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HMG</w:t>
            </w:r>
          </w:p>
        </w:tc>
        <w:tc>
          <w:tcPr>
            <w:tcW w:w="4065" w:type="pct"/>
            <w:noWrap/>
            <w:hideMark/>
          </w:tcPr>
          <w:p w14:paraId="19FC481D"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His Majesty's Government</w:t>
            </w:r>
          </w:p>
        </w:tc>
      </w:tr>
      <w:tr w:rsidR="00CD60C2" w:rsidRPr="00F34274" w14:paraId="5CE55E67" w14:textId="77777777" w:rsidTr="008A6222">
        <w:trPr>
          <w:trHeight w:val="288"/>
        </w:trPr>
        <w:tc>
          <w:tcPr>
            <w:tcW w:w="935" w:type="pct"/>
            <w:noWrap/>
            <w:hideMark/>
          </w:tcPr>
          <w:p w14:paraId="57C1CE9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HMRC</w:t>
            </w:r>
          </w:p>
        </w:tc>
        <w:tc>
          <w:tcPr>
            <w:tcW w:w="4065" w:type="pct"/>
            <w:noWrap/>
            <w:hideMark/>
          </w:tcPr>
          <w:p w14:paraId="411EFD3A"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His Majesty's Revenue and Customs</w:t>
            </w:r>
          </w:p>
        </w:tc>
      </w:tr>
      <w:tr w:rsidR="00CD60C2" w:rsidRPr="00F34274" w14:paraId="2BB39CF5" w14:textId="77777777" w:rsidTr="008A6222">
        <w:trPr>
          <w:trHeight w:val="288"/>
        </w:trPr>
        <w:tc>
          <w:tcPr>
            <w:tcW w:w="935" w:type="pct"/>
            <w:noWrap/>
            <w:hideMark/>
          </w:tcPr>
          <w:p w14:paraId="6663886E"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HMT</w:t>
            </w:r>
          </w:p>
        </w:tc>
        <w:tc>
          <w:tcPr>
            <w:tcW w:w="4065" w:type="pct"/>
            <w:noWrap/>
            <w:hideMark/>
          </w:tcPr>
          <w:p w14:paraId="1375DD33"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His Majesty's Treasury</w:t>
            </w:r>
          </w:p>
        </w:tc>
      </w:tr>
      <w:tr w:rsidR="00CD60C2" w:rsidRPr="00F34274" w14:paraId="14323DAC" w14:textId="77777777" w:rsidTr="008A6222">
        <w:trPr>
          <w:trHeight w:val="288"/>
        </w:trPr>
        <w:tc>
          <w:tcPr>
            <w:tcW w:w="935" w:type="pct"/>
            <w:noWrap/>
          </w:tcPr>
          <w:p w14:paraId="24993C0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H</w:t>
            </w:r>
            <w:r w:rsidRPr="00561616">
              <w:rPr>
                <w:rFonts w:eastAsia="Arial" w:cs="Arial"/>
                <w:b/>
                <w:bCs/>
                <w:color w:val="1D1D1B"/>
                <w:szCs w:val="24"/>
                <w:vertAlign w:val="subscript"/>
                <w:lang w:eastAsia="en-GB"/>
              </w:rPr>
              <w:t>0</w:t>
            </w:r>
          </w:p>
        </w:tc>
        <w:tc>
          <w:tcPr>
            <w:tcW w:w="4065" w:type="pct"/>
            <w:noWrap/>
          </w:tcPr>
          <w:p w14:paraId="25A05D91"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The null hypothesis</w:t>
            </w:r>
          </w:p>
        </w:tc>
      </w:tr>
      <w:tr w:rsidR="00CD60C2" w:rsidRPr="00F34274" w14:paraId="5E530900" w14:textId="77777777" w:rsidTr="008A6222">
        <w:trPr>
          <w:trHeight w:val="288"/>
        </w:trPr>
        <w:tc>
          <w:tcPr>
            <w:tcW w:w="935" w:type="pct"/>
            <w:noWrap/>
          </w:tcPr>
          <w:p w14:paraId="6674B996"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IDBR</w:t>
            </w:r>
          </w:p>
        </w:tc>
        <w:tc>
          <w:tcPr>
            <w:tcW w:w="4065" w:type="pct"/>
            <w:noWrap/>
          </w:tcPr>
          <w:p w14:paraId="2700A1FC"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Inter-Departmental Business Register</w:t>
            </w:r>
          </w:p>
        </w:tc>
      </w:tr>
      <w:tr w:rsidR="00CD60C2" w:rsidRPr="00F34274" w14:paraId="00DA687F" w14:textId="77777777" w:rsidTr="008A6222">
        <w:trPr>
          <w:trHeight w:val="288"/>
        </w:trPr>
        <w:tc>
          <w:tcPr>
            <w:tcW w:w="935" w:type="pct"/>
            <w:noWrap/>
            <w:hideMark/>
          </w:tcPr>
          <w:p w14:paraId="328D37A4"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KPI</w:t>
            </w:r>
          </w:p>
        </w:tc>
        <w:tc>
          <w:tcPr>
            <w:tcW w:w="4065" w:type="pct"/>
            <w:noWrap/>
            <w:hideMark/>
          </w:tcPr>
          <w:p w14:paraId="6E9C64F8"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Key Performance Indicator</w:t>
            </w:r>
          </w:p>
        </w:tc>
      </w:tr>
      <w:tr w:rsidR="00CD60C2" w:rsidRPr="00F34274" w14:paraId="7601F38A" w14:textId="77777777" w:rsidTr="008A6222">
        <w:trPr>
          <w:trHeight w:val="288"/>
        </w:trPr>
        <w:tc>
          <w:tcPr>
            <w:tcW w:w="935" w:type="pct"/>
            <w:noWrap/>
            <w:hideMark/>
          </w:tcPr>
          <w:p w14:paraId="55E780EA"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KYC/ CCD</w:t>
            </w:r>
          </w:p>
        </w:tc>
        <w:tc>
          <w:tcPr>
            <w:tcW w:w="4065" w:type="pct"/>
            <w:noWrap/>
            <w:hideMark/>
          </w:tcPr>
          <w:p w14:paraId="2D49745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Know Your Customer/ Customer Due Diligence</w:t>
            </w:r>
          </w:p>
        </w:tc>
      </w:tr>
      <w:tr w:rsidR="00CD60C2" w:rsidRPr="00F34274" w14:paraId="054B7F9E" w14:textId="77777777" w:rsidTr="008A6222">
        <w:trPr>
          <w:trHeight w:val="288"/>
        </w:trPr>
        <w:tc>
          <w:tcPr>
            <w:tcW w:w="935" w:type="pct"/>
            <w:noWrap/>
          </w:tcPr>
          <w:p w14:paraId="43E8FA9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LHS</w:t>
            </w:r>
          </w:p>
        </w:tc>
        <w:tc>
          <w:tcPr>
            <w:tcW w:w="4065" w:type="pct"/>
            <w:noWrap/>
          </w:tcPr>
          <w:p w14:paraId="5BE1ECEF"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Left hand side</w:t>
            </w:r>
          </w:p>
        </w:tc>
      </w:tr>
      <w:tr w:rsidR="00CD60C2" w:rsidRPr="00F34274" w14:paraId="393D6071" w14:textId="77777777" w:rsidTr="008A6222">
        <w:trPr>
          <w:trHeight w:val="288"/>
        </w:trPr>
        <w:tc>
          <w:tcPr>
            <w:tcW w:w="935" w:type="pct"/>
            <w:noWrap/>
            <w:hideMark/>
          </w:tcPr>
          <w:p w14:paraId="3C6B8E5D"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M4</w:t>
            </w:r>
          </w:p>
        </w:tc>
        <w:tc>
          <w:tcPr>
            <w:tcW w:w="4065" w:type="pct"/>
            <w:noWrap/>
            <w:hideMark/>
          </w:tcPr>
          <w:p w14:paraId="054167F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M4 money supply is defined as a measure of notes and coins in circulation (M0) + bank accounts</w:t>
            </w:r>
          </w:p>
        </w:tc>
      </w:tr>
      <w:tr w:rsidR="00CD60C2" w:rsidRPr="00F34274" w14:paraId="5BEA2248" w14:textId="77777777" w:rsidTr="008A6222">
        <w:trPr>
          <w:trHeight w:val="288"/>
        </w:trPr>
        <w:tc>
          <w:tcPr>
            <w:tcW w:w="935" w:type="pct"/>
            <w:noWrap/>
            <w:hideMark/>
          </w:tcPr>
          <w:p w14:paraId="02A9AB5E"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MI</w:t>
            </w:r>
          </w:p>
        </w:tc>
        <w:tc>
          <w:tcPr>
            <w:tcW w:w="4065" w:type="pct"/>
            <w:noWrap/>
            <w:hideMark/>
          </w:tcPr>
          <w:p w14:paraId="421FE03B"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Management Information</w:t>
            </w:r>
          </w:p>
        </w:tc>
      </w:tr>
      <w:tr w:rsidR="00CD60C2" w:rsidRPr="00F34274" w14:paraId="2F0C5C6E" w14:textId="77777777" w:rsidTr="008A6222">
        <w:trPr>
          <w:trHeight w:val="288"/>
        </w:trPr>
        <w:tc>
          <w:tcPr>
            <w:tcW w:w="935" w:type="pct"/>
            <w:noWrap/>
          </w:tcPr>
          <w:p w14:paraId="403215BF"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N/A</w:t>
            </w:r>
          </w:p>
        </w:tc>
        <w:tc>
          <w:tcPr>
            <w:tcW w:w="4065" w:type="pct"/>
            <w:noWrap/>
          </w:tcPr>
          <w:p w14:paraId="5C792850"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Not applicable</w:t>
            </w:r>
          </w:p>
        </w:tc>
      </w:tr>
      <w:tr w:rsidR="00CD60C2" w:rsidRPr="00F34274" w14:paraId="2140F71E" w14:textId="77777777" w:rsidTr="008A6222">
        <w:trPr>
          <w:trHeight w:val="288"/>
        </w:trPr>
        <w:tc>
          <w:tcPr>
            <w:tcW w:w="935" w:type="pct"/>
            <w:noWrap/>
            <w:hideMark/>
          </w:tcPr>
          <w:p w14:paraId="0842B9DC"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Non-applicant</w:t>
            </w:r>
          </w:p>
        </w:tc>
        <w:tc>
          <w:tcPr>
            <w:tcW w:w="4065" w:type="pct"/>
            <w:noWrap/>
            <w:hideMark/>
          </w:tcPr>
          <w:p w14:paraId="02E0F4DB"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Business that could have applied and did not.</w:t>
            </w:r>
          </w:p>
          <w:p w14:paraId="0B1E376D" w14:textId="77777777" w:rsidR="00CD60C2" w:rsidRPr="00F34274" w:rsidRDefault="00CD60C2" w:rsidP="003B6179">
            <w:pPr>
              <w:spacing w:before="120" w:after="0"/>
              <w:rPr>
                <w:rFonts w:eastAsia="Arial" w:cs="Arial"/>
                <w:color w:val="1D1D1B"/>
                <w:szCs w:val="24"/>
                <w:lang w:eastAsia="en-GB"/>
              </w:rPr>
            </w:pPr>
          </w:p>
        </w:tc>
      </w:tr>
      <w:tr w:rsidR="00CD60C2" w:rsidRPr="00F34274" w14:paraId="7D608008" w14:textId="77777777" w:rsidTr="008A6222">
        <w:trPr>
          <w:trHeight w:val="288"/>
        </w:trPr>
        <w:tc>
          <w:tcPr>
            <w:tcW w:w="935" w:type="pct"/>
            <w:noWrap/>
            <w:hideMark/>
          </w:tcPr>
          <w:p w14:paraId="5454EBF1"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NPV</w:t>
            </w:r>
          </w:p>
        </w:tc>
        <w:tc>
          <w:tcPr>
            <w:tcW w:w="4065" w:type="pct"/>
            <w:noWrap/>
            <w:hideMark/>
          </w:tcPr>
          <w:p w14:paraId="58EC5407"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Net Present Value</w:t>
            </w:r>
          </w:p>
        </w:tc>
      </w:tr>
      <w:tr w:rsidR="00CD60C2" w:rsidRPr="00F34274" w14:paraId="1C1B4A10" w14:textId="77777777" w:rsidTr="008A6222">
        <w:trPr>
          <w:trHeight w:val="288"/>
        </w:trPr>
        <w:tc>
          <w:tcPr>
            <w:tcW w:w="935" w:type="pct"/>
            <w:noWrap/>
          </w:tcPr>
          <w:p w14:paraId="7A1CBDE5" w14:textId="77777777" w:rsidR="00CD60C2" w:rsidRPr="00561616" w:rsidRDefault="00CD60C2" w:rsidP="003B6179">
            <w:pPr>
              <w:spacing w:before="120" w:after="0"/>
              <w:rPr>
                <w:rFonts w:eastAsia="Arial" w:cs="Arial"/>
                <w:b/>
                <w:bCs/>
                <w:color w:val="1D1D1B"/>
                <w:szCs w:val="24"/>
                <w:highlight w:val="yellow"/>
                <w:lang w:eastAsia="en-GB"/>
              </w:rPr>
            </w:pPr>
            <w:r w:rsidRPr="00561616">
              <w:rPr>
                <w:rFonts w:eastAsia="Arial" w:cs="Arial"/>
                <w:b/>
                <w:bCs/>
                <w:color w:val="1D1D1B"/>
                <w:szCs w:val="24"/>
                <w:lang w:eastAsia="en-GB"/>
              </w:rPr>
              <w:t>OECD</w:t>
            </w:r>
          </w:p>
        </w:tc>
        <w:tc>
          <w:tcPr>
            <w:tcW w:w="4065" w:type="pct"/>
            <w:noWrap/>
          </w:tcPr>
          <w:p w14:paraId="3BADF84C" w14:textId="77777777" w:rsidR="00CD60C2" w:rsidRPr="00F34274" w:rsidRDefault="00CD60C2" w:rsidP="003B6179">
            <w:pPr>
              <w:spacing w:before="120" w:after="0"/>
              <w:rPr>
                <w:rFonts w:eastAsia="Arial" w:cs="Arial"/>
                <w:color w:val="1D1D1B"/>
                <w:szCs w:val="24"/>
                <w:highlight w:val="yellow"/>
                <w:lang w:eastAsia="en-GB"/>
              </w:rPr>
            </w:pPr>
            <w:r w:rsidRPr="00F34274">
              <w:rPr>
                <w:rFonts w:eastAsia="Arial" w:cs="Arial"/>
                <w:color w:val="1D1D1B"/>
                <w:szCs w:val="24"/>
                <w:lang w:eastAsia="en-GB"/>
              </w:rPr>
              <w:t>Organisation for Economic Co-operation and Development</w:t>
            </w:r>
          </w:p>
        </w:tc>
      </w:tr>
      <w:tr w:rsidR="00CD60C2" w:rsidRPr="00F34274" w14:paraId="19F12007" w14:textId="77777777" w:rsidTr="008A6222">
        <w:trPr>
          <w:trHeight w:val="288"/>
        </w:trPr>
        <w:tc>
          <w:tcPr>
            <w:tcW w:w="935" w:type="pct"/>
            <w:noWrap/>
            <w:hideMark/>
          </w:tcPr>
          <w:p w14:paraId="5DF5021B"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ONS</w:t>
            </w:r>
          </w:p>
        </w:tc>
        <w:tc>
          <w:tcPr>
            <w:tcW w:w="4065" w:type="pct"/>
            <w:noWrap/>
            <w:hideMark/>
          </w:tcPr>
          <w:p w14:paraId="1B5EABCA"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Office for National Statistics</w:t>
            </w:r>
          </w:p>
        </w:tc>
      </w:tr>
      <w:tr w:rsidR="00CD60C2" w:rsidRPr="00F34274" w14:paraId="1458B900" w14:textId="77777777" w:rsidTr="008A6222">
        <w:trPr>
          <w:trHeight w:val="288"/>
        </w:trPr>
        <w:tc>
          <w:tcPr>
            <w:tcW w:w="935" w:type="pct"/>
            <w:noWrap/>
            <w:hideMark/>
          </w:tcPr>
          <w:p w14:paraId="5266767F" w14:textId="43C13C08"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 xml:space="preserve">Private investor (not identified as a business </w:t>
            </w:r>
            <w:r w:rsidR="00785129" w:rsidRPr="00561616">
              <w:rPr>
                <w:rFonts w:eastAsia="Arial" w:cs="Arial"/>
                <w:b/>
                <w:bCs/>
                <w:color w:val="1D1D1B"/>
                <w:szCs w:val="24"/>
                <w:lang w:eastAsia="en-GB"/>
              </w:rPr>
              <w:t>a</w:t>
            </w:r>
            <w:r w:rsidRPr="00561616">
              <w:rPr>
                <w:rFonts w:eastAsia="Arial" w:cs="Arial"/>
                <w:b/>
                <w:bCs/>
                <w:color w:val="1D1D1B"/>
                <w:szCs w:val="24"/>
                <w:lang w:eastAsia="en-GB"/>
              </w:rPr>
              <w:t>ngel)</w:t>
            </w:r>
          </w:p>
        </w:tc>
        <w:tc>
          <w:tcPr>
            <w:tcW w:w="4065" w:type="pct"/>
            <w:noWrap/>
            <w:hideMark/>
          </w:tcPr>
          <w:p w14:paraId="3FDCCAB1"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 xml:space="preserve">These are a sub-group of private investors who do not actively invest in start-up firms. Usually, they consist of family, friends, company Directors etc. </w:t>
            </w:r>
          </w:p>
        </w:tc>
      </w:tr>
      <w:tr w:rsidR="00CD60C2" w:rsidRPr="00F34274" w14:paraId="34E2ED91" w14:textId="77777777" w:rsidTr="008A6222">
        <w:trPr>
          <w:trHeight w:val="288"/>
        </w:trPr>
        <w:tc>
          <w:tcPr>
            <w:tcW w:w="935" w:type="pct"/>
            <w:noWrap/>
            <w:hideMark/>
          </w:tcPr>
          <w:p w14:paraId="2ABE008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lastRenderedPageBreak/>
              <w:t>PSM</w:t>
            </w:r>
          </w:p>
        </w:tc>
        <w:tc>
          <w:tcPr>
            <w:tcW w:w="4065" w:type="pct"/>
            <w:noWrap/>
            <w:hideMark/>
          </w:tcPr>
          <w:p w14:paraId="5627187A"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Propensity Score Matching</w:t>
            </w:r>
          </w:p>
        </w:tc>
      </w:tr>
      <w:tr w:rsidR="00CD60C2" w:rsidRPr="00F34274" w14:paraId="2B0BAAEC" w14:textId="77777777" w:rsidTr="008A6222">
        <w:trPr>
          <w:trHeight w:val="288"/>
        </w:trPr>
        <w:tc>
          <w:tcPr>
            <w:tcW w:w="935" w:type="pct"/>
            <w:noWrap/>
            <w:hideMark/>
          </w:tcPr>
          <w:p w14:paraId="00C0A713"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PwC</w:t>
            </w:r>
          </w:p>
        </w:tc>
        <w:tc>
          <w:tcPr>
            <w:tcW w:w="4065" w:type="pct"/>
            <w:noWrap/>
            <w:hideMark/>
          </w:tcPr>
          <w:p w14:paraId="79D63DB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PricewaterhouseCoopers LLP</w:t>
            </w:r>
          </w:p>
        </w:tc>
      </w:tr>
      <w:tr w:rsidR="00CD60C2" w:rsidRPr="00F34274" w14:paraId="75292B4E" w14:textId="77777777" w:rsidTr="008A6222">
        <w:trPr>
          <w:trHeight w:val="288"/>
        </w:trPr>
        <w:tc>
          <w:tcPr>
            <w:tcW w:w="935" w:type="pct"/>
            <w:noWrap/>
          </w:tcPr>
          <w:p w14:paraId="79A8D95A"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Q</w:t>
            </w:r>
          </w:p>
        </w:tc>
        <w:tc>
          <w:tcPr>
            <w:tcW w:w="4065" w:type="pct"/>
            <w:noWrap/>
          </w:tcPr>
          <w:p w14:paraId="5DA745AF"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Quarter</w:t>
            </w:r>
          </w:p>
        </w:tc>
      </w:tr>
      <w:tr w:rsidR="00CD60C2" w:rsidRPr="00F34274" w14:paraId="6F3E5410" w14:textId="77777777" w:rsidTr="008A6222">
        <w:trPr>
          <w:trHeight w:val="288"/>
        </w:trPr>
        <w:tc>
          <w:tcPr>
            <w:tcW w:w="935" w:type="pct"/>
            <w:noWrap/>
            <w:hideMark/>
          </w:tcPr>
          <w:p w14:paraId="476F3C4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Q1</w:t>
            </w:r>
          </w:p>
        </w:tc>
        <w:tc>
          <w:tcPr>
            <w:tcW w:w="4065" w:type="pct"/>
            <w:noWrap/>
            <w:hideMark/>
          </w:tcPr>
          <w:p w14:paraId="1168743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Quarter 1 (January to March)</w:t>
            </w:r>
          </w:p>
        </w:tc>
      </w:tr>
      <w:tr w:rsidR="00CD60C2" w:rsidRPr="00F34274" w14:paraId="3639536B" w14:textId="77777777" w:rsidTr="008A6222">
        <w:trPr>
          <w:trHeight w:val="288"/>
        </w:trPr>
        <w:tc>
          <w:tcPr>
            <w:tcW w:w="935" w:type="pct"/>
            <w:noWrap/>
            <w:hideMark/>
          </w:tcPr>
          <w:p w14:paraId="452BE8F7"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Q2</w:t>
            </w:r>
          </w:p>
        </w:tc>
        <w:tc>
          <w:tcPr>
            <w:tcW w:w="4065" w:type="pct"/>
            <w:noWrap/>
            <w:hideMark/>
          </w:tcPr>
          <w:p w14:paraId="40952F03"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Quarter 2 (April to June)</w:t>
            </w:r>
          </w:p>
        </w:tc>
      </w:tr>
      <w:tr w:rsidR="00CD60C2" w:rsidRPr="00F34274" w14:paraId="4A9FB963" w14:textId="77777777" w:rsidTr="008A6222">
        <w:trPr>
          <w:trHeight w:val="288"/>
        </w:trPr>
        <w:tc>
          <w:tcPr>
            <w:tcW w:w="935" w:type="pct"/>
            <w:noWrap/>
            <w:hideMark/>
          </w:tcPr>
          <w:p w14:paraId="5041F4BB"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Q3</w:t>
            </w:r>
          </w:p>
        </w:tc>
        <w:tc>
          <w:tcPr>
            <w:tcW w:w="4065" w:type="pct"/>
            <w:noWrap/>
            <w:hideMark/>
          </w:tcPr>
          <w:p w14:paraId="0D568101"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Quarter 3 (July to September)</w:t>
            </w:r>
          </w:p>
        </w:tc>
      </w:tr>
      <w:tr w:rsidR="00CD60C2" w:rsidRPr="00F34274" w14:paraId="497B6CC5" w14:textId="77777777" w:rsidTr="008A6222">
        <w:trPr>
          <w:trHeight w:val="288"/>
        </w:trPr>
        <w:tc>
          <w:tcPr>
            <w:tcW w:w="935" w:type="pct"/>
            <w:noWrap/>
            <w:hideMark/>
          </w:tcPr>
          <w:p w14:paraId="6C97E361"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Q4</w:t>
            </w:r>
          </w:p>
        </w:tc>
        <w:tc>
          <w:tcPr>
            <w:tcW w:w="4065" w:type="pct"/>
            <w:noWrap/>
            <w:hideMark/>
          </w:tcPr>
          <w:p w14:paraId="19FAE6F8"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Quarter 4 (October to December)</w:t>
            </w:r>
          </w:p>
        </w:tc>
      </w:tr>
      <w:tr w:rsidR="00CD60C2" w:rsidRPr="00F34274" w14:paraId="67BB68B2" w14:textId="77777777" w:rsidTr="008A6222">
        <w:trPr>
          <w:trHeight w:val="288"/>
        </w:trPr>
        <w:tc>
          <w:tcPr>
            <w:tcW w:w="935" w:type="pct"/>
            <w:noWrap/>
            <w:hideMark/>
          </w:tcPr>
          <w:p w14:paraId="1F088FA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R&amp;D</w:t>
            </w:r>
          </w:p>
        </w:tc>
        <w:tc>
          <w:tcPr>
            <w:tcW w:w="4065" w:type="pct"/>
            <w:noWrap/>
            <w:hideMark/>
          </w:tcPr>
          <w:p w14:paraId="267B6AC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Research and Development</w:t>
            </w:r>
          </w:p>
        </w:tc>
      </w:tr>
      <w:tr w:rsidR="00CD60C2" w:rsidRPr="00F34274" w14:paraId="63C35292" w14:textId="77777777" w:rsidTr="008A6222">
        <w:trPr>
          <w:trHeight w:val="288"/>
        </w:trPr>
        <w:tc>
          <w:tcPr>
            <w:tcW w:w="935" w:type="pct"/>
            <w:noWrap/>
          </w:tcPr>
          <w:p w14:paraId="533CDD27"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RHS</w:t>
            </w:r>
          </w:p>
        </w:tc>
        <w:tc>
          <w:tcPr>
            <w:tcW w:w="4065" w:type="pct"/>
            <w:noWrap/>
          </w:tcPr>
          <w:p w14:paraId="60FCF80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Right hand side</w:t>
            </w:r>
          </w:p>
        </w:tc>
      </w:tr>
      <w:tr w:rsidR="00CD60C2" w:rsidRPr="00F34274" w14:paraId="1FF96293" w14:textId="77777777" w:rsidTr="008A6222">
        <w:trPr>
          <w:trHeight w:val="288"/>
        </w:trPr>
        <w:tc>
          <w:tcPr>
            <w:tcW w:w="935" w:type="pct"/>
            <w:noWrap/>
          </w:tcPr>
          <w:p w14:paraId="57438FD1"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RLS</w:t>
            </w:r>
          </w:p>
        </w:tc>
        <w:tc>
          <w:tcPr>
            <w:tcW w:w="4065" w:type="pct"/>
            <w:noWrap/>
          </w:tcPr>
          <w:p w14:paraId="55F12A87"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Recovery Loan Scheme</w:t>
            </w:r>
          </w:p>
        </w:tc>
      </w:tr>
      <w:tr w:rsidR="008A6222" w:rsidRPr="00F34274" w14:paraId="422EA412" w14:textId="77777777" w:rsidTr="008A6222">
        <w:trPr>
          <w:trHeight w:val="288"/>
        </w:trPr>
        <w:tc>
          <w:tcPr>
            <w:tcW w:w="935" w:type="pct"/>
            <w:noWrap/>
          </w:tcPr>
          <w:p w14:paraId="59B542AE" w14:textId="7AE3F991" w:rsidR="008A6222" w:rsidRPr="00561616" w:rsidRDefault="008A6222" w:rsidP="008A6222">
            <w:pPr>
              <w:spacing w:before="120" w:after="0"/>
              <w:rPr>
                <w:rFonts w:eastAsia="Arial" w:cs="Arial"/>
                <w:b/>
                <w:bCs/>
                <w:color w:val="1D1D1B"/>
                <w:szCs w:val="24"/>
                <w:lang w:eastAsia="en-GB"/>
              </w:rPr>
            </w:pPr>
            <w:r w:rsidRPr="00561616">
              <w:rPr>
                <w:rFonts w:eastAsia="Arial" w:cs="Arial"/>
                <w:b/>
                <w:bCs/>
                <w:color w:val="1D1D1B"/>
                <w:szCs w:val="24"/>
                <w:lang w:eastAsia="en-GB"/>
              </w:rPr>
              <w:t>SARS-CoV-2</w:t>
            </w:r>
          </w:p>
        </w:tc>
        <w:tc>
          <w:tcPr>
            <w:tcW w:w="4065" w:type="pct"/>
            <w:noWrap/>
          </w:tcPr>
          <w:p w14:paraId="19CC0027" w14:textId="16EA1FEC" w:rsidR="008A6222" w:rsidRPr="00F34274" w:rsidRDefault="008A6222" w:rsidP="008A6222">
            <w:pPr>
              <w:spacing w:before="120" w:after="0"/>
              <w:rPr>
                <w:rFonts w:eastAsia="Arial" w:cs="Arial"/>
                <w:color w:val="1D1D1B"/>
                <w:szCs w:val="24"/>
                <w:lang w:eastAsia="en-GB"/>
              </w:rPr>
            </w:pPr>
            <w:r w:rsidRPr="00F34274">
              <w:rPr>
                <w:rFonts w:eastAsia="Arial" w:cs="Arial"/>
                <w:color w:val="1D1D1B"/>
                <w:szCs w:val="24"/>
                <w:lang w:eastAsia="en-GB"/>
              </w:rPr>
              <w:t>The virus that causes the coronavirus disease.</w:t>
            </w:r>
          </w:p>
        </w:tc>
      </w:tr>
      <w:tr w:rsidR="00CD60C2" w:rsidRPr="00F34274" w14:paraId="78B35DA5" w14:textId="77777777" w:rsidTr="008A6222">
        <w:trPr>
          <w:trHeight w:val="288"/>
        </w:trPr>
        <w:tc>
          <w:tcPr>
            <w:tcW w:w="935" w:type="pct"/>
            <w:noWrap/>
            <w:hideMark/>
          </w:tcPr>
          <w:p w14:paraId="3D475999"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SEIS</w:t>
            </w:r>
          </w:p>
        </w:tc>
        <w:tc>
          <w:tcPr>
            <w:tcW w:w="4065" w:type="pct"/>
            <w:noWrap/>
            <w:hideMark/>
          </w:tcPr>
          <w:p w14:paraId="75452542"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Seed Enterprise Investment Scheme</w:t>
            </w:r>
          </w:p>
        </w:tc>
      </w:tr>
      <w:tr w:rsidR="00CD60C2" w:rsidRPr="00F34274" w14:paraId="1DD61C49" w14:textId="77777777" w:rsidTr="008A6222">
        <w:trPr>
          <w:trHeight w:val="288"/>
        </w:trPr>
        <w:tc>
          <w:tcPr>
            <w:tcW w:w="935" w:type="pct"/>
            <w:noWrap/>
            <w:hideMark/>
          </w:tcPr>
          <w:p w14:paraId="141C68C6"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SIC</w:t>
            </w:r>
          </w:p>
        </w:tc>
        <w:tc>
          <w:tcPr>
            <w:tcW w:w="4065" w:type="pct"/>
            <w:noWrap/>
            <w:hideMark/>
          </w:tcPr>
          <w:p w14:paraId="20EC21B7"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Standard Industrial Classification</w:t>
            </w:r>
          </w:p>
        </w:tc>
      </w:tr>
      <w:tr w:rsidR="00CD60C2" w:rsidRPr="00F34274" w14:paraId="6E3B628F" w14:textId="77777777" w:rsidTr="008A6222">
        <w:trPr>
          <w:trHeight w:val="288"/>
        </w:trPr>
        <w:tc>
          <w:tcPr>
            <w:tcW w:w="935" w:type="pct"/>
            <w:noWrap/>
          </w:tcPr>
          <w:p w14:paraId="3A07D5D7"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SMD</w:t>
            </w:r>
          </w:p>
        </w:tc>
        <w:tc>
          <w:tcPr>
            <w:tcW w:w="4065" w:type="pct"/>
            <w:noWrap/>
          </w:tcPr>
          <w:p w14:paraId="59A37138"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Standardised mean difference</w:t>
            </w:r>
          </w:p>
        </w:tc>
      </w:tr>
      <w:tr w:rsidR="00CD60C2" w:rsidRPr="00F34274" w14:paraId="00D6EA9A" w14:textId="77777777" w:rsidTr="008A6222">
        <w:trPr>
          <w:trHeight w:val="288"/>
        </w:trPr>
        <w:tc>
          <w:tcPr>
            <w:tcW w:w="935" w:type="pct"/>
            <w:noWrap/>
            <w:hideMark/>
          </w:tcPr>
          <w:p w14:paraId="7740F36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firm</w:t>
            </w:r>
          </w:p>
        </w:tc>
        <w:tc>
          <w:tcPr>
            <w:tcW w:w="4065" w:type="pct"/>
            <w:noWrap/>
            <w:hideMark/>
          </w:tcPr>
          <w:p w14:paraId="11C655D1"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Small and Medium sized Enterprise</w:t>
            </w:r>
          </w:p>
        </w:tc>
      </w:tr>
      <w:tr w:rsidR="00CD60C2" w:rsidRPr="00F34274" w14:paraId="31F6CA6F" w14:textId="77777777" w:rsidTr="008A6222">
        <w:trPr>
          <w:trHeight w:val="288"/>
        </w:trPr>
        <w:tc>
          <w:tcPr>
            <w:tcW w:w="935" w:type="pct"/>
            <w:noWrap/>
          </w:tcPr>
          <w:p w14:paraId="4FF2C7D9" w14:textId="77777777" w:rsidR="00CD60C2" w:rsidRPr="00561616" w:rsidRDefault="00CD60C2" w:rsidP="003B6179">
            <w:pPr>
              <w:spacing w:before="120" w:after="0"/>
              <w:rPr>
                <w:rFonts w:eastAsia="Arial" w:cs="Arial"/>
                <w:b/>
                <w:bCs/>
                <w:color w:val="1D1D1B"/>
                <w:szCs w:val="24"/>
                <w:lang w:eastAsia="en-GB"/>
              </w:rPr>
            </w:pPr>
            <w:bookmarkStart w:id="299" w:name="_Hlk98775707"/>
            <w:r w:rsidRPr="00561616">
              <w:rPr>
                <w:rFonts w:eastAsia="Arial" w:cs="Arial"/>
                <w:b/>
                <w:bCs/>
                <w:color w:val="1D1D1B"/>
                <w:szCs w:val="24"/>
                <w:lang w:eastAsia="en-GB"/>
              </w:rPr>
              <w:t>Stakeholders</w:t>
            </w:r>
          </w:p>
        </w:tc>
        <w:tc>
          <w:tcPr>
            <w:tcW w:w="4065" w:type="pct"/>
            <w:noWrap/>
          </w:tcPr>
          <w:p w14:paraId="2FE9A8A0"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 xml:space="preserve">This group consisted of senior civil servants in Government, Arm’s length bodies, government agencies, industry bodies, and non-profit organisations that were involved (directly/ indirectly) with the Future Fund design/ implementation stages. </w:t>
            </w:r>
          </w:p>
        </w:tc>
      </w:tr>
      <w:bookmarkEnd w:id="299"/>
      <w:tr w:rsidR="00CD60C2" w:rsidRPr="00F34274" w14:paraId="08AC2FFB" w14:textId="77777777" w:rsidTr="008A6222">
        <w:trPr>
          <w:trHeight w:val="288"/>
        </w:trPr>
        <w:tc>
          <w:tcPr>
            <w:tcW w:w="935" w:type="pct"/>
            <w:noWrap/>
            <w:hideMark/>
          </w:tcPr>
          <w:p w14:paraId="63C0C2AA"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UK</w:t>
            </w:r>
          </w:p>
        </w:tc>
        <w:tc>
          <w:tcPr>
            <w:tcW w:w="4065" w:type="pct"/>
            <w:noWrap/>
            <w:hideMark/>
          </w:tcPr>
          <w:p w14:paraId="74F8D264"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United Kingdom</w:t>
            </w:r>
          </w:p>
        </w:tc>
      </w:tr>
      <w:tr w:rsidR="00CD60C2" w:rsidRPr="00F34274" w14:paraId="168F6302" w14:textId="77777777" w:rsidTr="008A6222">
        <w:trPr>
          <w:trHeight w:val="288"/>
        </w:trPr>
        <w:tc>
          <w:tcPr>
            <w:tcW w:w="935" w:type="pct"/>
            <w:noWrap/>
          </w:tcPr>
          <w:p w14:paraId="50B96828"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VAT</w:t>
            </w:r>
          </w:p>
        </w:tc>
        <w:tc>
          <w:tcPr>
            <w:tcW w:w="4065" w:type="pct"/>
            <w:noWrap/>
          </w:tcPr>
          <w:p w14:paraId="73DD944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Value Added Tax</w:t>
            </w:r>
          </w:p>
        </w:tc>
      </w:tr>
      <w:tr w:rsidR="00CD60C2" w:rsidRPr="00F34274" w14:paraId="4A496CBD" w14:textId="77777777" w:rsidTr="008A6222">
        <w:trPr>
          <w:trHeight w:val="288"/>
        </w:trPr>
        <w:tc>
          <w:tcPr>
            <w:tcW w:w="935" w:type="pct"/>
            <w:shd w:val="clear" w:color="auto" w:fill="auto"/>
            <w:noWrap/>
            <w:hideMark/>
          </w:tcPr>
          <w:p w14:paraId="15D60225"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VC</w:t>
            </w:r>
          </w:p>
        </w:tc>
        <w:tc>
          <w:tcPr>
            <w:tcW w:w="4065" w:type="pct"/>
            <w:shd w:val="clear" w:color="auto" w:fill="auto"/>
            <w:noWrap/>
            <w:hideMark/>
          </w:tcPr>
          <w:p w14:paraId="4E1D04AE"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Venture Capital</w:t>
            </w:r>
          </w:p>
        </w:tc>
      </w:tr>
      <w:tr w:rsidR="00CD60C2" w:rsidRPr="00F34274" w14:paraId="39A62890" w14:textId="77777777" w:rsidTr="008A6222">
        <w:trPr>
          <w:trHeight w:val="288"/>
        </w:trPr>
        <w:tc>
          <w:tcPr>
            <w:tcW w:w="935" w:type="pct"/>
            <w:noWrap/>
            <w:hideMark/>
          </w:tcPr>
          <w:p w14:paraId="7DDD6D37" w14:textId="77777777" w:rsidR="00CD60C2" w:rsidRPr="00561616" w:rsidRDefault="00CD60C2" w:rsidP="003B6179">
            <w:pPr>
              <w:spacing w:before="120" w:after="0"/>
              <w:rPr>
                <w:rFonts w:eastAsia="Arial" w:cs="Arial"/>
                <w:b/>
                <w:bCs/>
                <w:color w:val="1D1D1B"/>
                <w:szCs w:val="24"/>
                <w:lang w:eastAsia="en-GB"/>
              </w:rPr>
            </w:pPr>
            <w:r w:rsidRPr="00561616">
              <w:rPr>
                <w:rFonts w:eastAsia="Arial" w:cs="Arial"/>
                <w:b/>
                <w:bCs/>
                <w:color w:val="1D1D1B"/>
                <w:szCs w:val="24"/>
                <w:lang w:eastAsia="en-GB"/>
              </w:rPr>
              <w:t xml:space="preserve">VFM/ </w:t>
            </w:r>
            <w:proofErr w:type="spellStart"/>
            <w:r w:rsidRPr="00561616">
              <w:rPr>
                <w:rFonts w:eastAsia="Arial" w:cs="Arial"/>
                <w:b/>
                <w:bCs/>
                <w:color w:val="1D1D1B"/>
                <w:szCs w:val="24"/>
                <w:lang w:eastAsia="en-GB"/>
              </w:rPr>
              <w:t>VfM</w:t>
            </w:r>
            <w:proofErr w:type="spellEnd"/>
          </w:p>
        </w:tc>
        <w:tc>
          <w:tcPr>
            <w:tcW w:w="4065" w:type="pct"/>
            <w:noWrap/>
            <w:hideMark/>
          </w:tcPr>
          <w:p w14:paraId="32B3E007" w14:textId="77777777" w:rsidR="00CD60C2" w:rsidRPr="00F34274" w:rsidRDefault="00CD60C2" w:rsidP="003B6179">
            <w:pPr>
              <w:spacing w:before="120" w:after="0"/>
              <w:rPr>
                <w:rFonts w:eastAsia="Arial" w:cs="Arial"/>
                <w:color w:val="1D1D1B"/>
                <w:szCs w:val="24"/>
                <w:lang w:eastAsia="en-GB"/>
              </w:rPr>
            </w:pPr>
            <w:r w:rsidRPr="00F34274">
              <w:rPr>
                <w:rFonts w:eastAsia="Arial" w:cs="Arial"/>
                <w:color w:val="1D1D1B"/>
                <w:szCs w:val="24"/>
                <w:lang w:eastAsia="en-GB"/>
              </w:rPr>
              <w:t>Value for Money</w:t>
            </w:r>
          </w:p>
        </w:tc>
      </w:tr>
    </w:tbl>
    <w:p w14:paraId="366EE2BF" w14:textId="77777777" w:rsidR="00CD60C2" w:rsidRPr="00F34274" w:rsidRDefault="00CD60C2" w:rsidP="00957DB2">
      <w:pPr>
        <w:rPr>
          <w:rFonts w:eastAsia="Arial" w:cs="Arial"/>
        </w:rPr>
      </w:pPr>
    </w:p>
    <w:p w14:paraId="56FD8956" w14:textId="77777777" w:rsidR="00CD60C2" w:rsidRPr="00F34274" w:rsidRDefault="00CD60C2" w:rsidP="00957DB2">
      <w:pPr>
        <w:rPr>
          <w:rFonts w:eastAsia="Arial" w:cs="Arial"/>
        </w:rPr>
        <w:sectPr w:rsidR="00CD60C2" w:rsidRPr="00F34274" w:rsidSect="00ED2122">
          <w:pgSz w:w="11906" w:h="16838"/>
          <w:pgMar w:top="1440" w:right="1080" w:bottom="1440" w:left="1080" w:header="624" w:footer="0" w:gutter="0"/>
          <w:cols w:space="720"/>
          <w:docGrid w:linePitch="360"/>
        </w:sectPr>
      </w:pPr>
    </w:p>
    <w:p w14:paraId="1231622A" w14:textId="17F8A017" w:rsidR="00784475" w:rsidRPr="00784475" w:rsidRDefault="00CD60C2" w:rsidP="00784475">
      <w:pPr>
        <w:keepNext/>
        <w:keepLines/>
        <w:spacing w:after="1000"/>
        <w:outlineLvl w:val="0"/>
        <w:rPr>
          <w:rFonts w:eastAsia="SimHei" w:cs="Arial"/>
          <w:b/>
          <w:color w:val="142855"/>
          <w:sz w:val="44"/>
          <w:szCs w:val="32"/>
        </w:rPr>
      </w:pPr>
      <w:bookmarkStart w:id="300" w:name="_Toc136592095"/>
      <w:bookmarkStart w:id="301" w:name="_Toc165497218"/>
      <w:bookmarkEnd w:id="269"/>
      <w:r w:rsidRPr="00F34274">
        <w:rPr>
          <w:rFonts w:eastAsia="SimHei" w:cs="Arial"/>
          <w:b/>
          <w:color w:val="142855"/>
          <w:sz w:val="44"/>
          <w:szCs w:val="32"/>
        </w:rPr>
        <w:lastRenderedPageBreak/>
        <w:t>Legal notices and disclaimers</w:t>
      </w:r>
      <w:bookmarkEnd w:id="300"/>
      <w:bookmarkEnd w:id="301"/>
    </w:p>
    <w:p w14:paraId="5D97C911" w14:textId="15D83C57" w:rsidR="00784475" w:rsidRDefault="00784475" w:rsidP="00784475">
      <w:pPr>
        <w:pStyle w:val="Heading2"/>
      </w:pPr>
      <w:bookmarkStart w:id="302" w:name="_Toc165380871"/>
      <w:bookmarkStart w:id="303" w:name="_Toc165482253"/>
      <w:bookmarkStart w:id="304" w:name="_Toc165497219"/>
      <w:r>
        <w:t>Legal notices and disclaimers</w:t>
      </w:r>
      <w:bookmarkEnd w:id="302"/>
      <w:bookmarkEnd w:id="303"/>
      <w:bookmarkEnd w:id="304"/>
    </w:p>
    <w:p w14:paraId="18B06B6F" w14:textId="3798022A" w:rsidR="00CD60C2" w:rsidRPr="00F34274" w:rsidRDefault="00CD60C2" w:rsidP="00957DB2">
      <w:pPr>
        <w:keepLines/>
        <w:spacing w:before="240" w:after="240"/>
        <w:outlineLvl w:val="3"/>
        <w:rPr>
          <w:rFonts w:eastAsia="SimHei" w:cs="Arial"/>
          <w:iCs/>
          <w:color w:val="142855"/>
        </w:rPr>
      </w:pPr>
      <w:r w:rsidRPr="00F34274">
        <w:rPr>
          <w:rFonts w:eastAsia="SimHei" w:cs="Arial"/>
          <w:iCs/>
          <w:color w:val="142855"/>
        </w:rPr>
        <w:t>The matters raised in this report are only those which came to our attention during our review and are not necessarily a comprehensive statement of all the weaknesses that exist or all improvements that might be made.</w:t>
      </w:r>
    </w:p>
    <w:p w14:paraId="4316511F" w14:textId="77777777" w:rsidR="00CD60C2" w:rsidRPr="00F34274" w:rsidRDefault="00CD60C2" w:rsidP="00957DB2">
      <w:pPr>
        <w:keepLines/>
        <w:spacing w:before="240" w:after="240"/>
        <w:outlineLvl w:val="3"/>
        <w:rPr>
          <w:rFonts w:eastAsia="SimHei" w:cs="Arial"/>
          <w:iCs/>
          <w:color w:val="142855"/>
        </w:rPr>
      </w:pPr>
      <w:r w:rsidRPr="00F34274">
        <w:rPr>
          <w:rFonts w:eastAsia="SimHei" w:cs="Arial"/>
          <w:iCs/>
          <w:color w:val="142855"/>
        </w:rPr>
        <w:t xml:space="preserve">Recommendations for improvements should be assessed by you for their full impact before they are implemented. This report, or our work, should not be taken as a substitute for management’s responsibilities for the application of sound commercial practices. We emphasise that the responsibility for a sound system of internal controls rests with management and our work should not be relied upon to identify all strengths and weaknesses that may exist. Neither should our work be relied upon to identify all circumstances of fraud and irregularity should there be any. </w:t>
      </w:r>
    </w:p>
    <w:p w14:paraId="4A32FD42" w14:textId="77777777" w:rsidR="00CD60C2" w:rsidRPr="00F34274" w:rsidRDefault="00CD60C2" w:rsidP="00957DB2">
      <w:pPr>
        <w:keepLines/>
        <w:spacing w:before="240" w:after="240"/>
        <w:outlineLvl w:val="3"/>
        <w:rPr>
          <w:rFonts w:eastAsia="SimHei" w:cs="Arial"/>
          <w:iCs/>
          <w:color w:val="142855"/>
        </w:rPr>
      </w:pPr>
      <w:r w:rsidRPr="00F34274">
        <w:rPr>
          <w:rFonts w:eastAsia="SimHei" w:cs="Arial"/>
          <w:iCs/>
          <w:color w:val="142855"/>
        </w:rPr>
        <w:t>This report is supplied on the understanding that it is solely for the use of the persons to whom it is addressed and for the purposes set out herein. Our work has been undertaken solely to prepare this report and state those matters that we have agreed to state to them. This report should not therefore be regarded as suitable to be used or relied on by any other party wishing to acquire any rights from RSM UK Consulting LLP for any purpose or in any context. Any party other than the Board which obtains access to this report or a copy and chooses to rely on this report (or any part of it) will do so at its own risk. To the fullest extent permitted by law, RSM UK Consulting LLP will accept no responsibility or liability in respect of this report to any other party and shall not be liable for any loss, damage or expense of whatsoever nature which is caused by any person’s reliance on representations in this report.</w:t>
      </w:r>
    </w:p>
    <w:p w14:paraId="212AB581" w14:textId="77777777" w:rsidR="00CD60C2" w:rsidRPr="00F34274" w:rsidRDefault="00CD60C2" w:rsidP="00957DB2">
      <w:pPr>
        <w:keepLines/>
        <w:spacing w:before="240" w:after="240"/>
        <w:outlineLvl w:val="3"/>
        <w:rPr>
          <w:rFonts w:eastAsia="SimHei" w:cs="Arial"/>
          <w:iCs/>
          <w:color w:val="142855"/>
        </w:rPr>
      </w:pPr>
      <w:r w:rsidRPr="00F34274">
        <w:rPr>
          <w:rFonts w:eastAsia="SimHei" w:cs="Arial"/>
          <w:iCs/>
          <w:color w:val="142855"/>
        </w:rPr>
        <w:t>This report is released to our Client on the basis that it shall not be copied, referred to or disclosed, in whole or in part (save as otherwise permitted by agreed written terms), without our prior written consent.</w:t>
      </w:r>
    </w:p>
    <w:p w14:paraId="7E81D83F" w14:textId="10E5DDED" w:rsidR="00CD60C2" w:rsidRPr="00F34274" w:rsidRDefault="00CD60C2" w:rsidP="00957DB2">
      <w:pPr>
        <w:keepLines/>
        <w:spacing w:before="240" w:after="240"/>
        <w:outlineLvl w:val="3"/>
        <w:rPr>
          <w:rFonts w:eastAsia="SimHei" w:cs="Arial"/>
          <w:iCs/>
          <w:color w:val="142855"/>
        </w:rPr>
      </w:pPr>
      <w:r w:rsidRPr="00F34274">
        <w:rPr>
          <w:rFonts w:eastAsia="SimHei" w:cs="Arial"/>
          <w:iCs/>
          <w:color w:val="142855"/>
        </w:rPr>
        <w:lastRenderedPageBreak/>
        <w:t xml:space="preserve">We have no responsibility to update this report for events and circumstances occurring after the date of this report. RSM UK Consulting LLP is a limited liability partnership registered in England and Wales no. OC397475 at 6th floor, 25 Farringdon Street, London EC4A </w:t>
      </w:r>
      <w:r w:rsidR="00784475" w:rsidRPr="00F34274">
        <w:rPr>
          <w:rFonts w:eastAsia="SimHei" w:cs="Arial"/>
          <w:iCs/>
          <w:color w:val="142855"/>
        </w:rPr>
        <w:t>4AB.</w:t>
      </w:r>
    </w:p>
    <w:p w14:paraId="5651E68A" w14:textId="77777777" w:rsidR="00CD60C2" w:rsidRPr="00F34274" w:rsidRDefault="00CD60C2" w:rsidP="00957DB2">
      <w:pPr>
        <w:rPr>
          <w:rFonts w:eastAsia="Arial" w:cs="Arial"/>
        </w:rPr>
        <w:sectPr w:rsidR="00CD60C2" w:rsidRPr="00F34274" w:rsidSect="00ED2122">
          <w:pgSz w:w="11906" w:h="16838"/>
          <w:pgMar w:top="1440" w:right="1080" w:bottom="1440" w:left="1080" w:header="624" w:footer="0" w:gutter="0"/>
          <w:cols w:space="720"/>
          <w:docGrid w:linePitch="360"/>
        </w:sectPr>
      </w:pPr>
    </w:p>
    <w:p w14:paraId="1D45C061" w14:textId="1253044A" w:rsidR="00CD60C2" w:rsidRPr="00F34274" w:rsidRDefault="00CD60C2" w:rsidP="00957DB2">
      <w:pPr>
        <w:rPr>
          <w:rFonts w:eastAsia="Arial" w:cs="Arial"/>
          <w:b/>
          <w:iCs/>
          <w:color w:val="142855"/>
        </w:rPr>
        <w:sectPr w:rsidR="00CD60C2" w:rsidRPr="00F34274" w:rsidSect="00ED2122">
          <w:headerReference w:type="even" r:id="rId89"/>
          <w:headerReference w:type="default" r:id="rId90"/>
          <w:footerReference w:type="default" r:id="rId91"/>
          <w:headerReference w:type="first" r:id="rId92"/>
          <w:pgSz w:w="11906" w:h="16838"/>
          <w:pgMar w:top="1440" w:right="1080" w:bottom="1440" w:left="1080" w:header="624" w:footer="0" w:gutter="0"/>
          <w:cols w:space="720"/>
          <w:docGrid w:linePitch="360"/>
        </w:sectPr>
      </w:pPr>
      <w:r w:rsidRPr="00F34274">
        <w:rPr>
          <w:rFonts w:eastAsia="SimHei" w:cs="Arial"/>
          <w:b/>
          <w:color w:val="142855"/>
        </w:rPr>
        <w:lastRenderedPageBreak/>
        <w:t xml:space="preserve">Disclaimer: The British Business Bank has made every effort to use reliable, up to date and comprehensive information and analysis, but no representation, express or implied, is made by British Business Bank plc and its subsidiaries as to the completeness or accuracy of any facts or opinions contained in this report. Recipients should seek their own independent legal, financial, tax, </w:t>
      </w:r>
      <w:proofErr w:type="gramStart"/>
      <w:r w:rsidRPr="00F34274">
        <w:rPr>
          <w:rFonts w:eastAsia="SimHei" w:cs="Arial"/>
          <w:b/>
          <w:color w:val="142855"/>
        </w:rPr>
        <w:t>accounting</w:t>
      </w:r>
      <w:proofErr w:type="gramEnd"/>
      <w:r w:rsidRPr="00F34274">
        <w:rPr>
          <w:rFonts w:eastAsia="SimHei" w:cs="Arial"/>
          <w:b/>
          <w:color w:val="142855"/>
        </w:rPr>
        <w:t xml:space="preserve"> or regulatory advice before making any decision based on the information contained herein. This report is not investment advice. The British Business Bank accepts no liability for any loss arising from any action taken or refrained from </w:t>
      </w:r>
      <w:proofErr w:type="gramStart"/>
      <w:r w:rsidRPr="00F34274">
        <w:rPr>
          <w:rFonts w:eastAsia="SimHei" w:cs="Arial"/>
          <w:b/>
          <w:color w:val="142855"/>
        </w:rPr>
        <w:t>as a result of</w:t>
      </w:r>
      <w:proofErr w:type="gramEnd"/>
      <w:r w:rsidRPr="00F34274">
        <w:rPr>
          <w:rFonts w:eastAsia="SimHei" w:cs="Arial"/>
          <w:b/>
          <w:color w:val="142855"/>
        </w:rPr>
        <w:t xml:space="preserve"> information contained in this report</w:t>
      </w:r>
      <w:r w:rsidR="00784475">
        <w:rPr>
          <w:rFonts w:eastAsia="SimHei" w:cs="Arial"/>
          <w:b/>
          <w:color w:val="142855"/>
        </w:rPr>
        <w:t>.</w:t>
      </w:r>
    </w:p>
    <w:p w14:paraId="17F20EC6"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bookmarkStart w:id="305" w:name="_Toc136592096"/>
      <w:bookmarkStart w:id="306" w:name="_Toc165379336"/>
      <w:bookmarkStart w:id="307" w:name="_Toc165379764"/>
      <w:bookmarkStart w:id="308" w:name="_Toc165380872"/>
      <w:bookmarkStart w:id="309" w:name="_Toc165497220"/>
      <w:r w:rsidRPr="00F34274">
        <w:rPr>
          <w:rFonts w:eastAsia="Arial" w:cs="Arial"/>
          <w:noProof/>
        </w:rPr>
        <w:lastRenderedPageBreak/>
        <w:drawing>
          <wp:anchor distT="0" distB="0" distL="114300" distR="114300" simplePos="0" relativeHeight="251683840" behindDoc="0" locked="0" layoutInCell="1" allowOverlap="1" wp14:anchorId="636B9425" wp14:editId="34F0CE14">
            <wp:simplePos x="0" y="0"/>
            <wp:positionH relativeFrom="column">
              <wp:posOffset>4735195</wp:posOffset>
            </wp:positionH>
            <wp:positionV relativeFrom="paragraph">
              <wp:posOffset>-313690</wp:posOffset>
            </wp:positionV>
            <wp:extent cx="1633220" cy="608965"/>
            <wp:effectExtent l="0" t="0" r="5080"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33220" cy="608965"/>
                    </a:xfrm>
                    <a:prstGeom prst="rect">
                      <a:avLst/>
                    </a:prstGeom>
                  </pic:spPr>
                </pic:pic>
              </a:graphicData>
            </a:graphic>
            <wp14:sizeRelH relativeFrom="page">
              <wp14:pctWidth>0</wp14:pctWidth>
            </wp14:sizeRelH>
            <wp14:sizeRelV relativeFrom="page">
              <wp14:pctHeight>0</wp14:pctHeight>
            </wp14:sizeRelV>
          </wp:anchor>
        </w:drawing>
      </w:r>
      <w:r w:rsidRPr="00F34274">
        <w:rPr>
          <w:rFonts w:eastAsia="Arial" w:cs="Arial"/>
          <w:noProof/>
        </w:rPr>
        <w:drawing>
          <wp:anchor distT="0" distB="0" distL="114300" distR="114300" simplePos="0" relativeHeight="251663360" behindDoc="0" locked="0" layoutInCell="1" allowOverlap="1" wp14:anchorId="15DB25AC" wp14:editId="46A86C7D">
            <wp:simplePos x="0" y="0"/>
            <wp:positionH relativeFrom="margin">
              <wp:posOffset>2529191</wp:posOffset>
            </wp:positionH>
            <wp:positionV relativeFrom="paragraph">
              <wp:posOffset>-461010</wp:posOffset>
            </wp:positionV>
            <wp:extent cx="1756654" cy="913333"/>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54" cy="9133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5"/>
      <w:bookmarkEnd w:id="306"/>
      <w:bookmarkEnd w:id="307"/>
      <w:bookmarkEnd w:id="308"/>
      <w:bookmarkEnd w:id="309"/>
    </w:p>
    <w:p w14:paraId="3C2D8AFC"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3A39C335"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502A40A"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615C0107"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21A04AE1"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1D654B58"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2082BE2"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1E8870CB"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735BE09A"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26C47161"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93E4C69"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46063E7F"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78986C9E"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0A8BEB7A"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34D56763"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79EC000D"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6DCAF0AD"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1D8003BA"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31BB92E"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699C05E8"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219B7A36"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64AC36CB"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3DBEE708"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FB1FD37"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4A4C029E"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610D46DB"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5642922"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7E8AD491"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2F09A900"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F2D0F67"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EB4CE2A"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95602BD" w14:textId="77777777" w:rsidR="00CD60C2" w:rsidRPr="00F34274" w:rsidRDefault="00CD60C2" w:rsidP="00957DB2">
      <w:pPr>
        <w:keepNext/>
        <w:keepLines/>
        <w:spacing w:before="440" w:after="0" w:line="260" w:lineRule="atLeast"/>
        <w:contextualSpacing/>
        <w:outlineLvl w:val="2"/>
        <w:rPr>
          <w:rFonts w:eastAsia="Times New Roman" w:cs="Times New Roman"/>
          <w:b/>
          <w:bCs/>
          <w:color w:val="142855"/>
          <w:sz w:val="22"/>
        </w:rPr>
      </w:pPr>
    </w:p>
    <w:p w14:paraId="53B3F290" w14:textId="77777777" w:rsidR="00CD60C2" w:rsidRPr="00F34274" w:rsidRDefault="00CD60C2" w:rsidP="00957DB2">
      <w:pPr>
        <w:rPr>
          <w:rFonts w:eastAsia="Arial" w:cs="Arial"/>
          <w:b/>
          <w:bCs/>
          <w:color w:val="142855"/>
          <w:sz w:val="22"/>
        </w:rPr>
      </w:pPr>
      <w:r w:rsidRPr="00F34274">
        <w:rPr>
          <w:rFonts w:eastAsia="Arial" w:cs="Arial"/>
          <w:b/>
          <w:bCs/>
          <w:color w:val="142855"/>
          <w:sz w:val="22"/>
        </w:rPr>
        <w:t>British Business Bank plc</w:t>
      </w:r>
    </w:p>
    <w:p w14:paraId="396D595A" w14:textId="77777777" w:rsidR="00CD60C2" w:rsidRPr="00F34274" w:rsidRDefault="00CD60C2" w:rsidP="00957DB2">
      <w:pPr>
        <w:rPr>
          <w:rFonts w:eastAsia="Arial" w:cs="Arial"/>
          <w:color w:val="142855"/>
          <w:sz w:val="22"/>
        </w:rPr>
      </w:pPr>
      <w:r w:rsidRPr="00F34274">
        <w:rPr>
          <w:rFonts w:eastAsia="Arial" w:cs="Arial"/>
          <w:color w:val="142855"/>
          <w:sz w:val="22"/>
        </w:rPr>
        <w:t>Steel City House</w:t>
      </w:r>
    </w:p>
    <w:p w14:paraId="33099FC6" w14:textId="77777777" w:rsidR="00CD60C2" w:rsidRPr="00F34274" w:rsidRDefault="00CD60C2" w:rsidP="00957DB2">
      <w:pPr>
        <w:rPr>
          <w:rFonts w:eastAsia="Arial" w:cs="Arial"/>
          <w:color w:val="142855"/>
          <w:sz w:val="22"/>
        </w:rPr>
      </w:pPr>
      <w:r w:rsidRPr="00F34274">
        <w:rPr>
          <w:rFonts w:eastAsia="Arial" w:cs="Arial"/>
          <w:color w:val="142855"/>
          <w:sz w:val="22"/>
        </w:rPr>
        <w:t>West Street</w:t>
      </w:r>
    </w:p>
    <w:p w14:paraId="13432CC0" w14:textId="77777777" w:rsidR="00CD60C2" w:rsidRPr="00F34274" w:rsidRDefault="00CD60C2" w:rsidP="00957DB2">
      <w:pPr>
        <w:rPr>
          <w:rFonts w:eastAsia="Arial" w:cs="Arial"/>
          <w:color w:val="142855"/>
          <w:sz w:val="22"/>
        </w:rPr>
      </w:pPr>
      <w:r w:rsidRPr="00F34274">
        <w:rPr>
          <w:rFonts w:eastAsia="Arial" w:cs="Arial"/>
          <w:color w:val="142855"/>
          <w:sz w:val="22"/>
        </w:rPr>
        <w:t>Sheffield S1 2GQ</w:t>
      </w:r>
    </w:p>
    <w:p w14:paraId="13186F9C" w14:textId="77777777" w:rsidR="00CD60C2" w:rsidRPr="00F34274" w:rsidRDefault="00CD60C2" w:rsidP="00957DB2">
      <w:pPr>
        <w:rPr>
          <w:rFonts w:eastAsia="Arial" w:cs="Arial"/>
          <w:color w:val="142855"/>
          <w:sz w:val="22"/>
        </w:rPr>
      </w:pPr>
      <w:r w:rsidRPr="00F34274">
        <w:rPr>
          <w:rFonts w:eastAsia="Arial" w:cs="Arial"/>
          <w:color w:val="142855"/>
          <w:sz w:val="22"/>
        </w:rPr>
        <w:t>t.</w:t>
      </w:r>
      <w:r w:rsidRPr="00F34274">
        <w:rPr>
          <w:rFonts w:eastAsia="Arial" w:cs="Arial"/>
          <w:color w:val="142855"/>
          <w:sz w:val="22"/>
        </w:rPr>
        <w:tab/>
      </w:r>
      <w:sdt>
        <w:sdtPr>
          <w:rPr>
            <w:rFonts w:eastAsia="Arial" w:cs="Arial"/>
            <w:color w:val="142855"/>
            <w:sz w:val="22"/>
          </w:rPr>
          <w:alias w:val="telL"/>
          <w:tag w:val="tel:"/>
          <w:id w:val="871192015"/>
          <w:placeholder>
            <w:docPart w:val="22926E7095BE4273A7C244539C20B13B"/>
          </w:placeholder>
          <w:showingPlcHdr/>
          <w15:appearance w15:val="hidden"/>
        </w:sdtPr>
        <w:sdtEndPr/>
        <w:sdtContent>
          <w:r w:rsidRPr="00F34274">
            <w:rPr>
              <w:rFonts w:eastAsia="Arial" w:cs="Arial"/>
              <w:color w:val="142855"/>
              <w:sz w:val="22"/>
            </w:rPr>
            <w:t>+44 (0)114 206 2131</w:t>
          </w:r>
        </w:sdtContent>
      </w:sdt>
    </w:p>
    <w:p w14:paraId="2B7E6D71" w14:textId="77777777" w:rsidR="00CD60C2" w:rsidRPr="00F34274" w:rsidRDefault="00CD60C2" w:rsidP="00957DB2">
      <w:pPr>
        <w:rPr>
          <w:rFonts w:eastAsia="Arial" w:cs="Arial"/>
          <w:color w:val="142855"/>
          <w:sz w:val="22"/>
        </w:rPr>
      </w:pPr>
      <w:r w:rsidRPr="00F34274">
        <w:rPr>
          <w:rFonts w:eastAsia="Arial" w:cs="Arial"/>
          <w:color w:val="142855"/>
          <w:sz w:val="22"/>
        </w:rPr>
        <w:t>e.</w:t>
      </w:r>
      <w:r w:rsidRPr="00F34274">
        <w:rPr>
          <w:rFonts w:eastAsia="Arial" w:cs="Arial"/>
          <w:color w:val="142855"/>
          <w:sz w:val="22"/>
        </w:rPr>
        <w:tab/>
      </w:r>
      <w:sdt>
        <w:sdtPr>
          <w:rPr>
            <w:rFonts w:eastAsia="Arial" w:cs="Arial"/>
            <w:color w:val="142855"/>
            <w:sz w:val="22"/>
          </w:rPr>
          <w:alias w:val="info:"/>
          <w:tag w:val="info:"/>
          <w:id w:val="726106263"/>
          <w:placeholder>
            <w:docPart w:val="E6B05968C7074BEF88625A419415EFE9"/>
          </w:placeholder>
          <w:showingPlcHdr/>
          <w15:appearance w15:val="hidden"/>
        </w:sdtPr>
        <w:sdtEndPr/>
        <w:sdtContent>
          <w:r w:rsidRPr="00F34274">
            <w:rPr>
              <w:rFonts w:eastAsia="Arial" w:cs="Arial"/>
              <w:color w:val="142855"/>
              <w:sz w:val="22"/>
            </w:rPr>
            <w:t>info@british-business-bank.co.uk</w:t>
          </w:r>
        </w:sdtContent>
      </w:sdt>
    </w:p>
    <w:p w14:paraId="2C39639D" w14:textId="77777777" w:rsidR="00CD60C2" w:rsidRPr="00F34274" w:rsidRDefault="00CD60C2" w:rsidP="00957DB2">
      <w:pPr>
        <w:rPr>
          <w:rFonts w:eastAsia="Arial" w:cs="Arial"/>
          <w:b/>
          <w:bCs/>
          <w:color w:val="142855"/>
          <w:sz w:val="22"/>
        </w:rPr>
      </w:pPr>
      <w:r w:rsidRPr="00F34274">
        <w:rPr>
          <w:rFonts w:eastAsia="Arial" w:cs="Arial"/>
          <w:b/>
          <w:bCs/>
          <w:color w:val="142855"/>
          <w:sz w:val="22"/>
        </w:rPr>
        <w:t>british-business-bank.co.uk</w:t>
      </w:r>
    </w:p>
    <w:p w14:paraId="3DF08D82" w14:textId="3A566846" w:rsidR="009E00AB" w:rsidRPr="002E528C" w:rsidRDefault="00CD60C2" w:rsidP="002E528C">
      <w:pPr>
        <w:rPr>
          <w:rFonts w:eastAsia="Arial" w:cs="Arial"/>
          <w:color w:val="142855"/>
          <w:sz w:val="22"/>
        </w:rPr>
      </w:pPr>
      <w:r w:rsidRPr="00F34274">
        <w:rPr>
          <w:rFonts w:eastAsia="Arial" w:cs="Arial"/>
          <w:color w:val="142855"/>
          <w:sz w:val="22"/>
        </w:rPr>
        <w:t xml:space="preserve">Publication date: </w:t>
      </w:r>
      <w:sdt>
        <w:sdtPr>
          <w:rPr>
            <w:rFonts w:eastAsia="Arial" w:cs="Arial"/>
            <w:color w:val="142855"/>
            <w:sz w:val="22"/>
          </w:rPr>
          <w:alias w:val="month:"/>
          <w:tag w:val="month:"/>
          <w:id w:val="1885833746"/>
          <w:placeholder>
            <w:docPart w:val="DDA389174ACB45C1A3071001235975E9"/>
          </w:placeholder>
          <w15:appearance w15:val="hidden"/>
        </w:sdtPr>
        <w:sdtEndPr/>
        <w:sdtContent>
          <w:r w:rsidR="001B5883">
            <w:rPr>
              <w:rFonts w:eastAsia="Arial" w:cs="Arial"/>
              <w:color w:val="142855"/>
              <w:sz w:val="22"/>
            </w:rPr>
            <w:t>May</w:t>
          </w:r>
          <w:r w:rsidR="000E6DAA">
            <w:rPr>
              <w:rFonts w:eastAsia="Arial" w:cs="Arial"/>
              <w:color w:val="142855"/>
              <w:sz w:val="22"/>
            </w:rPr>
            <w:t xml:space="preserve"> 3rd</w:t>
          </w:r>
          <w:r w:rsidRPr="00F34274">
            <w:rPr>
              <w:rFonts w:eastAsia="Arial" w:cs="Arial"/>
              <w:color w:val="142855"/>
              <w:sz w:val="22"/>
            </w:rPr>
            <w:t xml:space="preserve"> 202</w:t>
          </w:r>
          <w:r w:rsidR="0087177A">
            <w:rPr>
              <w:rFonts w:eastAsia="Arial" w:cs="Arial"/>
              <w:color w:val="142855"/>
              <w:sz w:val="22"/>
            </w:rPr>
            <w:t>4</w:t>
          </w:r>
        </w:sdtContent>
      </w:sdt>
      <w:r w:rsidRPr="00F34274">
        <w:rPr>
          <w:rFonts w:eastAsia="SimHei" w:cs="Arial"/>
          <w:iCs/>
          <w:noProof/>
          <w:color w:val="555674"/>
        </w:rPr>
        <w:drawing>
          <wp:anchor distT="0" distB="0" distL="114300" distR="114300" simplePos="0" relativeHeight="251642880" behindDoc="0" locked="1" layoutInCell="1" allowOverlap="1" wp14:anchorId="3EFB1496" wp14:editId="295B863C">
            <wp:simplePos x="0" y="0"/>
            <wp:positionH relativeFrom="margin">
              <wp:posOffset>0</wp:posOffset>
            </wp:positionH>
            <wp:positionV relativeFrom="page">
              <wp:posOffset>9620250</wp:posOffset>
            </wp:positionV>
            <wp:extent cx="6555105" cy="514350"/>
            <wp:effectExtent l="0" t="0" r="0" b="635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55105" cy="514350"/>
                    </a:xfrm>
                    <a:prstGeom prst="rect">
                      <a:avLst/>
                    </a:prstGeom>
                  </pic:spPr>
                </pic:pic>
              </a:graphicData>
            </a:graphic>
            <wp14:sizeRelH relativeFrom="margin">
              <wp14:pctWidth>0</wp14:pctWidth>
            </wp14:sizeRelH>
            <wp14:sizeRelV relativeFrom="margin">
              <wp14:pctHeight>0</wp14:pctHeight>
            </wp14:sizeRelV>
          </wp:anchor>
        </w:drawing>
      </w:r>
      <w:bookmarkEnd w:id="201"/>
    </w:p>
    <w:sectPr w:rsidR="009E00AB" w:rsidRPr="002E528C" w:rsidSect="00ED2122">
      <w:headerReference w:type="even" r:id="rId94"/>
      <w:headerReference w:type="default" r:id="rId95"/>
      <w:headerReference w:type="first" r:id="rId96"/>
      <w:footerReference w:type="first" r:id="rId97"/>
      <w:pgSz w:w="11906" w:h="16838"/>
      <w:pgMar w:top="1440" w:right="1080" w:bottom="1440" w:left="1080" w:header="624"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Nicole Cheng" w:date="2024-04-23T14:09:00Z" w:initials="NC">
    <w:p w14:paraId="2DB38073" w14:textId="2193C7B4" w:rsidR="009F0EB6" w:rsidRDefault="009F0EB6" w:rsidP="009F0EB6">
      <w:pPr>
        <w:pStyle w:val="CommentText"/>
      </w:pPr>
      <w:r>
        <w:rPr>
          <w:rStyle w:val="CommentReference"/>
        </w:rPr>
        <w:annotationRef/>
      </w:r>
      <w:r>
        <w:t xml:space="preserve">The combo of grey text on this light blue background is hard to read and I think it wouldn’t pass accessibility requirements. Could we switch all of this light grey text in this diagram over to either black or Ink blue (HEX #142855) please </w:t>
      </w:r>
    </w:p>
  </w:comment>
  <w:comment w:id="48" w:author="Leandro Baldelli" w:date="2024-04-26T10:40:00Z" w:initials="LB">
    <w:p w14:paraId="19F03D3C" w14:textId="77777777" w:rsidR="00696201" w:rsidRDefault="00696201" w:rsidP="00696201">
      <w:pPr>
        <w:pStyle w:val="CommentText"/>
      </w:pPr>
      <w:r>
        <w:rPr>
          <w:rStyle w:val="CommentReference"/>
        </w:rPr>
        <w:annotationRef/>
      </w:r>
      <w:r>
        <w:t>Thanks, have changed colours/ colours combinations according to BBB guidelines/ BBB accessibility guidelines</w:t>
      </w:r>
    </w:p>
  </w:comment>
  <w:comment w:id="49" w:author="Nicole Cheng" w:date="2024-05-01T10:34:00Z" w:initials="NC">
    <w:p w14:paraId="010C95CA" w14:textId="77777777" w:rsidR="00BF722E" w:rsidRDefault="00B06FEC" w:rsidP="00BF722E">
      <w:pPr>
        <w:pStyle w:val="CommentText"/>
      </w:pPr>
      <w:r>
        <w:rPr>
          <w:rStyle w:val="CommentReference"/>
        </w:rPr>
        <w:annotationRef/>
      </w:r>
      <w:r w:rsidR="00BF722E">
        <w:t xml:space="preserve">Not sure why the ‘10’ shape (under Longer term outcomes and impacts’) is a different size to all of the other numbers? Colour is still hard to read with white text, lets just keep this to our navy blue </w:t>
      </w:r>
      <w:r w:rsidR="00BF722E">
        <w:rPr>
          <w:color w:val="000000"/>
        </w:rPr>
        <w:t xml:space="preserve">HEX #142855 </w:t>
      </w:r>
    </w:p>
    <w:p w14:paraId="5ADB288B" w14:textId="77777777" w:rsidR="00BF722E" w:rsidRDefault="00BF722E" w:rsidP="00BF722E">
      <w:pPr>
        <w:pStyle w:val="CommentText"/>
      </w:pPr>
    </w:p>
    <w:p w14:paraId="24AF4540" w14:textId="77777777" w:rsidR="00BF722E" w:rsidRDefault="00BF722E" w:rsidP="00BF722E">
      <w:pPr>
        <w:pStyle w:val="CommentText"/>
      </w:pPr>
      <w:r>
        <w:t xml:space="preserve">In terms of colours, there’s a few that are not part of our BBB colour palette? </w:t>
      </w:r>
    </w:p>
    <w:p w14:paraId="730064A4" w14:textId="77777777" w:rsidR="00BF722E" w:rsidRDefault="00BF722E" w:rsidP="00BF722E">
      <w:pPr>
        <w:pStyle w:val="CommentText"/>
        <w:ind w:left="300"/>
      </w:pPr>
      <w:r>
        <w:t>The blue used to outline the text boxes - could we use our navy blue colour please (</w:t>
      </w:r>
      <w:r>
        <w:rPr>
          <w:color w:val="000000"/>
        </w:rPr>
        <w:t>HEX #142855)</w:t>
      </w:r>
    </w:p>
    <w:p w14:paraId="7121D0DA" w14:textId="77777777" w:rsidR="00BF722E" w:rsidRDefault="00BF722E" w:rsidP="00BF722E">
      <w:pPr>
        <w:pStyle w:val="CommentText"/>
        <w:ind w:left="300"/>
      </w:pPr>
      <w:r>
        <w:t xml:space="preserve">The purple used for the ‘legend’ </w:t>
      </w:r>
    </w:p>
    <w:p w14:paraId="39561CFA" w14:textId="77777777" w:rsidR="00BF722E" w:rsidRDefault="00BF722E" w:rsidP="00BF722E">
      <w:pPr>
        <w:pStyle w:val="CommentText"/>
        <w:ind w:left="300"/>
      </w:pPr>
      <w:r>
        <w:t xml:space="preserve">the green used for ‘RAP specific activities’ </w:t>
      </w:r>
    </w:p>
    <w:p w14:paraId="37A27E4F" w14:textId="77777777" w:rsidR="00BF722E" w:rsidRDefault="00BF722E" w:rsidP="00BF722E">
      <w:pPr>
        <w:pStyle w:val="CommentText"/>
        <w:ind w:left="300"/>
      </w:pPr>
    </w:p>
    <w:p w14:paraId="11ACA4D7" w14:textId="77777777" w:rsidR="00BF722E" w:rsidRDefault="00BF722E" w:rsidP="00BF722E">
      <w:pPr>
        <w:pStyle w:val="CommentText"/>
        <w:ind w:left="300"/>
      </w:pPr>
      <w:r>
        <w:t>I’d avoid using so many different bright colours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B38073" w15:done="0"/>
  <w15:commentEx w15:paraId="19F03D3C" w15:paraIdParent="2DB38073" w15:done="0"/>
  <w15:commentEx w15:paraId="11ACA4D7" w15:paraIdParent="2DB380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E0588B" w16cex:dateUtc="2024-04-23T13:09:00Z"/>
  <w16cex:commentExtensible w16cex:durableId="6D39E300" w16cex:dateUtc="2024-04-26T09:40:00Z"/>
  <w16cex:commentExtensible w16cex:durableId="6E808A10" w16cex:dateUtc="2024-05-01T0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38073" w16cid:durableId="1CE0588B"/>
  <w16cid:commentId w16cid:paraId="19F03D3C" w16cid:durableId="6D39E300"/>
  <w16cid:commentId w16cid:paraId="11ACA4D7" w16cid:durableId="6E808A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C52E4" w14:textId="77777777" w:rsidR="00ED2122" w:rsidRDefault="00ED2122" w:rsidP="00016B1D">
      <w:pPr>
        <w:spacing w:after="0" w:line="240" w:lineRule="auto"/>
      </w:pPr>
      <w:r>
        <w:separator/>
      </w:r>
    </w:p>
  </w:endnote>
  <w:endnote w:type="continuationSeparator" w:id="0">
    <w:p w14:paraId="01CC532D" w14:textId="77777777" w:rsidR="00ED2122" w:rsidRDefault="00ED2122" w:rsidP="00016B1D">
      <w:pPr>
        <w:spacing w:after="0" w:line="240" w:lineRule="auto"/>
      </w:pPr>
      <w:r>
        <w:continuationSeparator/>
      </w:r>
    </w:p>
  </w:endnote>
  <w:endnote w:type="continuationNotice" w:id="1">
    <w:p w14:paraId="06404B1A" w14:textId="77777777" w:rsidR="00ED2122" w:rsidRDefault="00ED2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Body CS)">
    <w:altName w:val="Arial"/>
    <w:charset w:val="00"/>
    <w:family w:val="roman"/>
    <w:pitch w:val="default"/>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C82A" w14:textId="6B05A559" w:rsidR="00EC1B2B" w:rsidRDefault="00EC1B2B">
    <w:pPr>
      <w:pStyle w:val="Footer"/>
    </w:pPr>
    <w:r>
      <w:rPr>
        <w:noProof/>
      </w:rPr>
      <w:drawing>
        <wp:anchor distT="0" distB="0" distL="114300" distR="114300" simplePos="0" relativeHeight="251657216" behindDoc="1" locked="1" layoutInCell="1" allowOverlap="1" wp14:anchorId="52A530C1" wp14:editId="3CDE8DCD">
          <wp:simplePos x="0" y="0"/>
          <wp:positionH relativeFrom="page">
            <wp:posOffset>10160</wp:posOffset>
          </wp:positionH>
          <wp:positionV relativeFrom="page">
            <wp:posOffset>7620</wp:posOffset>
          </wp:positionV>
          <wp:extent cx="7559675" cy="10691495"/>
          <wp:effectExtent l="0" t="0" r="3175" b="0"/>
          <wp:wrapNone/>
          <wp:docPr id="1403494142" name="Picture 140349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10109" w:type="dxa"/>
      <w:tblLayout w:type="fixed"/>
      <w:tblLook w:val="04A0" w:firstRow="1" w:lastRow="0" w:firstColumn="1" w:lastColumn="0" w:noHBand="0" w:noVBand="1"/>
    </w:tblPr>
    <w:tblGrid>
      <w:gridCol w:w="5161"/>
      <w:gridCol w:w="3247"/>
      <w:gridCol w:w="1701"/>
    </w:tblGrid>
    <w:tr w:rsidR="00D5030F" w:rsidRPr="00B27E6F" w14:paraId="5FFDCBF1" w14:textId="77777777" w:rsidTr="00DB013F">
      <w:trPr>
        <w:trHeight w:hRule="exact" w:val="397"/>
      </w:trPr>
      <w:tc>
        <w:tcPr>
          <w:cnfStyle w:val="001000000000" w:firstRow="0" w:lastRow="0" w:firstColumn="1" w:lastColumn="0" w:oddVBand="0" w:evenVBand="0" w:oddHBand="0" w:evenHBand="0" w:firstRowFirstColumn="0" w:firstRowLastColumn="0" w:lastRowFirstColumn="0" w:lastRowLastColumn="0"/>
          <w:tcW w:w="5161" w:type="dxa"/>
        </w:tcPr>
        <w:p w14:paraId="49939583" w14:textId="77777777" w:rsidR="00D5030F" w:rsidRPr="00B27E6F" w:rsidRDefault="00D5030F" w:rsidP="00DB013F">
          <w:pPr>
            <w:pStyle w:val="Footer9pt"/>
            <w:rPr>
              <w:b w:val="0"/>
              <w:bCs/>
            </w:rPr>
          </w:pPr>
          <w:r w:rsidRPr="00B27E6F">
            <w:rPr>
              <w:bCs/>
            </w:rPr>
            <w:t>British Business Bank</w:t>
          </w:r>
        </w:p>
      </w:tc>
      <w:tc>
        <w:tcPr>
          <w:tcW w:w="3247" w:type="dxa"/>
        </w:tcPr>
        <w:p w14:paraId="3DDB9935" w14:textId="77777777" w:rsidR="00D5030F" w:rsidRPr="00B27E6F" w:rsidRDefault="00D5030F" w:rsidP="00DB013F">
          <w:pPr>
            <w:pStyle w:val="Footer9pt"/>
            <w:cnfStyle w:val="000000000000" w:firstRow="0" w:lastRow="0" w:firstColumn="0" w:lastColumn="0" w:oddVBand="0" w:evenVBand="0" w:oddHBand="0" w:evenHBand="0" w:firstRowFirstColumn="0" w:firstRowLastColumn="0" w:lastRowFirstColumn="0" w:lastRowLastColumn="0"/>
          </w:pPr>
          <w:r>
            <w:t>british</w:t>
          </w:r>
          <w:r w:rsidRPr="00B27E6F">
            <w:t>-business-bank.co.uk</w:t>
          </w:r>
        </w:p>
      </w:tc>
      <w:tc>
        <w:tcPr>
          <w:tcW w:w="1701" w:type="dxa"/>
        </w:tcPr>
        <w:p w14:paraId="2C915F32" w14:textId="77777777" w:rsidR="00D5030F" w:rsidRPr="00B27E6F" w:rsidRDefault="00D5030F" w:rsidP="00DB013F">
          <w:pPr>
            <w:pStyle w:val="Footer9pt"/>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Arabic  \* MERGEFORMAT </w:instrText>
          </w:r>
          <w:r>
            <w:fldChar w:fldCharType="separate"/>
          </w:r>
          <w:r>
            <w:rPr>
              <w:noProof/>
            </w:rPr>
            <w:t>1</w:t>
          </w:r>
          <w:r>
            <w:fldChar w:fldCharType="end"/>
          </w:r>
        </w:p>
      </w:tc>
    </w:tr>
  </w:tbl>
  <w:p w14:paraId="2685C108" w14:textId="77777777" w:rsidR="00D5030F" w:rsidRDefault="00D50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10109" w:type="dxa"/>
      <w:tblLayout w:type="fixed"/>
      <w:tblLook w:val="04A0" w:firstRow="1" w:lastRow="0" w:firstColumn="1" w:lastColumn="0" w:noHBand="0" w:noVBand="1"/>
    </w:tblPr>
    <w:tblGrid>
      <w:gridCol w:w="5161"/>
      <w:gridCol w:w="3247"/>
      <w:gridCol w:w="1701"/>
    </w:tblGrid>
    <w:tr w:rsidR="007B437E" w:rsidRPr="00B27E6F" w14:paraId="1E736AEE" w14:textId="77777777" w:rsidTr="00DB013F">
      <w:trPr>
        <w:trHeight w:hRule="exact" w:val="397"/>
      </w:trPr>
      <w:tc>
        <w:tcPr>
          <w:cnfStyle w:val="001000000000" w:firstRow="0" w:lastRow="0" w:firstColumn="1" w:lastColumn="0" w:oddVBand="0" w:evenVBand="0" w:oddHBand="0" w:evenHBand="0" w:firstRowFirstColumn="0" w:firstRowLastColumn="0" w:lastRowFirstColumn="0" w:lastRowLastColumn="0"/>
          <w:tcW w:w="5161" w:type="dxa"/>
        </w:tcPr>
        <w:p w14:paraId="77C99C52" w14:textId="77777777" w:rsidR="007B437E" w:rsidRPr="00B27E6F" w:rsidRDefault="007B437E" w:rsidP="00DB013F">
          <w:pPr>
            <w:pStyle w:val="Footer9pt"/>
            <w:rPr>
              <w:b w:val="0"/>
              <w:bCs/>
            </w:rPr>
          </w:pPr>
          <w:r w:rsidRPr="00B27E6F">
            <w:rPr>
              <w:bCs/>
            </w:rPr>
            <w:t>British Business Bank</w:t>
          </w:r>
        </w:p>
      </w:tc>
      <w:tc>
        <w:tcPr>
          <w:tcW w:w="3247" w:type="dxa"/>
        </w:tcPr>
        <w:p w14:paraId="0C7EFE63" w14:textId="77777777" w:rsidR="007B437E" w:rsidRPr="00B27E6F" w:rsidRDefault="007B437E" w:rsidP="00DB013F">
          <w:pPr>
            <w:pStyle w:val="Footer9pt"/>
            <w:cnfStyle w:val="000000000000" w:firstRow="0" w:lastRow="0" w:firstColumn="0" w:lastColumn="0" w:oddVBand="0" w:evenVBand="0" w:oddHBand="0" w:evenHBand="0" w:firstRowFirstColumn="0" w:firstRowLastColumn="0" w:lastRowFirstColumn="0" w:lastRowLastColumn="0"/>
          </w:pPr>
          <w:r>
            <w:t>british</w:t>
          </w:r>
          <w:r w:rsidRPr="00B27E6F">
            <w:t>-business-bank.co.uk</w:t>
          </w:r>
        </w:p>
      </w:tc>
      <w:tc>
        <w:tcPr>
          <w:tcW w:w="1701" w:type="dxa"/>
        </w:tcPr>
        <w:p w14:paraId="7EF1D488" w14:textId="77777777" w:rsidR="007B437E" w:rsidRPr="00B27E6F" w:rsidRDefault="007B437E" w:rsidP="00DB013F">
          <w:pPr>
            <w:pStyle w:val="Footer9pt"/>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Arabic  \* MERGEFORMAT </w:instrText>
          </w:r>
          <w:r>
            <w:fldChar w:fldCharType="separate"/>
          </w:r>
          <w:r>
            <w:rPr>
              <w:noProof/>
            </w:rPr>
            <w:t>1</w:t>
          </w:r>
          <w:r>
            <w:fldChar w:fldCharType="end"/>
          </w:r>
        </w:p>
      </w:tc>
    </w:tr>
  </w:tbl>
  <w:p w14:paraId="4CD9FA50" w14:textId="77777777" w:rsidR="007B437E" w:rsidRDefault="007B43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10109" w:type="dxa"/>
      <w:tblLayout w:type="fixed"/>
      <w:tblLook w:val="04A0" w:firstRow="1" w:lastRow="0" w:firstColumn="1" w:lastColumn="0" w:noHBand="0" w:noVBand="1"/>
    </w:tblPr>
    <w:tblGrid>
      <w:gridCol w:w="5161"/>
      <w:gridCol w:w="3247"/>
      <w:gridCol w:w="1701"/>
    </w:tblGrid>
    <w:tr w:rsidR="00CD60C2" w:rsidRPr="00B27E6F" w14:paraId="4F550E68" w14:textId="77777777" w:rsidTr="00DB013F">
      <w:trPr>
        <w:trHeight w:hRule="exact" w:val="397"/>
      </w:trPr>
      <w:tc>
        <w:tcPr>
          <w:cnfStyle w:val="001000000000" w:firstRow="0" w:lastRow="0" w:firstColumn="1" w:lastColumn="0" w:oddVBand="0" w:evenVBand="0" w:oddHBand="0" w:evenHBand="0" w:firstRowFirstColumn="0" w:firstRowLastColumn="0" w:lastRowFirstColumn="0" w:lastRowLastColumn="0"/>
          <w:tcW w:w="5161" w:type="dxa"/>
        </w:tcPr>
        <w:p w14:paraId="32CB3C6C" w14:textId="77777777" w:rsidR="00CD60C2" w:rsidRPr="00B27E6F" w:rsidRDefault="00CD60C2" w:rsidP="00DB013F">
          <w:pPr>
            <w:pStyle w:val="Footer9pt"/>
            <w:rPr>
              <w:b w:val="0"/>
              <w:bCs/>
            </w:rPr>
          </w:pPr>
          <w:r w:rsidRPr="00B27E6F">
            <w:rPr>
              <w:bCs/>
            </w:rPr>
            <w:t>British Business Bank</w:t>
          </w:r>
        </w:p>
      </w:tc>
      <w:tc>
        <w:tcPr>
          <w:tcW w:w="3247" w:type="dxa"/>
        </w:tcPr>
        <w:p w14:paraId="39D9C018" w14:textId="77777777" w:rsidR="00CD60C2" w:rsidRPr="00B27E6F" w:rsidRDefault="00CD60C2" w:rsidP="00DB013F">
          <w:pPr>
            <w:pStyle w:val="Footer9pt"/>
            <w:cnfStyle w:val="000000000000" w:firstRow="0" w:lastRow="0" w:firstColumn="0" w:lastColumn="0" w:oddVBand="0" w:evenVBand="0" w:oddHBand="0" w:evenHBand="0" w:firstRowFirstColumn="0" w:firstRowLastColumn="0" w:lastRowFirstColumn="0" w:lastRowLastColumn="0"/>
          </w:pPr>
          <w:r>
            <w:t>british</w:t>
          </w:r>
          <w:r w:rsidRPr="00B27E6F">
            <w:t>-business-bank.co.uk</w:t>
          </w:r>
        </w:p>
      </w:tc>
      <w:tc>
        <w:tcPr>
          <w:tcW w:w="1701" w:type="dxa"/>
        </w:tcPr>
        <w:p w14:paraId="71AB2FC8" w14:textId="77777777" w:rsidR="00CD60C2" w:rsidRPr="00B27E6F" w:rsidRDefault="00CD60C2" w:rsidP="00DB013F">
          <w:pPr>
            <w:pStyle w:val="Footer9pt"/>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Arabic  \* MERGEFORMAT </w:instrText>
          </w:r>
          <w:r>
            <w:fldChar w:fldCharType="separate"/>
          </w:r>
          <w:r>
            <w:rPr>
              <w:noProof/>
            </w:rPr>
            <w:t>1</w:t>
          </w:r>
          <w:r>
            <w:fldChar w:fldCharType="end"/>
          </w:r>
        </w:p>
      </w:tc>
    </w:tr>
  </w:tbl>
  <w:p w14:paraId="0D168446" w14:textId="77777777" w:rsidR="00CD60C2" w:rsidRDefault="00CD60C2">
    <w:pPr>
      <w:pStyle w:val="Footer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DFB9" w14:textId="77777777" w:rsidR="00F267E5" w:rsidRPr="00240A4C" w:rsidRDefault="00F267E5" w:rsidP="00240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59C5" w14:textId="77777777" w:rsidR="00ED2122" w:rsidRDefault="00ED2122" w:rsidP="00016B1D">
      <w:pPr>
        <w:spacing w:after="0" w:line="240" w:lineRule="auto"/>
      </w:pPr>
      <w:r>
        <w:separator/>
      </w:r>
    </w:p>
  </w:footnote>
  <w:footnote w:type="continuationSeparator" w:id="0">
    <w:p w14:paraId="20906F43" w14:textId="77777777" w:rsidR="00ED2122" w:rsidRDefault="00ED2122" w:rsidP="00016B1D">
      <w:pPr>
        <w:spacing w:after="0" w:line="240" w:lineRule="auto"/>
      </w:pPr>
      <w:r>
        <w:continuationSeparator/>
      </w:r>
    </w:p>
  </w:footnote>
  <w:footnote w:type="continuationNotice" w:id="1">
    <w:p w14:paraId="5A1E4DD5" w14:textId="77777777" w:rsidR="00ED2122" w:rsidRDefault="00ED2122">
      <w:pPr>
        <w:spacing w:after="0" w:line="240" w:lineRule="auto"/>
      </w:pPr>
    </w:p>
  </w:footnote>
  <w:footnote w:id="2">
    <w:p w14:paraId="3424C960" w14:textId="77777777" w:rsidR="00442DA1" w:rsidRDefault="00442DA1" w:rsidP="00464FC0">
      <w:pPr>
        <w:pStyle w:val="FootnoteText"/>
      </w:pPr>
      <w:r>
        <w:rPr>
          <w:rStyle w:val="FootnoteReference"/>
        </w:rPr>
        <w:footnoteRef/>
      </w:r>
      <w:r>
        <w:t xml:space="preserve"> British Business Bank – Regional Angels Programme Business Case</w:t>
      </w:r>
    </w:p>
  </w:footnote>
  <w:footnote w:id="3">
    <w:p w14:paraId="024E4816" w14:textId="1394165A" w:rsidR="00442DA1" w:rsidRDefault="00442DA1" w:rsidP="00464FC0">
      <w:pPr>
        <w:pStyle w:val="FootnoteText"/>
      </w:pPr>
      <w:r>
        <w:rPr>
          <w:rStyle w:val="FootnoteReference"/>
        </w:rPr>
        <w:footnoteRef/>
      </w:r>
      <w:r>
        <w:t xml:space="preserve"> A “Partner” in this instance refers to the business angel(s)/ syndicate who was successful in applying to the scheme and disbursed funding to SMEs through a co-investment structure with the </w:t>
      </w:r>
      <w:r w:rsidR="00F30C56">
        <w:t xml:space="preserve">BBI </w:t>
      </w:r>
      <w:r>
        <w:t>(between 50% to 80% of the financing was provided by the private investor(s)).</w:t>
      </w:r>
    </w:p>
  </w:footnote>
  <w:footnote w:id="4">
    <w:p w14:paraId="1030302A" w14:textId="77777777" w:rsidR="00442DA1" w:rsidRDefault="00442DA1" w:rsidP="00464FC0">
      <w:pPr>
        <w:pStyle w:val="FootnoteText"/>
      </w:pPr>
      <w:r>
        <w:rPr>
          <w:rStyle w:val="FootnoteReference"/>
        </w:rPr>
        <w:footnoteRef/>
      </w:r>
      <w:r>
        <w:t xml:space="preserve"> </w:t>
      </w:r>
      <w:hyperlink r:id="rId1" w:history="1">
        <w:r w:rsidRPr="005071BE">
          <w:rPr>
            <w:rStyle w:val="Hyperlink"/>
          </w:rPr>
          <w:t>Interim Evaluation of BPC, February 2023</w:t>
        </w:r>
      </w:hyperlink>
      <w:r>
        <w:t xml:space="preserve"> </w:t>
      </w:r>
    </w:p>
  </w:footnote>
  <w:footnote w:id="5">
    <w:p w14:paraId="23B46945" w14:textId="77777777" w:rsidR="00442DA1" w:rsidRDefault="00442DA1" w:rsidP="00464FC0">
      <w:pPr>
        <w:pStyle w:val="FootnoteText"/>
      </w:pPr>
      <w:r>
        <w:rPr>
          <w:rStyle w:val="FootnoteReference"/>
        </w:rPr>
        <w:footnoteRef/>
      </w:r>
      <w:r>
        <w:t xml:space="preserve"> </w:t>
      </w:r>
      <w:hyperlink r:id="rId2" w:history="1">
        <w:r w:rsidRPr="00572100">
          <w:rPr>
            <w:rStyle w:val="Hyperlink"/>
          </w:rPr>
          <w:t>The Enterprise Investment Scheme (EIS) and the Seed Enterprise Investment Scheme (SEIS) are two Government schemes designed to help small or medium sized companies grow by attracting investment.</w:t>
        </w:r>
      </w:hyperlink>
    </w:p>
  </w:footnote>
  <w:footnote w:id="6">
    <w:p w14:paraId="6FE290C2" w14:textId="0EF80AC5" w:rsidR="00442DA1" w:rsidRDefault="00442DA1" w:rsidP="00464FC0">
      <w:pPr>
        <w:pStyle w:val="FootnoteText"/>
      </w:pPr>
      <w:r>
        <w:rPr>
          <w:rStyle w:val="FootnoteReference"/>
        </w:rPr>
        <w:footnoteRef/>
      </w:r>
      <w:r>
        <w:t xml:space="preserve"> </w:t>
      </w:r>
      <w:hyperlink r:id="rId3" w:history="1">
        <w:r w:rsidRPr="00572100">
          <w:rPr>
            <w:rStyle w:val="Hyperlink"/>
          </w:rPr>
          <w:t>The UK Business Angels Market 2020 – UKBAA, British Business Bank</w:t>
        </w:r>
      </w:hyperlink>
    </w:p>
  </w:footnote>
  <w:footnote w:id="7">
    <w:p w14:paraId="403F713A" w14:textId="6949AEEF" w:rsidR="00D46C33" w:rsidRDefault="00D46C33" w:rsidP="00464FC0">
      <w:pPr>
        <w:pStyle w:val="FootnoteText"/>
      </w:pPr>
      <w:r>
        <w:rPr>
          <w:rStyle w:val="FootnoteReference"/>
        </w:rPr>
        <w:footnoteRef/>
      </w:r>
      <w:r>
        <w:t xml:space="preserve"> </w:t>
      </w:r>
      <w:r w:rsidR="00BB6984">
        <w:t>ibid</w:t>
      </w:r>
      <w:r>
        <w:t xml:space="preserve"> </w:t>
      </w:r>
    </w:p>
  </w:footnote>
  <w:footnote w:id="8">
    <w:p w14:paraId="5A617534" w14:textId="332A2927" w:rsidR="07F50397" w:rsidRDefault="07F50397" w:rsidP="00464FC0">
      <w:pPr>
        <w:pStyle w:val="FootnoteText"/>
      </w:pPr>
      <w:r w:rsidRPr="07F50397">
        <w:rPr>
          <w:rStyle w:val="FootnoteReference"/>
        </w:rPr>
        <w:footnoteRef/>
      </w:r>
      <w:r>
        <w:t xml:space="preserve"> </w:t>
      </w:r>
      <w:hyperlink r:id="rId4">
        <w:r w:rsidRPr="07F50397">
          <w:rPr>
            <w:rStyle w:val="Hyperlink"/>
          </w:rPr>
          <w:t>British Business Bank</w:t>
        </w:r>
      </w:hyperlink>
    </w:p>
  </w:footnote>
  <w:footnote w:id="9">
    <w:p w14:paraId="2D4F70EE" w14:textId="77777777" w:rsidR="00442DA1" w:rsidRDefault="00442DA1" w:rsidP="00464FC0">
      <w:pPr>
        <w:pStyle w:val="FootnoteText"/>
      </w:pPr>
      <w:r>
        <w:rPr>
          <w:rStyle w:val="FootnoteReference"/>
        </w:rPr>
        <w:footnoteRef/>
      </w:r>
      <w:r>
        <w:t xml:space="preserve"> </w:t>
      </w:r>
      <w:hyperlink r:id="rId5" w:history="1">
        <w:r w:rsidRPr="00994803">
          <w:rPr>
            <w:rStyle w:val="Hyperlink"/>
          </w:rPr>
          <w:t>British Business Bank</w:t>
        </w:r>
      </w:hyperlink>
    </w:p>
  </w:footnote>
  <w:footnote w:id="10">
    <w:p w14:paraId="305ADD64" w14:textId="77777777" w:rsidR="00442DA1" w:rsidRDefault="00442DA1" w:rsidP="00464FC0">
      <w:pPr>
        <w:pStyle w:val="FootnoteText"/>
      </w:pPr>
      <w:r>
        <w:rPr>
          <w:rStyle w:val="FootnoteReference"/>
        </w:rPr>
        <w:footnoteRef/>
      </w:r>
      <w:r>
        <w:t xml:space="preserve"> This was noted by the delivery team and within data shared on the RAP Investment Process timelines.</w:t>
      </w:r>
    </w:p>
  </w:footnote>
  <w:footnote w:id="11">
    <w:p w14:paraId="6EA823D0" w14:textId="77777777" w:rsidR="00C43D41" w:rsidRDefault="00C43D41" w:rsidP="00464FC0">
      <w:pPr>
        <w:pStyle w:val="FootnoteText"/>
      </w:pPr>
      <w:r>
        <w:rPr>
          <w:rStyle w:val="FootnoteReference"/>
        </w:rPr>
        <w:footnoteRef/>
      </w:r>
      <w:r>
        <w:t xml:space="preserve"> Alternative models are currently being explored to accommodate angels that aren’t currently FCA regulated. </w:t>
      </w:r>
    </w:p>
  </w:footnote>
  <w:footnote w:id="12">
    <w:p w14:paraId="01DF8F8D" w14:textId="4C2E6A16" w:rsidR="00442DA1" w:rsidRDefault="00442DA1" w:rsidP="00464FC0">
      <w:pPr>
        <w:pStyle w:val="FootnoteText"/>
      </w:pPr>
      <w:r>
        <w:rPr>
          <w:rStyle w:val="FootnoteReference"/>
        </w:rPr>
        <w:footnoteRef/>
      </w:r>
      <w:r>
        <w:t xml:space="preserve"> </w:t>
      </w:r>
      <w:r w:rsidRPr="0005067B">
        <w:t>Harrison, R. (2018). Crossing the chasm: the role of co-investment funds in strengthening the regional business angel ecosystem. Small Enterprise Research, 25(1), 3-22</w:t>
      </w:r>
    </w:p>
  </w:footnote>
  <w:footnote w:id="13">
    <w:p w14:paraId="74172EE0" w14:textId="78BD5948" w:rsidR="0043047B" w:rsidRDefault="0043047B" w:rsidP="00464FC0">
      <w:pPr>
        <w:pStyle w:val="FootnoteText"/>
      </w:pPr>
      <w:r>
        <w:rPr>
          <w:rStyle w:val="FootnoteReference"/>
        </w:rPr>
        <w:footnoteRef/>
      </w:r>
      <w:r>
        <w:t xml:space="preserve"> According to Beauhurst stages of evolution definition</w:t>
      </w:r>
    </w:p>
  </w:footnote>
  <w:footnote w:id="14">
    <w:p w14:paraId="666781CB" w14:textId="0025E9AC" w:rsidR="005A23DA" w:rsidRDefault="005A23DA" w:rsidP="00464FC0">
      <w:pPr>
        <w:pStyle w:val="FootnoteText"/>
      </w:pPr>
      <w:r>
        <w:rPr>
          <w:rStyle w:val="FootnoteReference"/>
        </w:rPr>
        <w:footnoteRef/>
      </w:r>
      <w:r>
        <w:t xml:space="preserve"> This analysis was not conducted by RSM – BBB figure.</w:t>
      </w:r>
    </w:p>
  </w:footnote>
  <w:footnote w:id="15">
    <w:p w14:paraId="63393D86" w14:textId="77777777" w:rsidR="00442DA1" w:rsidRDefault="00442DA1" w:rsidP="00464FC0">
      <w:pPr>
        <w:pStyle w:val="FootnoteText"/>
      </w:pPr>
      <w:r>
        <w:rPr>
          <w:rStyle w:val="FootnoteReference"/>
        </w:rPr>
        <w:footnoteRef/>
      </w:r>
      <w:r>
        <w:t xml:space="preserve"> </w:t>
      </w:r>
      <w:hyperlink r:id="rId6" w:history="1">
        <w:r>
          <w:rPr>
            <w:rStyle w:val="Hyperlink"/>
          </w:rPr>
          <w:t>BBI_RFP_Regional-Angels-Programme-Sep-2022_v3.docx (live.com)</w:t>
        </w:r>
      </w:hyperlink>
    </w:p>
  </w:footnote>
  <w:footnote w:id="16">
    <w:p w14:paraId="38A2240E" w14:textId="77777777" w:rsidR="00442DA1" w:rsidRDefault="00442DA1" w:rsidP="00464FC0">
      <w:pPr>
        <w:pStyle w:val="FootnoteText"/>
      </w:pPr>
      <w:r>
        <w:rPr>
          <w:rStyle w:val="FootnoteReference"/>
        </w:rPr>
        <w:footnoteRef/>
      </w:r>
      <w:r>
        <w:t xml:space="preserve"> </w:t>
      </w:r>
      <w:hyperlink r:id="rId7" w:history="1">
        <w:r>
          <w:rPr>
            <w:rStyle w:val="Hyperlink"/>
          </w:rPr>
          <w:t>https://www.british-business-bank.co.uk/wp-content/uploads/2018/06/Business-Angel-Reportweb.pdf</w:t>
        </w:r>
      </w:hyperlink>
      <w:r w:rsidRPr="009D7CDE">
        <w:rPr>
          <w:rStyle w:val="Hyperlink"/>
          <w:u w:val="none"/>
        </w:rPr>
        <w:t xml:space="preserve"> - Figure 4.28</w:t>
      </w:r>
      <w:r>
        <w:rPr>
          <w:rStyle w:val="Hyperlink"/>
          <w:u w:val="none"/>
        </w:rPr>
        <w:t>:</w:t>
      </w:r>
      <w:r>
        <w:t xml:space="preserve"> “Main challenges that business angels foresee in their role as a business angel in the next 12 months by </w:t>
      </w:r>
      <w:proofErr w:type="gramStart"/>
      <w:r>
        <w:t>location”</w:t>
      </w:r>
      <w:proofErr w:type="gramEnd"/>
    </w:p>
  </w:footnote>
  <w:footnote w:id="17">
    <w:p w14:paraId="674B60BD" w14:textId="4D826EA4" w:rsidR="00A1137D" w:rsidRDefault="00A1137D" w:rsidP="00464FC0">
      <w:pPr>
        <w:pStyle w:val="FootnoteText"/>
      </w:pPr>
      <w:r>
        <w:rPr>
          <w:rStyle w:val="FootnoteReference"/>
        </w:rPr>
        <w:footnoteRef/>
      </w:r>
      <w:r>
        <w:t xml:space="preserve"> Modelled impacts are based on outturns of the initial cohort only (received RAP funding between 2020/21)</w:t>
      </w:r>
      <w:r w:rsidR="00780EF4">
        <w:t>.</w:t>
      </w:r>
      <w:r>
        <w:t xml:space="preserve"> </w:t>
      </w:r>
    </w:p>
  </w:footnote>
  <w:footnote w:id="18">
    <w:p w14:paraId="797C2316" w14:textId="2F208365" w:rsidR="001372C4" w:rsidRDefault="001372C4" w:rsidP="00464FC0">
      <w:pPr>
        <w:pStyle w:val="FootnoteText"/>
      </w:pPr>
      <w:r>
        <w:rPr>
          <w:rStyle w:val="FootnoteReference"/>
        </w:rPr>
        <w:footnoteRef/>
      </w:r>
      <w:r>
        <w:t xml:space="preserve"> Now merged into the Department for Business and Trade (DBT)</w:t>
      </w:r>
    </w:p>
  </w:footnote>
  <w:footnote w:id="19">
    <w:p w14:paraId="326FFE47" w14:textId="1BDC824C" w:rsidR="001372C4" w:rsidRDefault="001372C4" w:rsidP="00464FC0">
      <w:pPr>
        <w:pStyle w:val="FootnoteText"/>
      </w:pPr>
      <w:r>
        <w:rPr>
          <w:rStyle w:val="FootnoteReference"/>
        </w:rPr>
        <w:footnoteRef/>
      </w:r>
      <w:r>
        <w:t xml:space="preserve"> Angels that did not apply to the scheme.</w:t>
      </w:r>
    </w:p>
  </w:footnote>
  <w:footnote w:id="20">
    <w:p w14:paraId="6D6E9C03" w14:textId="73798851" w:rsidR="0043047B" w:rsidRDefault="0043047B" w:rsidP="00464FC0">
      <w:pPr>
        <w:pStyle w:val="FootnoteText"/>
      </w:pPr>
      <w:r>
        <w:rPr>
          <w:rStyle w:val="FootnoteReference"/>
        </w:rPr>
        <w:footnoteRef/>
      </w:r>
      <w:bookmarkStart w:id="57" w:name="_Hlk145922220"/>
      <w:r w:rsidRPr="00DF7FF7">
        <w:t>https://assets.publishing.service.gov.uk/government/uploads/system/uploads/attachment_data/file/1018138/BPE_METHODOLOGY___QUALITY_NOTE_2021.pdf</w:t>
      </w:r>
      <w:bookmarkEnd w:id="57"/>
    </w:p>
  </w:footnote>
  <w:footnote w:id="21">
    <w:p w14:paraId="096AD038" w14:textId="426E0A90" w:rsidR="006F4F87" w:rsidRDefault="006F4F87" w:rsidP="00464FC0">
      <w:pPr>
        <w:pStyle w:val="FootnoteText"/>
      </w:pPr>
      <w:r>
        <w:rPr>
          <w:rStyle w:val="FootnoteReference"/>
        </w:rPr>
        <w:footnoteRef/>
      </w:r>
      <w:r>
        <w:t xml:space="preserve"> For more detail on the Methdological approach see Annex G</w:t>
      </w:r>
      <w:r w:rsidR="004A0C15">
        <w:t>.</w:t>
      </w:r>
    </w:p>
  </w:footnote>
  <w:footnote w:id="22">
    <w:p w14:paraId="669AB9B6" w14:textId="77777777" w:rsidR="0043047B" w:rsidRDefault="0043047B" w:rsidP="00464FC0">
      <w:pPr>
        <w:pStyle w:val="FootnoteText"/>
      </w:pPr>
      <w:r>
        <w:rPr>
          <w:rStyle w:val="FootnoteReference"/>
        </w:rPr>
        <w:footnoteRef/>
      </w:r>
      <w:r>
        <w:t xml:space="preserve"> </w:t>
      </w:r>
      <w:hyperlink r:id="rId8" w:history="1">
        <w:r w:rsidRPr="00CA31A3">
          <w:rPr>
            <w:rStyle w:val="Hyperlink"/>
          </w:rPr>
          <w:t>The UK Business Angel Market 2020 – UKBAA, British Business Bank</w:t>
        </w:r>
      </w:hyperlink>
    </w:p>
  </w:footnote>
  <w:footnote w:id="23">
    <w:p w14:paraId="58D368E3" w14:textId="77777777" w:rsidR="0043047B" w:rsidRDefault="0043047B" w:rsidP="00464FC0">
      <w:pPr>
        <w:pStyle w:val="FootnoteText"/>
      </w:pPr>
      <w:r>
        <w:rPr>
          <w:rStyle w:val="FootnoteReference"/>
        </w:rPr>
        <w:footnoteRef/>
      </w:r>
      <w:r>
        <w:t xml:space="preserve"> Note that the region is unknown for some of the deals.</w:t>
      </w:r>
    </w:p>
  </w:footnote>
  <w:footnote w:id="24">
    <w:p w14:paraId="416BAA46" w14:textId="77777777" w:rsidR="0043047B" w:rsidRDefault="0043047B" w:rsidP="00464FC0">
      <w:pPr>
        <w:pStyle w:val="FootnoteText"/>
      </w:pPr>
      <w:r>
        <w:rPr>
          <w:rStyle w:val="FootnoteReference"/>
        </w:rPr>
        <w:footnoteRef/>
      </w:r>
      <w:r>
        <w:t xml:space="preserve"> </w:t>
      </w:r>
      <w:r w:rsidRPr="00F170C8">
        <w:t>Fritsch, M., &amp; Schilder, D. (2008). Does venture capital investment really require spatial proximity? An empirical investigation. </w:t>
      </w:r>
      <w:r w:rsidRPr="00F170C8">
        <w:rPr>
          <w:i/>
          <w:iCs/>
        </w:rPr>
        <w:t>Environment and Planning A, 40</w:t>
      </w:r>
      <w:r w:rsidRPr="00F170C8">
        <w:t>(9), 2114-2131.</w:t>
      </w:r>
    </w:p>
  </w:footnote>
  <w:footnote w:id="25">
    <w:p w14:paraId="5A702927" w14:textId="77777777" w:rsidR="0043047B" w:rsidRDefault="0043047B" w:rsidP="00464FC0">
      <w:pPr>
        <w:pStyle w:val="FootnoteText"/>
      </w:pPr>
      <w:r>
        <w:rPr>
          <w:rStyle w:val="FootnoteReference"/>
        </w:rPr>
        <w:footnoteRef/>
      </w:r>
      <w:r>
        <w:t xml:space="preserve"> </w:t>
      </w:r>
      <w:r w:rsidRPr="00FB3F3F">
        <w:t xml:space="preserve">Chen, H., Gompers, P., Kovner, A., &amp; Lerner, J. (2010). Buy local? The geography of venture capital. </w:t>
      </w:r>
      <w:r w:rsidRPr="00F170C8">
        <w:rPr>
          <w:i/>
          <w:iCs/>
        </w:rPr>
        <w:t>Journal of Urban Economics, 67</w:t>
      </w:r>
      <w:r w:rsidRPr="00FB3F3F">
        <w:t>(1), 90-102.</w:t>
      </w:r>
    </w:p>
  </w:footnote>
  <w:footnote w:id="26">
    <w:p w14:paraId="0A32DFE2" w14:textId="77777777" w:rsidR="0043047B" w:rsidRDefault="0043047B" w:rsidP="00464FC0">
      <w:pPr>
        <w:pStyle w:val="FootnoteText"/>
      </w:pPr>
      <w:r>
        <w:rPr>
          <w:rStyle w:val="FootnoteReference"/>
        </w:rPr>
        <w:footnoteRef/>
      </w:r>
      <w:r>
        <w:t xml:space="preserve"> </w:t>
      </w:r>
      <w:r w:rsidRPr="00FB3F3F">
        <w:t xml:space="preserve">Harrison, R., Mason, C., &amp; Robson, P. (2010). Determinants of long-distance investing by business angels in the UK. </w:t>
      </w:r>
      <w:r w:rsidRPr="00F170C8">
        <w:rPr>
          <w:i/>
          <w:iCs/>
        </w:rPr>
        <w:t>Entrepreneurship and Regional Development, 22</w:t>
      </w:r>
      <w:r w:rsidRPr="00FB3F3F">
        <w:t>(2), 113-137.</w:t>
      </w:r>
    </w:p>
  </w:footnote>
  <w:footnote w:id="27">
    <w:p w14:paraId="5CC38BA9" w14:textId="77777777" w:rsidR="0043047B" w:rsidRDefault="0043047B" w:rsidP="00464FC0">
      <w:pPr>
        <w:pStyle w:val="FootnoteText"/>
      </w:pPr>
      <w:r>
        <w:rPr>
          <w:rStyle w:val="FootnoteReference"/>
        </w:rPr>
        <w:footnoteRef/>
      </w:r>
      <w:r>
        <w:t xml:space="preserve"> </w:t>
      </w:r>
      <w:r w:rsidRPr="00FB3F3F">
        <w:t xml:space="preserve">McNaughton, R. B., &amp; Green, M. B. (1989). Spatial patterns of Canadian venture capital investment. </w:t>
      </w:r>
      <w:r w:rsidRPr="00F170C8">
        <w:rPr>
          <w:i/>
          <w:iCs/>
        </w:rPr>
        <w:t>Regional Studies, 23</w:t>
      </w:r>
      <w:r w:rsidRPr="00FB3F3F">
        <w:t>(1), 9-18.</w:t>
      </w:r>
    </w:p>
  </w:footnote>
  <w:footnote w:id="28">
    <w:p w14:paraId="54D1B2D4" w14:textId="77777777" w:rsidR="0043047B" w:rsidRDefault="0043047B" w:rsidP="00464FC0">
      <w:pPr>
        <w:pStyle w:val="FootnoteText"/>
      </w:pPr>
      <w:r>
        <w:rPr>
          <w:rStyle w:val="FootnoteReference"/>
        </w:rPr>
        <w:footnoteRef/>
      </w:r>
      <w:r>
        <w:t xml:space="preserve"> </w:t>
      </w:r>
      <w:r w:rsidRPr="00FB3F3F">
        <w:t xml:space="preserve">Gardiner, B., Martin, R., &amp; Tyler, P. (2012). Competitiveness, productivity and economic growth across the European regions. In </w:t>
      </w:r>
      <w:r w:rsidRPr="00F170C8">
        <w:rPr>
          <w:i/>
          <w:iCs/>
        </w:rPr>
        <w:t>Regional competitiveness</w:t>
      </w:r>
      <w:r w:rsidRPr="00FB3F3F">
        <w:t xml:space="preserve"> (pp. 61-84). Routledge.</w:t>
      </w:r>
    </w:p>
  </w:footnote>
  <w:footnote w:id="29">
    <w:p w14:paraId="621B962D" w14:textId="77777777" w:rsidR="0043047B" w:rsidRDefault="0043047B" w:rsidP="00464FC0">
      <w:pPr>
        <w:pStyle w:val="FootnoteText"/>
      </w:pPr>
      <w:r>
        <w:rPr>
          <w:rStyle w:val="FootnoteReference"/>
        </w:rPr>
        <w:footnoteRef/>
      </w:r>
      <w:r>
        <w:t xml:space="preserve"> </w:t>
      </w:r>
      <w:hyperlink r:id="rId9" w:history="1">
        <w:r>
          <w:rPr>
            <w:rStyle w:val="Hyperlink"/>
          </w:rPr>
          <w:t>Enterprise Investment Scheme, Seed Enterprise Investment Scheme and Social Investment Tax Relief statistics: 2023 - GOV.UK (www.gov.uk)</w:t>
        </w:r>
      </w:hyperlink>
    </w:p>
  </w:footnote>
  <w:footnote w:id="30">
    <w:p w14:paraId="575D2133" w14:textId="77777777" w:rsidR="0043047B" w:rsidRDefault="0043047B" w:rsidP="00464FC0">
      <w:pPr>
        <w:pStyle w:val="FootnoteText"/>
      </w:pPr>
      <w:r>
        <w:rPr>
          <w:rStyle w:val="FootnoteReference"/>
        </w:rPr>
        <w:footnoteRef/>
      </w:r>
      <w:r>
        <w:t xml:space="preserve"> </w:t>
      </w:r>
      <w:hyperlink r:id="rId10" w:history="1">
        <w:r>
          <w:rPr>
            <w:rStyle w:val="Hyperlink"/>
          </w:rPr>
          <w:t>Increasing the limits of the Seed Enterprise Investment Scheme - GOV.UK (www.gov.uk)</w:t>
        </w:r>
      </w:hyperlink>
    </w:p>
  </w:footnote>
  <w:footnote w:id="31">
    <w:p w14:paraId="70D3DAD6" w14:textId="77777777" w:rsidR="0043047B" w:rsidRDefault="0043047B" w:rsidP="00464FC0">
      <w:pPr>
        <w:pStyle w:val="FootnoteText"/>
      </w:pPr>
      <w:r>
        <w:rPr>
          <w:rStyle w:val="FootnoteReference"/>
        </w:rPr>
        <w:footnoteRef/>
      </w:r>
      <w:r>
        <w:t xml:space="preserve"> </w:t>
      </w:r>
      <w:hyperlink r:id="rId11" w:history="1">
        <w:r>
          <w:rPr>
            <w:rStyle w:val="Hyperlink"/>
          </w:rPr>
          <w:t>COVID-19 lending support and regional levelling up: evidence from UK loan guarantee schemes: Regional Studies: Vol 0, No 0 (tandfonline.com)</w:t>
        </w:r>
      </w:hyperlink>
    </w:p>
  </w:footnote>
  <w:footnote w:id="32">
    <w:p w14:paraId="3EE234B5" w14:textId="25C1A9F3" w:rsidR="00464FC0" w:rsidRDefault="00464FC0" w:rsidP="00464FC0">
      <w:pPr>
        <w:pStyle w:val="FootnoteText"/>
      </w:pPr>
      <w:r>
        <w:rPr>
          <w:rStyle w:val="FootnoteReference"/>
        </w:rPr>
        <w:footnoteRef/>
      </w:r>
      <w:r>
        <w:t xml:space="preserve"> </w:t>
      </w:r>
      <w:hyperlink r:id="rId12" w:history="1">
        <w:r w:rsidRPr="0087177A">
          <w:rPr>
            <w:rStyle w:val="Hyperlink"/>
          </w:rPr>
          <w:t>Cowling, M.,  Nightingale, P. and Wilson, N.  (2023) COVID-19 lending support and regional levelling up: evidence from UK loan guarantee schemes, Regional Studies, 57:11, 2323-2338, DOI: 10.1080/00343404.2022.2159021</w:t>
        </w:r>
      </w:hyperlink>
      <w:r>
        <w:rPr>
          <w:color w:val="000000"/>
        </w:rPr>
        <w:t xml:space="preserve"> </w:t>
      </w:r>
    </w:p>
  </w:footnote>
  <w:footnote w:id="33">
    <w:p w14:paraId="0A7F32DD" w14:textId="77777777" w:rsidR="0043047B" w:rsidRDefault="0043047B" w:rsidP="00464FC0">
      <w:pPr>
        <w:pStyle w:val="FootnoteText"/>
      </w:pPr>
      <w:r>
        <w:rPr>
          <w:rStyle w:val="FootnoteReference"/>
        </w:rPr>
        <w:footnoteRef/>
      </w:r>
      <w:r>
        <w:t xml:space="preserve"> </w:t>
      </w:r>
      <w:hyperlink r:id="rId13" w:history="1">
        <w:r>
          <w:rPr>
            <w:rStyle w:val="Hyperlink"/>
          </w:rPr>
          <w:t>Coronavirus Business Interruption Loan Scheme (CBILS) - British Business Bank (british-business-bank.co.uk)</w:t>
        </w:r>
      </w:hyperlink>
    </w:p>
  </w:footnote>
  <w:footnote w:id="34">
    <w:p w14:paraId="2D1C3278" w14:textId="77777777" w:rsidR="0043047B" w:rsidRDefault="0043047B" w:rsidP="00464FC0">
      <w:pPr>
        <w:pStyle w:val="FootnoteText"/>
      </w:pPr>
      <w:r>
        <w:rPr>
          <w:rStyle w:val="FootnoteReference"/>
        </w:rPr>
        <w:footnoteRef/>
      </w:r>
      <w:r>
        <w:t xml:space="preserve"> These are: 1. target market, 2. investment strategy, 3. track record and expertise, 4. Origination, 5. commercial returns and renumeration, 6. Private sector leverage, 7. Portfolio management, 8. Operational structure, legal and regulatory. See </w:t>
      </w:r>
      <w:hyperlink r:id="rId14" w:history="1">
        <w:r>
          <w:rPr>
            <w:rStyle w:val="Hyperlink"/>
          </w:rPr>
          <w:t>BBI_RFP_Regional-Angels-Programme-Sep-2022_v3.docx (live.com)</w:t>
        </w:r>
      </w:hyperlink>
    </w:p>
  </w:footnote>
  <w:footnote w:id="35">
    <w:p w14:paraId="2DC8EF2D" w14:textId="3BE455F1" w:rsidR="0043047B" w:rsidRDefault="0043047B" w:rsidP="00464FC0">
      <w:pPr>
        <w:pStyle w:val="FootnoteText"/>
      </w:pPr>
      <w:r>
        <w:rPr>
          <w:rStyle w:val="FootnoteReference"/>
        </w:rPr>
        <w:footnoteRef/>
      </w:r>
      <w:r>
        <w:t xml:space="preserve"> </w:t>
      </w:r>
      <w:hyperlink r:id="rId15" w:history="1">
        <w:r>
          <w:rPr>
            <w:rStyle w:val="Hyperlink"/>
          </w:rPr>
          <w:t>BBI_RFP_Regional-Angels-Programme-Sep-2022_v3.docx (live.com)</w:t>
        </w:r>
      </w:hyperlink>
    </w:p>
  </w:footnote>
  <w:footnote w:id="36">
    <w:p w14:paraId="3E299741" w14:textId="77777777" w:rsidR="001160F2" w:rsidRDefault="001160F2" w:rsidP="00464FC0">
      <w:pPr>
        <w:pStyle w:val="FootnoteText"/>
      </w:pPr>
      <w:r>
        <w:rPr>
          <w:rStyle w:val="FootnoteReference"/>
        </w:rPr>
        <w:footnoteRef/>
      </w:r>
      <w:r>
        <w:t xml:space="preserve"> Environmental, Social &amp; Governance factors </w:t>
      </w:r>
    </w:p>
  </w:footnote>
  <w:footnote w:id="37">
    <w:p w14:paraId="5C9C6EA1" w14:textId="77777777" w:rsidR="001160F2" w:rsidRDefault="001160F2" w:rsidP="00464FC0">
      <w:pPr>
        <w:pStyle w:val="FootnoteText"/>
      </w:pPr>
      <w:r>
        <w:rPr>
          <w:rStyle w:val="FootnoteReference"/>
        </w:rPr>
        <w:footnoteRef/>
      </w:r>
      <w:r>
        <w:t xml:space="preserve"> </w:t>
      </w:r>
      <w:hyperlink r:id="rId16" w:history="1">
        <w:r w:rsidRPr="00801050">
          <w:rPr>
            <w:rStyle w:val="Hyperlink"/>
          </w:rPr>
          <w:t>BBI – Request for Proposal Regional Angels Programme</w:t>
        </w:r>
      </w:hyperlink>
      <w:r>
        <w:t xml:space="preserve"> </w:t>
      </w:r>
    </w:p>
  </w:footnote>
  <w:footnote w:id="38">
    <w:p w14:paraId="323A27F1" w14:textId="77777777" w:rsidR="001160F2" w:rsidRDefault="001160F2" w:rsidP="00464FC0">
      <w:pPr>
        <w:pStyle w:val="FootnoteText"/>
      </w:pPr>
      <w:r>
        <w:rPr>
          <w:rStyle w:val="FootnoteReference"/>
        </w:rPr>
        <w:footnoteRef/>
      </w:r>
      <w:r>
        <w:t xml:space="preserve"> </w:t>
      </w:r>
      <w:hyperlink r:id="rId17" w:history="1">
        <w:r>
          <w:rPr>
            <w:rStyle w:val="Hyperlink"/>
          </w:rPr>
          <w:t>The 24 Most Active Angel Networks in the UK | Beauhurst</w:t>
        </w:r>
      </w:hyperlink>
    </w:p>
  </w:footnote>
  <w:footnote w:id="39">
    <w:p w14:paraId="7C1B1BCB" w14:textId="77777777" w:rsidR="001160F2" w:rsidRDefault="001160F2" w:rsidP="00464FC0">
      <w:pPr>
        <w:pStyle w:val="FootnoteText"/>
      </w:pPr>
      <w:r>
        <w:rPr>
          <w:rStyle w:val="FootnoteReference"/>
        </w:rPr>
        <w:footnoteRef/>
      </w:r>
      <w:r>
        <w:t xml:space="preserve"> </w:t>
      </w:r>
      <w:r w:rsidRPr="00CB5D98">
        <w:t>https://committees.parliament.uk/writtenevidence/109214/pdf/</w:t>
      </w:r>
    </w:p>
  </w:footnote>
  <w:footnote w:id="40">
    <w:p w14:paraId="048264C1" w14:textId="4325996F" w:rsidR="007B4981" w:rsidRDefault="007B4981" w:rsidP="00464FC0">
      <w:pPr>
        <w:pStyle w:val="FootnoteText"/>
      </w:pPr>
      <w:r>
        <w:rPr>
          <w:rStyle w:val="FootnoteReference"/>
        </w:rPr>
        <w:footnoteRef/>
      </w:r>
      <w:r>
        <w:t xml:space="preserve"> It must be caveated that there could be several reasons for a delay in the application process. For example, some </w:t>
      </w:r>
      <w:r w:rsidRPr="007B4981">
        <w:t>applicants are put "on hold/</w:t>
      </w:r>
      <w:r>
        <w:t xml:space="preserve"> </w:t>
      </w:r>
      <w:r w:rsidRPr="007B4981">
        <w:t>warm decline" so evidence</w:t>
      </w:r>
      <w:r>
        <w:t xml:space="preserve"> can be provided</w:t>
      </w:r>
      <w:r w:rsidRPr="007B4981">
        <w:t xml:space="preserve"> of their professionalism/</w:t>
      </w:r>
      <w:r>
        <w:t xml:space="preserve"> </w:t>
      </w:r>
      <w:r w:rsidRPr="007B4981">
        <w:t>track record</w:t>
      </w:r>
      <w:r>
        <w:t xml:space="preserve"> or</w:t>
      </w:r>
      <w:r w:rsidRPr="007B4981">
        <w:t xml:space="preserve"> maturity</w:t>
      </w:r>
      <w:r>
        <w:t xml:space="preserve">. Alternative cases </w:t>
      </w:r>
      <w:r w:rsidR="007E7649">
        <w:t>where an applicant also applies for FCA regulated status can take between 6-12 months which can influence the timing.</w:t>
      </w:r>
    </w:p>
  </w:footnote>
  <w:footnote w:id="41">
    <w:p w14:paraId="43E79E80" w14:textId="6D654CFF" w:rsidR="0066383D" w:rsidRDefault="0066383D" w:rsidP="00464FC0">
      <w:pPr>
        <w:pStyle w:val="FootnoteText"/>
      </w:pPr>
      <w:r>
        <w:rPr>
          <w:rStyle w:val="FootnoteReference"/>
        </w:rPr>
        <w:footnoteRef/>
      </w:r>
      <w:r>
        <w:t xml:space="preserve"> </w:t>
      </w:r>
      <w:r>
        <w:rPr>
          <w:rFonts w:ascii="Segoe UI" w:hAnsi="Segoe UI" w:cs="Segoe UI"/>
          <w:color w:val="374151"/>
        </w:rPr>
        <w:t xml:space="preserve">Up </w:t>
      </w:r>
      <w:r w:rsidRPr="0087177A">
        <w:t>to June 2022</w:t>
      </w:r>
      <w:r>
        <w:t xml:space="preserve"> – since then </w:t>
      </w:r>
      <w:r w:rsidRPr="0087177A">
        <w:t xml:space="preserve">the figure for RAP + delivery partners' funding might have decreased, as third-party investor funding </w:t>
      </w:r>
      <w:r>
        <w:t xml:space="preserve">might have </w:t>
      </w:r>
      <w:r w:rsidRPr="0087177A">
        <w:t>increased since.</w:t>
      </w:r>
    </w:p>
  </w:footnote>
  <w:footnote w:id="42">
    <w:p w14:paraId="0F3D57DB" w14:textId="63075855" w:rsidR="00E338AE" w:rsidRDefault="00E338AE" w:rsidP="00464FC0">
      <w:pPr>
        <w:pStyle w:val="FootnoteText"/>
      </w:pPr>
      <w:r>
        <w:rPr>
          <w:rStyle w:val="FootnoteReference"/>
        </w:rPr>
        <w:footnoteRef/>
      </w:r>
      <w:r>
        <w:t xml:space="preserve"> It must be noted however, BBI specific investment has sometimes been restricted within contractual agreements for funding flowing to SMEs within Greater London, as well as a minimum investment limit set for firms based outside Greater London to encourage investment in underrepresented areas.</w:t>
      </w:r>
    </w:p>
  </w:footnote>
  <w:footnote w:id="43">
    <w:p w14:paraId="05344E44" w14:textId="77777777" w:rsidR="005B6F3D" w:rsidRDefault="005B6F3D" w:rsidP="00464FC0">
      <w:pPr>
        <w:pStyle w:val="FootnoteText"/>
      </w:pPr>
      <w:r>
        <w:rPr>
          <w:rStyle w:val="FootnoteReference"/>
        </w:rPr>
        <w:footnoteRef/>
      </w:r>
      <w:r>
        <w:t xml:space="preserve"> </w:t>
      </w:r>
      <w:hyperlink r:id="rId18" w:history="1">
        <w:r w:rsidRPr="00572100">
          <w:rPr>
            <w:rStyle w:val="Hyperlink"/>
          </w:rPr>
          <w:t>The Enterprise Investment Scheme (EIS) and the Seed Enterprise Investment Scheme (SEIS) are two Government schemes designed to help small or medium sized companies grow by attracting investment.</w:t>
        </w:r>
      </w:hyperlink>
    </w:p>
  </w:footnote>
  <w:footnote w:id="44">
    <w:p w14:paraId="42AB480A" w14:textId="77777777" w:rsidR="005B6F3D" w:rsidRDefault="005B6F3D" w:rsidP="00464FC0">
      <w:pPr>
        <w:pStyle w:val="FootnoteText"/>
      </w:pPr>
      <w:r>
        <w:rPr>
          <w:rStyle w:val="FootnoteReference"/>
        </w:rPr>
        <w:footnoteRef/>
      </w:r>
      <w:r>
        <w:t xml:space="preserve"> </w:t>
      </w:r>
      <w:hyperlink r:id="rId19" w:history="1">
        <w:r w:rsidRPr="00572100">
          <w:rPr>
            <w:rStyle w:val="Hyperlink"/>
          </w:rPr>
          <w:t>The UK Business Angels Market 2020 – UKBAA, British Business Bank</w:t>
        </w:r>
      </w:hyperlink>
      <w:r>
        <w:t xml:space="preserve"> </w:t>
      </w:r>
    </w:p>
    <w:p w14:paraId="3FF79075" w14:textId="77777777" w:rsidR="005B6F3D" w:rsidRDefault="005B6F3D" w:rsidP="00464FC0">
      <w:pPr>
        <w:pStyle w:val="FootnoteText"/>
      </w:pPr>
    </w:p>
  </w:footnote>
  <w:footnote w:id="45">
    <w:p w14:paraId="1B5E0C09" w14:textId="77777777" w:rsidR="005B6F3D" w:rsidRDefault="005B6F3D" w:rsidP="00464FC0">
      <w:pPr>
        <w:pStyle w:val="FootnoteText"/>
      </w:pPr>
      <w:r>
        <w:rPr>
          <w:rStyle w:val="FootnoteReference"/>
        </w:rPr>
        <w:footnoteRef/>
      </w:r>
      <w:r>
        <w:t xml:space="preserve"> Based on 2-digit SIC 2007 classifications</w:t>
      </w:r>
    </w:p>
  </w:footnote>
  <w:footnote w:id="46">
    <w:p w14:paraId="020063F4" w14:textId="77777777" w:rsidR="005B6F3D" w:rsidRDefault="005B6F3D" w:rsidP="00464FC0">
      <w:pPr>
        <w:pStyle w:val="FootnoteText"/>
      </w:pPr>
      <w:r>
        <w:rPr>
          <w:rStyle w:val="FootnoteReference"/>
        </w:rPr>
        <w:footnoteRef/>
      </w:r>
      <w:r>
        <w:t xml:space="preserve"> </w:t>
      </w:r>
      <w:hyperlink r:id="rId20" w:history="1">
        <w:r>
          <w:rPr>
            <w:rStyle w:val="Hyperlink"/>
          </w:rPr>
          <w:t>Productivity overview, UK - Office for National Statistics (ons.gov.uk)</w:t>
        </w:r>
      </w:hyperlink>
    </w:p>
  </w:footnote>
  <w:footnote w:id="47">
    <w:p w14:paraId="3A3DB2D4" w14:textId="77777777" w:rsidR="005B6F3D" w:rsidRDefault="005B6F3D" w:rsidP="00464FC0">
      <w:pPr>
        <w:pStyle w:val="FootnoteText"/>
      </w:pPr>
      <w:r>
        <w:rPr>
          <w:rStyle w:val="FootnoteReference"/>
        </w:rPr>
        <w:footnoteRef/>
      </w:r>
      <w:r>
        <w:t xml:space="preserve"> Please see the detailed methodology for commentary on the matching process.</w:t>
      </w:r>
    </w:p>
  </w:footnote>
  <w:footnote w:id="48">
    <w:p w14:paraId="47775A76" w14:textId="7C824106" w:rsidR="00CD0232" w:rsidRDefault="00CD0232" w:rsidP="00464FC0">
      <w:pPr>
        <w:pStyle w:val="FootnoteText"/>
      </w:pPr>
      <w:r>
        <w:rPr>
          <w:rStyle w:val="FootnoteReference"/>
        </w:rPr>
        <w:footnoteRef/>
      </w:r>
      <w:r>
        <w:t xml:space="preserve"> Econometric modelling post matching included a national DiD model and a regional DiDiD model</w:t>
      </w:r>
      <w:r w:rsidR="00CB729A">
        <w:t>.</w:t>
      </w:r>
    </w:p>
  </w:footnote>
  <w:footnote w:id="49">
    <w:p w14:paraId="5FCEB13C" w14:textId="674B5AE5" w:rsidR="008C1586" w:rsidRDefault="008C1586" w:rsidP="00464FC0">
      <w:pPr>
        <w:pStyle w:val="FootnoteText"/>
      </w:pPr>
      <w:r>
        <w:rPr>
          <w:rStyle w:val="FootnoteReference"/>
        </w:rPr>
        <w:footnoteRef/>
      </w:r>
      <w:r>
        <w:t xml:space="preserve"> P-values of 0.76 for the 15% and 0.13 for the 76% funding uplift.</w:t>
      </w:r>
    </w:p>
  </w:footnote>
  <w:footnote w:id="50">
    <w:p w14:paraId="1CD185C7" w14:textId="3C87F3E9" w:rsidR="008C1586" w:rsidRDefault="008C1586" w:rsidP="00464FC0">
      <w:pPr>
        <w:pStyle w:val="FootnoteText"/>
      </w:pPr>
      <w:r>
        <w:rPr>
          <w:rStyle w:val="FootnoteReference"/>
        </w:rPr>
        <w:footnoteRef/>
      </w:r>
      <w:r>
        <w:t xml:space="preserve"> P-values of 0.30 for the 110% and 0.11 for the 150% regional funding uplift.</w:t>
      </w:r>
    </w:p>
  </w:footnote>
  <w:footnote w:id="51">
    <w:p w14:paraId="5E26C143" w14:textId="77777777" w:rsidR="002767B2" w:rsidRDefault="002767B2" w:rsidP="00464FC0">
      <w:pPr>
        <w:pStyle w:val="FootnoteText"/>
      </w:pPr>
      <w:r>
        <w:rPr>
          <w:rStyle w:val="FootnoteReference"/>
        </w:rPr>
        <w:footnoteRef/>
      </w:r>
      <w:r>
        <w:t xml:space="preserve"> The Review of Economics and Statistics, February 2011, 93(1): 338–349</w:t>
      </w:r>
    </w:p>
  </w:footnote>
  <w:footnote w:id="52">
    <w:p w14:paraId="17556C78" w14:textId="34A24F03" w:rsidR="004762F7" w:rsidRDefault="004762F7" w:rsidP="00464FC0">
      <w:pPr>
        <w:pStyle w:val="FootnoteText"/>
      </w:pPr>
      <w:r>
        <w:rPr>
          <w:rStyle w:val="FootnoteReference"/>
        </w:rPr>
        <w:footnoteRef/>
      </w:r>
      <w:r>
        <w:t xml:space="preserve"> £££ indicates that we were not able to calculate Present Value figures as we cannot distinguish yearly allocation of RAP funding from MI data</w:t>
      </w:r>
      <w:r w:rsidR="00E068F6">
        <w:t>. BBI have an additional £150m commitment which has not been included in this table illustration.</w:t>
      </w:r>
    </w:p>
  </w:footnote>
  <w:footnote w:id="53">
    <w:p w14:paraId="58C7F858" w14:textId="02707617" w:rsidR="006171E7" w:rsidRDefault="006171E7" w:rsidP="00464FC0">
      <w:pPr>
        <w:pStyle w:val="FootnoteText"/>
      </w:pPr>
      <w:r>
        <w:rPr>
          <w:rStyle w:val="FootnoteReference"/>
        </w:rPr>
        <w:footnoteRef/>
      </w:r>
      <w:r>
        <w:t xml:space="preserve"> Running costs include staff costs, business expenses, legal fees, and management fees. </w:t>
      </w:r>
    </w:p>
  </w:footnote>
  <w:footnote w:id="54">
    <w:p w14:paraId="35B062CC" w14:textId="77777777" w:rsidR="00A5531C" w:rsidRDefault="00A5531C" w:rsidP="00583028">
      <w:pPr>
        <w:pStyle w:val="f1"/>
      </w:pPr>
      <w:r>
        <w:rPr>
          <w:rStyle w:val="FootnoteReference"/>
        </w:rPr>
        <w:footnoteRef/>
      </w:r>
      <w:r>
        <w:t xml:space="preserve"> </w:t>
      </w:r>
      <w:r w:rsidRPr="0046629E">
        <w:t>British Business Bank -  Regional Angels Programme Business Case</w:t>
      </w:r>
    </w:p>
  </w:footnote>
  <w:footnote w:id="55">
    <w:p w14:paraId="4ACAEEB8" w14:textId="77777777" w:rsidR="00A5531C" w:rsidRDefault="00A5531C" w:rsidP="00583028">
      <w:pPr>
        <w:pStyle w:val="f1"/>
      </w:pPr>
      <w:r>
        <w:rPr>
          <w:rStyle w:val="FootnoteReference"/>
        </w:rPr>
        <w:footnoteRef/>
      </w:r>
      <w:r>
        <w:t xml:space="preserve"> </w:t>
      </w:r>
      <w:hyperlink r:id="rId21" w:history="1">
        <w:r w:rsidRPr="00C518FD">
          <w:rPr>
            <w:rStyle w:val="Hyperlink1"/>
          </w:rPr>
          <w:t>https://www.bbinv.co.uk/wp-content/uploads/2022/11/BBI_RFP_Regional-Angels-Programme-1.pdf</w:t>
        </w:r>
      </w:hyperlink>
      <w:r>
        <w:t xml:space="preserve"> </w:t>
      </w:r>
    </w:p>
  </w:footnote>
  <w:footnote w:id="56">
    <w:p w14:paraId="1CD70410" w14:textId="77777777" w:rsidR="00A5531C" w:rsidRDefault="00A5531C" w:rsidP="00583028">
      <w:pPr>
        <w:pStyle w:val="f1"/>
      </w:pPr>
      <w:r>
        <w:rPr>
          <w:rStyle w:val="FootnoteReference"/>
        </w:rPr>
        <w:footnoteRef/>
      </w:r>
      <w:r>
        <w:t xml:space="preserve"> </w:t>
      </w:r>
      <w:r w:rsidRPr="0046629E">
        <w:t>British Business Bank – Regional Angels Programme Business Case</w:t>
      </w:r>
      <w:r>
        <w:t xml:space="preserve"> </w:t>
      </w:r>
    </w:p>
  </w:footnote>
  <w:footnote w:id="57">
    <w:p w14:paraId="7FC39A2C" w14:textId="77777777" w:rsidR="00A5531C" w:rsidRDefault="00A5531C" w:rsidP="00583028">
      <w:pPr>
        <w:pStyle w:val="f1"/>
      </w:pPr>
      <w:r>
        <w:rPr>
          <w:rStyle w:val="FootnoteReference"/>
        </w:rPr>
        <w:footnoteRef/>
      </w:r>
      <w:r>
        <w:t xml:space="preserve"> </w:t>
      </w:r>
      <w:hyperlink r:id="rId22" w:history="1">
        <w:r w:rsidRPr="00801050">
          <w:rPr>
            <w:rStyle w:val="Hyperlink1"/>
          </w:rPr>
          <w:t>BBI – Request for Proposal Regional Angels Programme</w:t>
        </w:r>
      </w:hyperlink>
      <w:r>
        <w:t xml:space="preserve"> </w:t>
      </w:r>
    </w:p>
  </w:footnote>
  <w:footnote w:id="58">
    <w:p w14:paraId="15EF00CC" w14:textId="77777777" w:rsidR="00A5531C" w:rsidRPr="00F170C8" w:rsidRDefault="00A5531C" w:rsidP="00583028">
      <w:pPr>
        <w:pStyle w:val="f1"/>
        <w:rPr>
          <w:rStyle w:val="Hyperlink"/>
        </w:rPr>
      </w:pPr>
      <w:r>
        <w:rPr>
          <w:rStyle w:val="FootnoteReference"/>
        </w:rPr>
        <w:footnoteRef/>
      </w:r>
      <w:r>
        <w:t xml:space="preserve"> </w:t>
      </w:r>
      <w:hyperlink r:id="rId23" w:history="1">
        <w:r w:rsidRPr="00F170C8">
          <w:rPr>
            <w:rStyle w:val="Hyperlink"/>
          </w:rPr>
          <w:t>Inter-Departmental Business Register (IDBR)</w:t>
        </w:r>
      </w:hyperlink>
    </w:p>
  </w:footnote>
  <w:footnote w:id="59">
    <w:p w14:paraId="0CFE5699" w14:textId="77777777" w:rsidR="00A5531C" w:rsidRDefault="00A5531C" w:rsidP="00583028">
      <w:pPr>
        <w:pStyle w:val="f1"/>
      </w:pPr>
      <w:r w:rsidRPr="009905CB">
        <w:rPr>
          <w:rStyle w:val="FootnoteReference"/>
        </w:rPr>
        <w:footnoteRef/>
      </w:r>
      <w:r w:rsidRPr="00F170C8">
        <w:rPr>
          <w:rStyle w:val="Hyperlink"/>
        </w:rPr>
        <w:t xml:space="preserve"> </w:t>
      </w:r>
      <w:hyperlink r:id="rId24" w:history="1">
        <w:r w:rsidRPr="00F170C8">
          <w:rPr>
            <w:rStyle w:val="Hyperlink"/>
          </w:rPr>
          <w:t>Beauhurst</w:t>
        </w:r>
      </w:hyperlink>
      <w:r>
        <w:t xml:space="preserve"> </w:t>
      </w:r>
    </w:p>
  </w:footnote>
  <w:footnote w:id="60">
    <w:p w14:paraId="144CDFCF" w14:textId="77777777" w:rsidR="00A5531C" w:rsidRDefault="00A5531C" w:rsidP="00464FC0">
      <w:pPr>
        <w:pStyle w:val="FootnoteText"/>
      </w:pPr>
      <w:r>
        <w:rPr>
          <w:rStyle w:val="FootnoteReference"/>
        </w:rPr>
        <w:footnoteRef/>
      </w:r>
      <w:r>
        <w:t xml:space="preserve"> </w:t>
      </w:r>
      <w:hyperlink r:id="rId25" w:history="1">
        <w:r w:rsidRPr="009905CB">
          <w:rPr>
            <w:rStyle w:val="Hyperlink"/>
          </w:rPr>
          <w:t>Orbis</w:t>
        </w:r>
      </w:hyperlink>
      <w:r>
        <w:t xml:space="preserve"> </w:t>
      </w:r>
    </w:p>
  </w:footnote>
  <w:footnote w:id="61">
    <w:p w14:paraId="761FA344" w14:textId="77777777" w:rsidR="00A5531C" w:rsidRDefault="00A5531C" w:rsidP="00583028">
      <w:pPr>
        <w:pStyle w:val="f1"/>
      </w:pPr>
      <w:r>
        <w:rPr>
          <w:rStyle w:val="FootnoteReference"/>
        </w:rPr>
        <w:footnoteRef/>
      </w:r>
      <w:r>
        <w:t xml:space="preserve"> </w:t>
      </w:r>
      <w:hyperlink r:id="rId26" w:history="1">
        <w:r>
          <w:rPr>
            <w:rStyle w:val="Hyperlink1"/>
          </w:rPr>
          <w:t>GDP first quarterly estimate, UK - Office for National Statistics (ons.gov.uk)</w:t>
        </w:r>
      </w:hyperlink>
    </w:p>
  </w:footnote>
  <w:footnote w:id="62">
    <w:p w14:paraId="15404DCA" w14:textId="77777777" w:rsidR="00270A72" w:rsidRDefault="00270A72" w:rsidP="00583028">
      <w:pPr>
        <w:pStyle w:val="f1"/>
      </w:pPr>
      <w:r>
        <w:rPr>
          <w:rStyle w:val="FootnoteReference"/>
        </w:rPr>
        <w:footnoteRef/>
      </w:r>
      <w:r>
        <w:t xml:space="preserve"> The first cohort of firms funded through RAP received funding between 2020 and 2021.</w:t>
      </w:r>
    </w:p>
  </w:footnote>
  <w:footnote w:id="63">
    <w:p w14:paraId="4A9D5739" w14:textId="331E0E3F" w:rsidR="0020407D" w:rsidRDefault="0020407D" w:rsidP="00464FC0">
      <w:pPr>
        <w:pStyle w:val="FootnoteText"/>
      </w:pPr>
      <w:r>
        <w:rPr>
          <w:rStyle w:val="FootnoteReference"/>
        </w:rPr>
        <w:footnoteRef/>
      </w:r>
      <w:r>
        <w:t xml:space="preserve"> </w:t>
      </w:r>
      <w:r w:rsidRPr="0020407D">
        <w:t>https://assets.publishing.service.gov.uk/government/uploads/system/uploads/attachment_data/file/1018138/BPE_METHODOLOGY___QUALITY_NOTE_2021.pdf</w:t>
      </w:r>
    </w:p>
  </w:footnote>
  <w:footnote w:id="64">
    <w:p w14:paraId="3DD630A8" w14:textId="77777777" w:rsidR="00CD60C2" w:rsidRDefault="00CD60C2" w:rsidP="00583028">
      <w:pPr>
        <w:pStyle w:val="f1"/>
      </w:pPr>
      <w:r>
        <w:rPr>
          <w:rStyle w:val="FootnoteReference"/>
        </w:rPr>
        <w:footnoteRef/>
      </w:r>
      <w:r>
        <w:t xml:space="preserve"> We retrieved the fund type filter by downloading MI firms from Beauhurst and examined the distribution of funders who provided funding to the RAP-funded firms listed on BH. The eligibility criteria for the scheme do not specify a particular type of funder that must deliver the funding to firms.</w:t>
      </w:r>
    </w:p>
  </w:footnote>
  <w:footnote w:id="65">
    <w:p w14:paraId="5D156ABB" w14:textId="77777777" w:rsidR="00CD60C2" w:rsidRDefault="00CD60C2" w:rsidP="00583028">
      <w:pPr>
        <w:pStyle w:val="f1"/>
      </w:pPr>
      <w:r>
        <w:rPr>
          <w:rStyle w:val="FootnoteReference"/>
        </w:rPr>
        <w:footnoteRef/>
      </w:r>
      <w:r>
        <w:t xml:space="preserve"> When building the filter for our counterfactual, we only considered a cohort of firms that were funded from the RAP Programme in 2020 and 2021. This is because the RAP funding is still ongoing, and the effects of the funding on turnover and other KPIs may take some time to materialise. Therefore, we excluded the funding from 2022 (and 2023).</w:t>
      </w:r>
    </w:p>
  </w:footnote>
  <w:footnote w:id="66">
    <w:p w14:paraId="771C10BE" w14:textId="77777777" w:rsidR="00270A72" w:rsidRDefault="00270A72" w:rsidP="00583028">
      <w:pPr>
        <w:pStyle w:val="f1"/>
      </w:pPr>
      <w:r>
        <w:rPr>
          <w:rStyle w:val="FootnoteReference"/>
        </w:rPr>
        <w:footnoteRef/>
      </w:r>
      <w:r>
        <w:t xml:space="preserve"> The continuous variables that were included consisted of turnover in 2018, fundraisings in 2018, total amount of funds raised by firms since incorporation as of early 2023 (at the time of downloading the data), and the number of days since incorporation (i.e., company age).</w:t>
      </w:r>
    </w:p>
  </w:footnote>
  <w:footnote w:id="67">
    <w:p w14:paraId="62F93BEE" w14:textId="5D5DF1BE" w:rsidR="00890C22" w:rsidRDefault="00890C22" w:rsidP="00464FC0">
      <w:pPr>
        <w:pStyle w:val="FootnoteText"/>
      </w:pPr>
      <w:r>
        <w:rPr>
          <w:rStyle w:val="FootnoteReference"/>
        </w:rPr>
        <w:footnoteRef/>
      </w:r>
      <w:r>
        <w:t xml:space="preserve"> NAs refer to Not applicable mening no data was provided.</w:t>
      </w:r>
    </w:p>
  </w:footnote>
  <w:footnote w:id="68">
    <w:p w14:paraId="73CBCAAB" w14:textId="77777777" w:rsidR="00270A72" w:rsidRDefault="00270A72" w:rsidP="00583028">
      <w:pPr>
        <w:pStyle w:val="f1"/>
      </w:pPr>
      <w:r>
        <w:rPr>
          <w:rStyle w:val="FootnoteReference"/>
        </w:rPr>
        <w:footnoteRef/>
      </w:r>
      <w:r>
        <w:t xml:space="preserve"> Propensity scores represent the likelihood of a firm receiving the RAP intervention, given its observed characteristics.</w:t>
      </w:r>
    </w:p>
  </w:footnote>
  <w:footnote w:id="69">
    <w:p w14:paraId="6C2AF07D" w14:textId="77777777" w:rsidR="00270A72" w:rsidRDefault="00270A72" w:rsidP="00583028">
      <w:pPr>
        <w:pStyle w:val="f1"/>
      </w:pPr>
      <w:r>
        <w:rPr>
          <w:rStyle w:val="FootnoteReference"/>
        </w:rPr>
        <w:footnoteRef/>
      </w:r>
      <w:r>
        <w:t xml:space="preserve"> Wilson, N. and Kacer, M. (2019). </w:t>
      </w:r>
      <w:hyperlink r:id="rId27" w:history="1">
        <w:r>
          <w:rPr>
            <w:rStyle w:val="Hyperlink1"/>
            <w:i/>
            <w:iCs/>
          </w:rPr>
          <w:t>Equity Finance and the UK Regions Understanding Regional Variations in the Supply and Demand of Equity and Growth Finance for Business</w:t>
        </w:r>
      </w:hyperlink>
    </w:p>
  </w:footnote>
  <w:footnote w:id="70">
    <w:p w14:paraId="3CDEF927" w14:textId="2C6590B8" w:rsidR="00CD60C2" w:rsidRDefault="00CD60C2" w:rsidP="00583028">
      <w:pPr>
        <w:pStyle w:val="f1"/>
      </w:pPr>
      <w:r>
        <w:rPr>
          <w:rStyle w:val="FootnoteReference"/>
        </w:rPr>
        <w:footnoteRef/>
      </w:r>
      <w:r>
        <w:t xml:space="preserve"> Austin, P.C., 2011. Optimal calliper widths for propensity</w:t>
      </w:r>
      <w:r>
        <w:rPr>
          <w:rFonts w:ascii="Cambria Math" w:hAnsi="Cambria Math" w:cs="Cambria Math"/>
        </w:rPr>
        <w:t>‐</w:t>
      </w:r>
      <w:r>
        <w:t xml:space="preserve">score matching when estimating differences in means and differences in proportions in observational studies. </w:t>
      </w:r>
      <w:r>
        <w:rPr>
          <w:i/>
          <w:iCs/>
        </w:rPr>
        <w:t>Pharmaceutical statistics</w:t>
      </w:r>
      <w:r>
        <w:t>, 10(2), pp.150-161 suggests 0.2 of the standard deviation of the logit of the propensity score before the matching exercise</w:t>
      </w:r>
      <w:r w:rsidR="00182090">
        <w:t xml:space="preserve"> h</w:t>
      </w:r>
      <w:r>
        <w:t>owever, the plot of distributional balance for “distance” is showing misalignment</w:t>
      </w:r>
      <w:r w:rsidR="00182090">
        <w:t xml:space="preserve"> when using this measure, and t</w:t>
      </w:r>
      <w:r>
        <w:t>o achieve alignment of the two curves, we adjusted the width downwards to 0.</w:t>
      </w:r>
      <w:r w:rsidR="00182090">
        <w:t>165</w:t>
      </w:r>
      <w:r>
        <w:t xml:space="preserve"> for the plot to show alignment.</w:t>
      </w:r>
    </w:p>
  </w:footnote>
  <w:footnote w:id="71">
    <w:p w14:paraId="73EB47F4" w14:textId="77777777" w:rsidR="00270A72" w:rsidRDefault="00270A72" w:rsidP="00583028">
      <w:pPr>
        <w:pStyle w:val="f1"/>
      </w:pPr>
      <w:r>
        <w:rPr>
          <w:rStyle w:val="FootnoteReference"/>
        </w:rPr>
        <w:footnoteRef/>
      </w:r>
      <w:r>
        <w:t xml:space="preserve"> For details on the interpretation of other covariate balance metrics, visit Greifer, N. (2023) Assessing Balance</w:t>
      </w:r>
    </w:p>
  </w:footnote>
  <w:footnote w:id="72">
    <w:p w14:paraId="464AB534" w14:textId="77777777" w:rsidR="00CD60C2" w:rsidRDefault="00CD60C2" w:rsidP="00583028">
      <w:pPr>
        <w:pStyle w:val="f1"/>
      </w:pPr>
      <w:r>
        <w:rPr>
          <w:rStyle w:val="FootnoteReference"/>
        </w:rPr>
        <w:footnoteRef/>
      </w:r>
      <w:r>
        <w:t xml:space="preserve"> The SMD is a measure of the difference in means of a covariate between the treatment and control groups, standardised by a standardisation factor to put it on the same scale for all covariates. A low absolute SMD means that the difference in means between the two groups is small relative to the variability of the covariate. For detail, visit Greifer, N. (2023) Assessing Balance cran.r-project.org &amp; Austin, P. C. 2009. “Balance Diagnostics for Comparing the Distribution of Baseline Covariates Between Treatment Groups in Propensity-Score Matched Samples.” Statistics in Medicine 28 (25): 3083–3107</w:t>
      </w:r>
    </w:p>
  </w:footnote>
  <w:footnote w:id="73">
    <w:p w14:paraId="238FCCAC" w14:textId="77777777" w:rsidR="00270A72" w:rsidRDefault="00270A72" w:rsidP="00583028">
      <w:pPr>
        <w:pStyle w:val="f1"/>
      </w:pPr>
      <w:r>
        <w:rPr>
          <w:rStyle w:val="FootnoteReference"/>
        </w:rPr>
        <w:footnoteRef/>
      </w:r>
      <w:r>
        <w:t xml:space="preserve"> The weights were calculated in R as a result of ‘stratification’, by which multiple strata were created between zero and one. Observations were assigned to respective stratum based on the corresponding propensity score, which is also between zero and one. Some strata would have contained relatively more observations than others based on corresponding propensity scores. The strata with more (or less) observations were assigned a weights according to which stratum they were located in. For detail, see Greifer, N. (2023) </w:t>
      </w:r>
      <w:r>
        <w:rPr>
          <w:i/>
          <w:iCs/>
        </w:rPr>
        <w:t>Matching with Sampling Weights</w:t>
      </w:r>
    </w:p>
  </w:footnote>
  <w:footnote w:id="74">
    <w:p w14:paraId="5EABAB63" w14:textId="77777777" w:rsidR="00270A72" w:rsidRDefault="00270A72" w:rsidP="00583028">
      <w:pPr>
        <w:pStyle w:val="f1"/>
      </w:pPr>
      <w:r>
        <w:rPr>
          <w:rStyle w:val="FootnoteReference"/>
        </w:rPr>
        <w:footnoteRef/>
      </w:r>
      <w:r>
        <w:t xml:space="preserve"> We converted the variables back to their original values before the logarithmic transformation by taking the exponential and subtracting 0.01, for those variables that were in logarithmic terms</w:t>
      </w:r>
    </w:p>
  </w:footnote>
  <w:footnote w:id="75">
    <w:p w14:paraId="19988F6D" w14:textId="77777777" w:rsidR="00A068A5" w:rsidRDefault="00A068A5" w:rsidP="00583028">
      <w:pPr>
        <w:pStyle w:val="f1"/>
      </w:pPr>
      <w:r>
        <w:rPr>
          <w:rStyle w:val="FootnoteReference"/>
        </w:rPr>
        <w:footnoteRef/>
      </w:r>
      <w:r>
        <w:t xml:space="preserve"> </w:t>
      </w:r>
      <w:hyperlink r:id="rId28" w:anchor="372766554" w:history="1">
        <w:r>
          <w:rPr>
            <w:rStyle w:val="Hyperlink1"/>
          </w:rPr>
          <w:t>The triple difference estimator – Olden, Moen (2022)</w:t>
        </w:r>
      </w:hyperlink>
    </w:p>
  </w:footnote>
  <w:footnote w:id="76">
    <w:p w14:paraId="215A0C9C" w14:textId="77777777" w:rsidR="00A068A5" w:rsidRDefault="00A068A5" w:rsidP="00464FC0">
      <w:pPr>
        <w:pStyle w:val="FootnoteText"/>
      </w:pPr>
      <w:r>
        <w:rPr>
          <w:rStyle w:val="FootnoteReference"/>
        </w:rPr>
        <w:footnoteRef/>
      </w:r>
      <w:r>
        <w:t xml:space="preserve"> </w:t>
      </w:r>
      <w:hyperlink r:id="rId29" w:history="1">
        <w:r w:rsidRPr="00271F42">
          <w:rPr>
            <w:rStyle w:val="Hyperlink"/>
          </w:rPr>
          <w:t>How to identify influential data points using Cook’s Distance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BE51" w14:textId="3AE91D0B" w:rsidR="00F267E5" w:rsidRPr="00D13154" w:rsidRDefault="00F267E5" w:rsidP="00D13154">
    <w:pPr>
      <w:pStyle w:val="Header"/>
      <w:tabs>
        <w:tab w:val="clear" w:pos="4513"/>
      </w:tabs>
      <w:rPr>
        <w:rFonts w:ascii="Arial" w:hAnsi="Arial"/>
      </w:rPr>
    </w:pPr>
    <w:r>
      <w:rPr>
        <w:rFonts w:ascii="Arial" w:hAnsi="Arial"/>
      </w:rPr>
      <w:fldChar w:fldCharType="begin"/>
    </w:r>
    <w:r>
      <w:rPr>
        <w:rFonts w:ascii="Arial" w:hAnsi="Arial"/>
      </w:rPr>
      <w:instrText xml:space="preserve"> STYLEREF  Subtitle  \* MERGEFORMAT </w:instrText>
    </w:r>
    <w:r>
      <w:rPr>
        <w:rFonts w:ascii="Arial" w:hAnsi="Arial"/>
      </w:rPr>
      <w:fldChar w:fldCharType="separate"/>
    </w:r>
    <w:r w:rsidR="00BC412E">
      <w:rPr>
        <w:rFonts w:ascii="Arial" w:hAnsi="Arial"/>
        <w:b w:val="0"/>
        <w:bCs/>
        <w:noProof/>
        <w:lang w:val="en-US"/>
      </w:rPr>
      <w:t>Error! No text of specified style in document.</w:t>
    </w:r>
    <w:r>
      <w:rPr>
        <w:rFonts w:ascii="Arial" w:hAnsi="Arial"/>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3E5" w14:textId="77777777" w:rsidR="00BC412E" w:rsidRPr="003B1C3D" w:rsidRDefault="00BC412E" w:rsidP="00957D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7" w:type="dxa"/>
      <w:tblInd w:w="-851" w:type="dxa"/>
      <w:shd w:val="clear" w:color="auto" w:fill="142855"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CA43AF" w14:paraId="38D58EDD" w14:textId="77777777" w:rsidTr="00957DB2">
      <w:trPr>
        <w:cnfStyle w:val="100000000000" w:firstRow="1" w:lastRow="0" w:firstColumn="0" w:lastColumn="0" w:oddVBand="0" w:evenVBand="0" w:oddHBand="0" w:evenHBand="0" w:firstRowFirstColumn="0" w:firstRowLastColumn="0" w:lastRowFirstColumn="0" w:lastRowLastColumn="0"/>
        <w:trHeight w:hRule="exact" w:val="397"/>
      </w:trPr>
      <w:tc>
        <w:tcPr>
          <w:tcW w:w="2155" w:type="dxa"/>
          <w:shd w:val="clear" w:color="auto" w:fill="1D1D1B" w:themeFill="text1"/>
        </w:tcPr>
        <w:p w14:paraId="522BD13F" w14:textId="77777777" w:rsidR="00CA43AF" w:rsidRDefault="00CA43AF" w:rsidP="00957DB2">
          <w:pPr>
            <w:pStyle w:val="Header"/>
          </w:pPr>
        </w:p>
      </w:tc>
      <w:tc>
        <w:tcPr>
          <w:tcW w:w="284" w:type="dxa"/>
          <w:shd w:val="clear" w:color="auto" w:fill="auto"/>
        </w:tcPr>
        <w:p w14:paraId="760730AE" w14:textId="77777777" w:rsidR="00CA43AF" w:rsidRDefault="00CA43AF" w:rsidP="00957DB2">
          <w:pPr>
            <w:pStyle w:val="Header"/>
          </w:pPr>
        </w:p>
      </w:tc>
      <w:tc>
        <w:tcPr>
          <w:tcW w:w="7031" w:type="dxa"/>
          <w:shd w:val="clear" w:color="auto" w:fill="FFFFFF" w:themeFill="background2"/>
        </w:tcPr>
        <w:p w14:paraId="0CE37867" w14:textId="77777777" w:rsidR="00CA43AF" w:rsidRDefault="00CA43AF" w:rsidP="00957DB2">
          <w:pPr>
            <w:pStyle w:val="Header"/>
          </w:pPr>
        </w:p>
      </w:tc>
      <w:tc>
        <w:tcPr>
          <w:tcW w:w="284" w:type="dxa"/>
          <w:shd w:val="clear" w:color="auto" w:fill="auto"/>
        </w:tcPr>
        <w:p w14:paraId="0D8EBE32" w14:textId="77777777" w:rsidR="00CA43AF" w:rsidRDefault="00CA43AF" w:rsidP="00957DB2">
          <w:pPr>
            <w:pStyle w:val="Header"/>
          </w:pPr>
        </w:p>
      </w:tc>
      <w:tc>
        <w:tcPr>
          <w:tcW w:w="2155" w:type="dxa"/>
          <w:shd w:val="clear" w:color="auto" w:fill="142855" w:themeFill="text2"/>
        </w:tcPr>
        <w:p w14:paraId="38232F2C" w14:textId="77777777" w:rsidR="00CA43AF" w:rsidRDefault="00CA43AF" w:rsidP="00957DB2">
          <w:pPr>
            <w:pStyle w:val="Header"/>
          </w:pPr>
        </w:p>
      </w:tc>
    </w:tr>
  </w:tbl>
  <w:p w14:paraId="73D692FE" w14:textId="77777777" w:rsidR="00CA43AF" w:rsidRPr="00D05498" w:rsidRDefault="00CA43AF" w:rsidP="00957D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4FB2" w14:textId="77777777" w:rsidR="00CA43AF" w:rsidRDefault="00CA43AF" w:rsidP="00957D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8AC7" w14:textId="77777777" w:rsidR="00CA43AF" w:rsidRPr="003B1C3D" w:rsidRDefault="00CA43AF" w:rsidP="00957D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withborders1"/>
      <w:tblW w:w="11907" w:type="dxa"/>
      <w:tblInd w:w="-851" w:type="dxa"/>
      <w:shd w:val="clear" w:color="auto" w:fill="142855"/>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CD60C2" w14:paraId="663D6DD8" w14:textId="77777777" w:rsidTr="00957DB2">
      <w:trPr>
        <w:trHeight w:hRule="exact" w:val="397"/>
      </w:trPr>
      <w:tc>
        <w:tcPr>
          <w:tcW w:w="2155" w:type="dxa"/>
          <w:shd w:val="clear" w:color="auto" w:fill="1D1D1B"/>
        </w:tcPr>
        <w:p w14:paraId="5E9BF0BE" w14:textId="77777777" w:rsidR="00CD60C2" w:rsidRDefault="00CD60C2" w:rsidP="00957DB2">
          <w:pPr>
            <w:pStyle w:val="Header1"/>
          </w:pPr>
        </w:p>
      </w:tc>
      <w:tc>
        <w:tcPr>
          <w:tcW w:w="284" w:type="dxa"/>
          <w:shd w:val="clear" w:color="auto" w:fill="auto"/>
        </w:tcPr>
        <w:p w14:paraId="1F6F87E3" w14:textId="77777777" w:rsidR="00CD60C2" w:rsidRDefault="00CD60C2" w:rsidP="00957DB2">
          <w:pPr>
            <w:pStyle w:val="Header1"/>
          </w:pPr>
        </w:p>
      </w:tc>
      <w:tc>
        <w:tcPr>
          <w:tcW w:w="7031" w:type="dxa"/>
          <w:shd w:val="clear" w:color="auto" w:fill="FFFFFF"/>
        </w:tcPr>
        <w:p w14:paraId="14BCC14C" w14:textId="77777777" w:rsidR="00CD60C2" w:rsidRDefault="00CD60C2" w:rsidP="00957DB2">
          <w:pPr>
            <w:pStyle w:val="Header1"/>
          </w:pPr>
        </w:p>
      </w:tc>
      <w:tc>
        <w:tcPr>
          <w:tcW w:w="284" w:type="dxa"/>
          <w:shd w:val="clear" w:color="auto" w:fill="auto"/>
        </w:tcPr>
        <w:p w14:paraId="28502C12" w14:textId="77777777" w:rsidR="00CD60C2" w:rsidRDefault="00CD60C2" w:rsidP="00957DB2">
          <w:pPr>
            <w:pStyle w:val="Header1"/>
          </w:pPr>
        </w:p>
      </w:tc>
      <w:tc>
        <w:tcPr>
          <w:tcW w:w="2155" w:type="dxa"/>
          <w:shd w:val="clear" w:color="auto" w:fill="142855"/>
        </w:tcPr>
        <w:p w14:paraId="26B76F81" w14:textId="77777777" w:rsidR="00CD60C2" w:rsidRDefault="00CD60C2" w:rsidP="00957DB2">
          <w:pPr>
            <w:pStyle w:val="Header1"/>
          </w:pPr>
        </w:p>
      </w:tc>
    </w:tr>
  </w:tbl>
  <w:p w14:paraId="5DABEA55" w14:textId="77777777" w:rsidR="00CD60C2" w:rsidRDefault="007A621B">
    <w:pPr>
      <w:pStyle w:val="Header1"/>
    </w:pPr>
    <w:r>
      <w:rPr>
        <w:noProof/>
      </w:rPr>
      <w:pict w14:anchorId="61AD5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3.8pt;height:205.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5E62" w14:textId="77777777" w:rsidR="00CD60C2" w:rsidRDefault="007A621B">
    <w:pPr>
      <w:pStyle w:val="Header1"/>
    </w:pPr>
    <w:r>
      <w:rPr>
        <w:noProof/>
      </w:rPr>
      <w:pict w14:anchorId="532F8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3.8pt;height:205.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F671" w14:textId="77777777" w:rsidR="00CD60C2" w:rsidRDefault="007A621B">
    <w:pPr>
      <w:pStyle w:val="Header1"/>
    </w:pPr>
    <w:r>
      <w:rPr>
        <w:noProof/>
      </w:rPr>
      <w:pict w14:anchorId="6192F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3.8pt;height:205.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AD01" w14:textId="77777777" w:rsidR="004B1C7A" w:rsidRDefault="004B1C7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06A" w14:textId="77777777" w:rsidR="004B1C7A" w:rsidRDefault="004B1C7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B3BA" w14:textId="77777777" w:rsidR="004B1C7A" w:rsidRDefault="004B1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7" w:type="dxa"/>
      <w:tblInd w:w="-851" w:type="dxa"/>
      <w:shd w:val="clear" w:color="auto" w:fill="142855"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D5030F" w14:paraId="327B53E4" w14:textId="77777777" w:rsidTr="002F67E1">
      <w:trPr>
        <w:cnfStyle w:val="100000000000" w:firstRow="1" w:lastRow="0" w:firstColumn="0" w:lastColumn="0" w:oddVBand="0" w:evenVBand="0" w:oddHBand="0" w:evenHBand="0" w:firstRowFirstColumn="0" w:firstRowLastColumn="0" w:lastRowFirstColumn="0" w:lastRowLastColumn="0"/>
        <w:trHeight w:hRule="exact" w:val="397"/>
      </w:trPr>
      <w:tc>
        <w:tcPr>
          <w:tcW w:w="2155" w:type="dxa"/>
          <w:shd w:val="clear" w:color="auto" w:fill="1D1D1B" w:themeFill="text1"/>
        </w:tcPr>
        <w:p w14:paraId="3BECB2D1" w14:textId="77777777" w:rsidR="00D5030F" w:rsidRDefault="00D5030F" w:rsidP="002F67E1">
          <w:pPr>
            <w:pStyle w:val="Header"/>
          </w:pPr>
        </w:p>
      </w:tc>
      <w:tc>
        <w:tcPr>
          <w:tcW w:w="284" w:type="dxa"/>
          <w:shd w:val="clear" w:color="auto" w:fill="auto"/>
        </w:tcPr>
        <w:p w14:paraId="0294C61C" w14:textId="77777777" w:rsidR="00D5030F" w:rsidRDefault="00D5030F" w:rsidP="002F67E1">
          <w:pPr>
            <w:pStyle w:val="Header"/>
          </w:pPr>
        </w:p>
      </w:tc>
      <w:tc>
        <w:tcPr>
          <w:tcW w:w="7031" w:type="dxa"/>
          <w:shd w:val="clear" w:color="auto" w:fill="FFFFFF" w:themeFill="background2"/>
        </w:tcPr>
        <w:p w14:paraId="2080CCE8" w14:textId="77777777" w:rsidR="00D5030F" w:rsidRDefault="00D5030F" w:rsidP="002F67E1">
          <w:pPr>
            <w:pStyle w:val="Header"/>
          </w:pPr>
        </w:p>
      </w:tc>
      <w:tc>
        <w:tcPr>
          <w:tcW w:w="284" w:type="dxa"/>
          <w:shd w:val="clear" w:color="auto" w:fill="auto"/>
        </w:tcPr>
        <w:p w14:paraId="0841A49F" w14:textId="77777777" w:rsidR="00D5030F" w:rsidRDefault="00D5030F" w:rsidP="002F67E1">
          <w:pPr>
            <w:pStyle w:val="Header"/>
          </w:pPr>
        </w:p>
      </w:tc>
      <w:tc>
        <w:tcPr>
          <w:tcW w:w="2155" w:type="dxa"/>
          <w:shd w:val="clear" w:color="auto" w:fill="142855" w:themeFill="text2"/>
        </w:tcPr>
        <w:p w14:paraId="5955250D" w14:textId="77777777" w:rsidR="00D5030F" w:rsidRDefault="00D5030F" w:rsidP="002F67E1">
          <w:pPr>
            <w:pStyle w:val="Header"/>
          </w:pPr>
        </w:p>
      </w:tc>
    </w:tr>
  </w:tbl>
  <w:p w14:paraId="404E2872" w14:textId="77777777" w:rsidR="00D5030F" w:rsidRPr="00D05498" w:rsidRDefault="00D5030F" w:rsidP="002F67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0493" w14:textId="77777777" w:rsidR="004B1C7A" w:rsidRDefault="004B1C7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722A" w14:textId="77777777" w:rsidR="004B1C7A" w:rsidRDefault="004B1C7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566" w14:textId="584C12EC" w:rsidR="00F267E5" w:rsidRPr="00D13154" w:rsidRDefault="00F267E5" w:rsidP="00240A4C">
    <w:pPr>
      <w:pStyle w:val="Header"/>
      <w:tabs>
        <w:tab w:val="clear" w:pos="4513"/>
      </w:tabs>
      <w:jc w:val="right"/>
      <w:rPr>
        <w:rFonts w:ascii="Arial" w:hAnsi="Arial"/>
      </w:rPr>
    </w:pPr>
    <w:r w:rsidRPr="00D13154">
      <w:rPr>
        <w:noProof/>
      </w:rPr>
      <w:drawing>
        <wp:inline distT="0" distB="0" distL="0" distR="0" wp14:anchorId="797EDF3E" wp14:editId="55B24804">
          <wp:extent cx="2124000" cy="792000"/>
          <wp:effectExtent l="0" t="0" r="0" b="8255"/>
          <wp:docPr id="9" name="Picture 9" descr="British Busines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ritish Business Bank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4000" cy="792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4BD6" w14:textId="77777777" w:rsidR="00D5030F" w:rsidRPr="00CE3541" w:rsidRDefault="00D5030F" w:rsidP="00CE35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51DE" w14:textId="77777777" w:rsidR="00D5030F" w:rsidRPr="003B1C3D" w:rsidRDefault="00D5030F" w:rsidP="002F67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7" w:type="dxa"/>
      <w:tblInd w:w="-851" w:type="dxa"/>
      <w:shd w:val="clear" w:color="auto" w:fill="142855"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7B437E" w14:paraId="05251147" w14:textId="77777777" w:rsidTr="002F67E1">
      <w:trPr>
        <w:cnfStyle w:val="100000000000" w:firstRow="1" w:lastRow="0" w:firstColumn="0" w:lastColumn="0" w:oddVBand="0" w:evenVBand="0" w:oddHBand="0" w:evenHBand="0" w:firstRowFirstColumn="0" w:firstRowLastColumn="0" w:lastRowFirstColumn="0" w:lastRowLastColumn="0"/>
        <w:trHeight w:hRule="exact" w:val="397"/>
      </w:trPr>
      <w:tc>
        <w:tcPr>
          <w:tcW w:w="2155" w:type="dxa"/>
          <w:shd w:val="clear" w:color="auto" w:fill="1D1D1B" w:themeFill="text1"/>
        </w:tcPr>
        <w:p w14:paraId="20ECDAFE" w14:textId="77777777" w:rsidR="007B437E" w:rsidRDefault="007B437E" w:rsidP="002F67E1">
          <w:pPr>
            <w:pStyle w:val="Header"/>
          </w:pPr>
        </w:p>
      </w:tc>
      <w:tc>
        <w:tcPr>
          <w:tcW w:w="284" w:type="dxa"/>
          <w:shd w:val="clear" w:color="auto" w:fill="auto"/>
        </w:tcPr>
        <w:p w14:paraId="399A0F4D" w14:textId="77777777" w:rsidR="007B437E" w:rsidRDefault="007B437E" w:rsidP="002F67E1">
          <w:pPr>
            <w:pStyle w:val="Header"/>
          </w:pPr>
        </w:p>
      </w:tc>
      <w:tc>
        <w:tcPr>
          <w:tcW w:w="7031" w:type="dxa"/>
          <w:shd w:val="clear" w:color="auto" w:fill="FFFFFF" w:themeFill="background2"/>
        </w:tcPr>
        <w:p w14:paraId="6649CC52" w14:textId="77777777" w:rsidR="007B437E" w:rsidRDefault="007B437E" w:rsidP="002F67E1">
          <w:pPr>
            <w:pStyle w:val="Header"/>
          </w:pPr>
        </w:p>
      </w:tc>
      <w:tc>
        <w:tcPr>
          <w:tcW w:w="284" w:type="dxa"/>
          <w:shd w:val="clear" w:color="auto" w:fill="auto"/>
        </w:tcPr>
        <w:p w14:paraId="38304D57" w14:textId="77777777" w:rsidR="007B437E" w:rsidRDefault="007B437E" w:rsidP="002F67E1">
          <w:pPr>
            <w:pStyle w:val="Header"/>
          </w:pPr>
        </w:p>
      </w:tc>
      <w:tc>
        <w:tcPr>
          <w:tcW w:w="2155" w:type="dxa"/>
          <w:shd w:val="clear" w:color="auto" w:fill="142855" w:themeFill="text2"/>
        </w:tcPr>
        <w:p w14:paraId="3013DD7F" w14:textId="77777777" w:rsidR="007B437E" w:rsidRDefault="007B437E" w:rsidP="002F67E1">
          <w:pPr>
            <w:pStyle w:val="Header"/>
          </w:pPr>
        </w:p>
      </w:tc>
    </w:tr>
  </w:tbl>
  <w:p w14:paraId="7A1496D9" w14:textId="77777777" w:rsidR="007B437E" w:rsidRPr="00D05498" w:rsidRDefault="007B437E" w:rsidP="002F67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ED16" w14:textId="77777777" w:rsidR="007B437E" w:rsidRPr="00CE3541" w:rsidRDefault="007B437E" w:rsidP="00CE35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29D3" w14:textId="77777777" w:rsidR="007B437E" w:rsidRPr="003B1C3D" w:rsidRDefault="007B437E" w:rsidP="002F67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7" w:type="dxa"/>
      <w:tblInd w:w="-851" w:type="dxa"/>
      <w:shd w:val="clear" w:color="auto" w:fill="142855" w:themeFill="text2"/>
      <w:tblLayout w:type="fixed"/>
      <w:tblCellMar>
        <w:left w:w="0" w:type="dxa"/>
        <w:right w:w="0" w:type="dxa"/>
      </w:tblCellMar>
      <w:tblLook w:val="04A0" w:firstRow="1" w:lastRow="0" w:firstColumn="1" w:lastColumn="0" w:noHBand="0" w:noVBand="1"/>
    </w:tblPr>
    <w:tblGrid>
      <w:gridCol w:w="2154"/>
      <w:gridCol w:w="284"/>
      <w:gridCol w:w="7030"/>
      <w:gridCol w:w="284"/>
      <w:gridCol w:w="2155"/>
    </w:tblGrid>
    <w:tr w:rsidR="00BC412E" w14:paraId="79C38ECC" w14:textId="77777777" w:rsidTr="00957DB2">
      <w:trPr>
        <w:cnfStyle w:val="100000000000" w:firstRow="1" w:lastRow="0" w:firstColumn="0" w:lastColumn="0" w:oddVBand="0" w:evenVBand="0" w:oddHBand="0" w:evenHBand="0" w:firstRowFirstColumn="0" w:firstRowLastColumn="0" w:lastRowFirstColumn="0" w:lastRowLastColumn="0"/>
        <w:trHeight w:hRule="exact" w:val="397"/>
      </w:trPr>
      <w:tc>
        <w:tcPr>
          <w:tcW w:w="2155" w:type="dxa"/>
          <w:shd w:val="clear" w:color="auto" w:fill="1D1D1B" w:themeFill="text1"/>
        </w:tcPr>
        <w:p w14:paraId="1EF64D18" w14:textId="77777777" w:rsidR="00BC412E" w:rsidRDefault="00BC412E" w:rsidP="00957DB2">
          <w:pPr>
            <w:pStyle w:val="Header"/>
          </w:pPr>
        </w:p>
      </w:tc>
      <w:tc>
        <w:tcPr>
          <w:tcW w:w="284" w:type="dxa"/>
          <w:shd w:val="clear" w:color="auto" w:fill="auto"/>
        </w:tcPr>
        <w:p w14:paraId="69F85F44" w14:textId="77777777" w:rsidR="00BC412E" w:rsidRDefault="00BC412E" w:rsidP="00957DB2">
          <w:pPr>
            <w:pStyle w:val="Header"/>
          </w:pPr>
        </w:p>
      </w:tc>
      <w:tc>
        <w:tcPr>
          <w:tcW w:w="7031" w:type="dxa"/>
          <w:shd w:val="clear" w:color="auto" w:fill="FFFFFF" w:themeFill="background2"/>
        </w:tcPr>
        <w:p w14:paraId="786BB3D4" w14:textId="77777777" w:rsidR="00BC412E" w:rsidRDefault="00BC412E" w:rsidP="00957DB2">
          <w:pPr>
            <w:pStyle w:val="Header"/>
          </w:pPr>
        </w:p>
      </w:tc>
      <w:tc>
        <w:tcPr>
          <w:tcW w:w="284" w:type="dxa"/>
          <w:shd w:val="clear" w:color="auto" w:fill="auto"/>
        </w:tcPr>
        <w:p w14:paraId="56DEBD15" w14:textId="77777777" w:rsidR="00BC412E" w:rsidRDefault="00BC412E" w:rsidP="00957DB2">
          <w:pPr>
            <w:pStyle w:val="Header"/>
          </w:pPr>
        </w:p>
      </w:tc>
      <w:tc>
        <w:tcPr>
          <w:tcW w:w="2155" w:type="dxa"/>
          <w:shd w:val="clear" w:color="auto" w:fill="142855" w:themeFill="text2"/>
        </w:tcPr>
        <w:p w14:paraId="3A08AC37" w14:textId="77777777" w:rsidR="00BC412E" w:rsidRDefault="00BC412E" w:rsidP="00957DB2">
          <w:pPr>
            <w:pStyle w:val="Header"/>
          </w:pPr>
        </w:p>
      </w:tc>
    </w:tr>
  </w:tbl>
  <w:p w14:paraId="5E4A19A0" w14:textId="77777777" w:rsidR="00BC412E" w:rsidRPr="00D05498" w:rsidRDefault="00BC412E" w:rsidP="00957D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10FC" w14:textId="77777777" w:rsidR="00BC412E" w:rsidRDefault="00BC412E" w:rsidP="00957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E5ADFB2"/>
    <w:lvl w:ilvl="0">
      <w:start w:val="1"/>
      <w:numFmt w:val="bullet"/>
      <w:pStyle w:val="ListBullet5"/>
      <w:lvlText w:val=""/>
      <w:lvlJc w:val="left"/>
      <w:pPr>
        <w:tabs>
          <w:tab w:val="num" w:pos="1132"/>
        </w:tabs>
        <w:ind w:left="1132" w:hanging="360"/>
      </w:pPr>
      <w:rPr>
        <w:rFonts w:ascii="Symbol" w:hAnsi="Symbol" w:hint="default"/>
      </w:rPr>
    </w:lvl>
  </w:abstractNum>
  <w:abstractNum w:abstractNumId="1" w15:restartNumberingAfterBreak="0">
    <w:nsid w:val="FFFFFF81"/>
    <w:multiLevelType w:val="singleLevel"/>
    <w:tmpl w:val="A60CA81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0AAF81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C8984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21F0054"/>
    <w:multiLevelType w:val="hybridMultilevel"/>
    <w:tmpl w:val="C5640C6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3A90CA3"/>
    <w:multiLevelType w:val="multilevel"/>
    <w:tmpl w:val="367CBE90"/>
    <w:lvl w:ilvl="0">
      <w:start w:val="1"/>
      <w:numFmt w:val="bullet"/>
      <w:pStyle w:val="Bullet1"/>
      <w:lvlText w:val=""/>
      <w:lvlJc w:val="left"/>
      <w:pPr>
        <w:tabs>
          <w:tab w:val="num" w:pos="340"/>
        </w:tabs>
        <w:ind w:left="340" w:hanging="340"/>
      </w:pPr>
      <w:rPr>
        <w:rFonts w:ascii="Symbol" w:hAnsi="Symbol" w:hint="default"/>
        <w:color w:val="1D1D1B" w:themeColor="text1"/>
      </w:rPr>
    </w:lvl>
    <w:lvl w:ilvl="1">
      <w:start w:val="1"/>
      <w:numFmt w:val="bullet"/>
      <w:pStyle w:val="Bullet2"/>
      <w:lvlText w:val="–"/>
      <w:lvlJc w:val="left"/>
      <w:pPr>
        <w:tabs>
          <w:tab w:val="num" w:pos="1190"/>
        </w:tabs>
        <w:ind w:left="1190" w:hanging="340"/>
      </w:pPr>
      <w:rPr>
        <w:rFonts w:ascii="Calibri" w:hAnsi="Calibri" w:hint="default"/>
        <w:color w:val="1D1D1B" w:themeColor="text1"/>
      </w:rPr>
    </w:lvl>
    <w:lvl w:ilvl="2">
      <w:start w:val="1"/>
      <w:numFmt w:val="none"/>
      <w:suff w:val="nothing"/>
      <w:lvlText w:val=""/>
      <w:lvlJc w:val="left"/>
      <w:pPr>
        <w:ind w:left="1105" w:firstLine="0"/>
      </w:pPr>
      <w:rPr>
        <w:rFonts w:hint="default"/>
      </w:rPr>
    </w:lvl>
    <w:lvl w:ilvl="3">
      <w:start w:val="1"/>
      <w:numFmt w:val="none"/>
      <w:suff w:val="nothing"/>
      <w:lvlText w:val=""/>
      <w:lvlJc w:val="left"/>
      <w:pPr>
        <w:ind w:left="1105" w:firstLine="0"/>
      </w:pPr>
      <w:rPr>
        <w:rFonts w:hint="default"/>
      </w:rPr>
    </w:lvl>
    <w:lvl w:ilvl="4">
      <w:start w:val="1"/>
      <w:numFmt w:val="none"/>
      <w:suff w:val="nothing"/>
      <w:lvlText w:val=""/>
      <w:lvlJc w:val="left"/>
      <w:pPr>
        <w:ind w:left="1105" w:firstLine="0"/>
      </w:pPr>
      <w:rPr>
        <w:rFonts w:hint="default"/>
      </w:rPr>
    </w:lvl>
    <w:lvl w:ilvl="5">
      <w:start w:val="1"/>
      <w:numFmt w:val="none"/>
      <w:suff w:val="nothing"/>
      <w:lvlText w:val=""/>
      <w:lvlJc w:val="left"/>
      <w:pPr>
        <w:ind w:left="1105" w:firstLine="0"/>
      </w:pPr>
      <w:rPr>
        <w:rFonts w:hint="default"/>
      </w:rPr>
    </w:lvl>
    <w:lvl w:ilvl="6">
      <w:start w:val="1"/>
      <w:numFmt w:val="none"/>
      <w:suff w:val="nothing"/>
      <w:lvlText w:val=""/>
      <w:lvlJc w:val="left"/>
      <w:pPr>
        <w:ind w:left="1105" w:firstLine="0"/>
      </w:pPr>
      <w:rPr>
        <w:rFonts w:hint="default"/>
      </w:rPr>
    </w:lvl>
    <w:lvl w:ilvl="7">
      <w:start w:val="1"/>
      <w:numFmt w:val="none"/>
      <w:suff w:val="nothing"/>
      <w:lvlText w:val=""/>
      <w:lvlJc w:val="left"/>
      <w:pPr>
        <w:ind w:left="1105" w:firstLine="0"/>
      </w:pPr>
      <w:rPr>
        <w:rFonts w:hint="default"/>
      </w:rPr>
    </w:lvl>
    <w:lvl w:ilvl="8">
      <w:start w:val="1"/>
      <w:numFmt w:val="none"/>
      <w:suff w:val="nothing"/>
      <w:lvlText w:val=""/>
      <w:lvlJc w:val="left"/>
      <w:pPr>
        <w:ind w:left="1105" w:firstLine="0"/>
      </w:pPr>
      <w:rPr>
        <w:rFonts w:hint="default"/>
      </w:rPr>
    </w:lvl>
  </w:abstractNum>
  <w:abstractNum w:abstractNumId="6" w15:restartNumberingAfterBreak="0">
    <w:nsid w:val="064D5C10"/>
    <w:multiLevelType w:val="hybridMultilevel"/>
    <w:tmpl w:val="53066E6A"/>
    <w:styleLink w:val="SQWQuestionNumbering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208FB"/>
    <w:multiLevelType w:val="multilevel"/>
    <w:tmpl w:val="5E2C38B6"/>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387" w:hanging="283"/>
      </w:pPr>
      <w:rPr>
        <w:rFonts w:ascii="Segoe UI Light" w:hAnsi="Segoe UI Light" w:hint="default"/>
        <w:color w:val="7E89C1" w:themeColor="accent3"/>
      </w:rPr>
    </w:lvl>
    <w:lvl w:ilvl="2">
      <w:start w:val="1"/>
      <w:numFmt w:val="bullet"/>
      <w:lvlText w:val="−"/>
      <w:lvlJc w:val="left"/>
      <w:pPr>
        <w:ind w:left="3262" w:hanging="284"/>
      </w:pPr>
      <w:rPr>
        <w:rFonts w:ascii="Segoe UI Light" w:hAnsi="Segoe UI Light" w:hint="default"/>
        <w:color w:val="7E89C1"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30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FC6718"/>
    <w:multiLevelType w:val="hybridMultilevel"/>
    <w:tmpl w:val="FFFFFFFF"/>
    <w:styleLink w:val="NumbLstBullet2"/>
    <w:lvl w:ilvl="0" w:tplc="1C74083C">
      <w:start w:val="1"/>
      <w:numFmt w:val="bullet"/>
      <w:lvlText w:val=""/>
      <w:lvlJc w:val="left"/>
      <w:pPr>
        <w:ind w:left="720" w:hanging="360"/>
      </w:pPr>
      <w:rPr>
        <w:rFonts w:ascii="Symbol" w:hAnsi="Symbol" w:hint="default"/>
      </w:rPr>
    </w:lvl>
    <w:lvl w:ilvl="1" w:tplc="2FD460C2">
      <w:start w:val="1"/>
      <w:numFmt w:val="bullet"/>
      <w:lvlText w:val="o"/>
      <w:lvlJc w:val="left"/>
      <w:pPr>
        <w:ind w:left="1440" w:hanging="360"/>
      </w:pPr>
      <w:rPr>
        <w:rFonts w:ascii="Courier New" w:hAnsi="Courier New" w:hint="default"/>
      </w:rPr>
    </w:lvl>
    <w:lvl w:ilvl="2" w:tplc="57BC4816">
      <w:start w:val="1"/>
      <w:numFmt w:val="bullet"/>
      <w:lvlText w:val=""/>
      <w:lvlJc w:val="left"/>
      <w:pPr>
        <w:ind w:left="2160" w:hanging="360"/>
      </w:pPr>
      <w:rPr>
        <w:rFonts w:ascii="Wingdings" w:hAnsi="Wingdings" w:hint="default"/>
      </w:rPr>
    </w:lvl>
    <w:lvl w:ilvl="3" w:tplc="CC9C04F2">
      <w:start w:val="1"/>
      <w:numFmt w:val="bullet"/>
      <w:lvlText w:val=""/>
      <w:lvlJc w:val="left"/>
      <w:pPr>
        <w:ind w:left="2880" w:hanging="360"/>
      </w:pPr>
      <w:rPr>
        <w:rFonts w:ascii="Symbol" w:hAnsi="Symbol" w:hint="default"/>
      </w:rPr>
    </w:lvl>
    <w:lvl w:ilvl="4" w:tplc="231A1794">
      <w:start w:val="1"/>
      <w:numFmt w:val="bullet"/>
      <w:lvlText w:val="o"/>
      <w:lvlJc w:val="left"/>
      <w:pPr>
        <w:ind w:left="3600" w:hanging="360"/>
      </w:pPr>
      <w:rPr>
        <w:rFonts w:ascii="Courier New" w:hAnsi="Courier New" w:hint="default"/>
      </w:rPr>
    </w:lvl>
    <w:lvl w:ilvl="5" w:tplc="0F2C5462">
      <w:start w:val="1"/>
      <w:numFmt w:val="bullet"/>
      <w:lvlText w:val=""/>
      <w:lvlJc w:val="left"/>
      <w:pPr>
        <w:ind w:left="4320" w:hanging="360"/>
      </w:pPr>
      <w:rPr>
        <w:rFonts w:ascii="Wingdings" w:hAnsi="Wingdings" w:hint="default"/>
      </w:rPr>
    </w:lvl>
    <w:lvl w:ilvl="6" w:tplc="C3AC4714">
      <w:start w:val="1"/>
      <w:numFmt w:val="bullet"/>
      <w:lvlText w:val=""/>
      <w:lvlJc w:val="left"/>
      <w:pPr>
        <w:ind w:left="5040" w:hanging="360"/>
      </w:pPr>
      <w:rPr>
        <w:rFonts w:ascii="Symbol" w:hAnsi="Symbol" w:hint="default"/>
      </w:rPr>
    </w:lvl>
    <w:lvl w:ilvl="7" w:tplc="36469588">
      <w:start w:val="1"/>
      <w:numFmt w:val="bullet"/>
      <w:lvlText w:val="o"/>
      <w:lvlJc w:val="left"/>
      <w:pPr>
        <w:ind w:left="5760" w:hanging="360"/>
      </w:pPr>
      <w:rPr>
        <w:rFonts w:ascii="Courier New" w:hAnsi="Courier New" w:hint="default"/>
      </w:rPr>
    </w:lvl>
    <w:lvl w:ilvl="8" w:tplc="EF644D8A">
      <w:start w:val="1"/>
      <w:numFmt w:val="bullet"/>
      <w:lvlText w:val=""/>
      <w:lvlJc w:val="left"/>
      <w:pPr>
        <w:ind w:left="6480" w:hanging="360"/>
      </w:pPr>
      <w:rPr>
        <w:rFonts w:ascii="Wingdings" w:hAnsi="Wingdings" w:hint="default"/>
      </w:rPr>
    </w:lvl>
  </w:abstractNum>
  <w:abstractNum w:abstractNumId="9" w15:restartNumberingAfterBreak="0">
    <w:nsid w:val="0BBE2F73"/>
    <w:multiLevelType w:val="hybridMultilevel"/>
    <w:tmpl w:val="F8C8C5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0DB50AA3"/>
    <w:multiLevelType w:val="hybridMultilevel"/>
    <w:tmpl w:val="D256AF0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7C37C9"/>
    <w:multiLevelType w:val="hybridMultilevel"/>
    <w:tmpl w:val="A526280C"/>
    <w:lvl w:ilvl="0" w:tplc="A85EB2CC">
      <w:start w:val="1"/>
      <w:numFmt w:val="decimal"/>
      <w:lvlText w:val="%1."/>
      <w:lvlJc w:val="left"/>
      <w:pPr>
        <w:ind w:left="1440" w:hanging="360"/>
      </w:pPr>
    </w:lvl>
    <w:lvl w:ilvl="1" w:tplc="C8945C64">
      <w:start w:val="1"/>
      <w:numFmt w:val="decimal"/>
      <w:lvlText w:val="%2."/>
      <w:lvlJc w:val="left"/>
      <w:pPr>
        <w:ind w:left="1440" w:hanging="360"/>
      </w:pPr>
    </w:lvl>
    <w:lvl w:ilvl="2" w:tplc="BEE4C0FA">
      <w:start w:val="1"/>
      <w:numFmt w:val="decimal"/>
      <w:lvlText w:val="%3."/>
      <w:lvlJc w:val="left"/>
      <w:pPr>
        <w:ind w:left="1440" w:hanging="360"/>
      </w:pPr>
    </w:lvl>
    <w:lvl w:ilvl="3" w:tplc="D2B049A4">
      <w:start w:val="1"/>
      <w:numFmt w:val="decimal"/>
      <w:lvlText w:val="%4."/>
      <w:lvlJc w:val="left"/>
      <w:pPr>
        <w:ind w:left="1440" w:hanging="360"/>
      </w:pPr>
    </w:lvl>
    <w:lvl w:ilvl="4" w:tplc="6F129A08">
      <w:start w:val="1"/>
      <w:numFmt w:val="decimal"/>
      <w:lvlText w:val="%5."/>
      <w:lvlJc w:val="left"/>
      <w:pPr>
        <w:ind w:left="1440" w:hanging="360"/>
      </w:pPr>
    </w:lvl>
    <w:lvl w:ilvl="5" w:tplc="BBE2697A">
      <w:start w:val="1"/>
      <w:numFmt w:val="decimal"/>
      <w:lvlText w:val="%6."/>
      <w:lvlJc w:val="left"/>
      <w:pPr>
        <w:ind w:left="1440" w:hanging="360"/>
      </w:pPr>
    </w:lvl>
    <w:lvl w:ilvl="6" w:tplc="C77EA994">
      <w:start w:val="1"/>
      <w:numFmt w:val="decimal"/>
      <w:lvlText w:val="%7."/>
      <w:lvlJc w:val="left"/>
      <w:pPr>
        <w:ind w:left="1440" w:hanging="360"/>
      </w:pPr>
    </w:lvl>
    <w:lvl w:ilvl="7" w:tplc="309418B2">
      <w:start w:val="1"/>
      <w:numFmt w:val="decimal"/>
      <w:lvlText w:val="%8."/>
      <w:lvlJc w:val="left"/>
      <w:pPr>
        <w:ind w:left="1440" w:hanging="360"/>
      </w:pPr>
    </w:lvl>
    <w:lvl w:ilvl="8" w:tplc="BF549AC0">
      <w:start w:val="1"/>
      <w:numFmt w:val="decimal"/>
      <w:lvlText w:val="%9."/>
      <w:lvlJc w:val="left"/>
      <w:pPr>
        <w:ind w:left="1440" w:hanging="360"/>
      </w:pPr>
    </w:lvl>
  </w:abstractNum>
  <w:abstractNum w:abstractNumId="12" w15:restartNumberingAfterBreak="0">
    <w:nsid w:val="140D75AE"/>
    <w:multiLevelType w:val="hybridMultilevel"/>
    <w:tmpl w:val="AE92BDF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7046612"/>
    <w:multiLevelType w:val="hybridMultilevel"/>
    <w:tmpl w:val="FFFFFFFF"/>
    <w:styleLink w:val="NumbLstMain2"/>
    <w:lvl w:ilvl="0" w:tplc="C722D55C">
      <w:start w:val="1"/>
      <w:numFmt w:val="bullet"/>
      <w:lvlText w:val=""/>
      <w:lvlJc w:val="left"/>
      <w:pPr>
        <w:ind w:left="720" w:hanging="360"/>
      </w:pPr>
      <w:rPr>
        <w:rFonts w:ascii="Symbol" w:hAnsi="Symbol" w:hint="default"/>
      </w:rPr>
    </w:lvl>
    <w:lvl w:ilvl="1" w:tplc="CF36C8E2">
      <w:start w:val="1"/>
      <w:numFmt w:val="bullet"/>
      <w:lvlText w:val="o"/>
      <w:lvlJc w:val="left"/>
      <w:pPr>
        <w:ind w:left="1440" w:hanging="360"/>
      </w:pPr>
      <w:rPr>
        <w:rFonts w:ascii="Courier New" w:hAnsi="Courier New" w:hint="default"/>
      </w:rPr>
    </w:lvl>
    <w:lvl w:ilvl="2" w:tplc="2C6C8D0A">
      <w:start w:val="1"/>
      <w:numFmt w:val="bullet"/>
      <w:lvlText w:val=""/>
      <w:lvlJc w:val="left"/>
      <w:pPr>
        <w:ind w:left="2160" w:hanging="360"/>
      </w:pPr>
      <w:rPr>
        <w:rFonts w:ascii="Wingdings" w:hAnsi="Wingdings" w:hint="default"/>
      </w:rPr>
    </w:lvl>
    <w:lvl w:ilvl="3" w:tplc="198A2D90">
      <w:start w:val="1"/>
      <w:numFmt w:val="bullet"/>
      <w:lvlText w:val=""/>
      <w:lvlJc w:val="left"/>
      <w:pPr>
        <w:ind w:left="2880" w:hanging="360"/>
      </w:pPr>
      <w:rPr>
        <w:rFonts w:ascii="Symbol" w:hAnsi="Symbol" w:hint="default"/>
      </w:rPr>
    </w:lvl>
    <w:lvl w:ilvl="4" w:tplc="5016D676">
      <w:start w:val="1"/>
      <w:numFmt w:val="bullet"/>
      <w:lvlText w:val="o"/>
      <w:lvlJc w:val="left"/>
      <w:pPr>
        <w:ind w:left="3600" w:hanging="360"/>
      </w:pPr>
      <w:rPr>
        <w:rFonts w:ascii="Courier New" w:hAnsi="Courier New" w:hint="default"/>
      </w:rPr>
    </w:lvl>
    <w:lvl w:ilvl="5" w:tplc="12DE376E">
      <w:start w:val="1"/>
      <w:numFmt w:val="bullet"/>
      <w:lvlText w:val=""/>
      <w:lvlJc w:val="left"/>
      <w:pPr>
        <w:ind w:left="4320" w:hanging="360"/>
      </w:pPr>
      <w:rPr>
        <w:rFonts w:ascii="Wingdings" w:hAnsi="Wingdings" w:hint="default"/>
      </w:rPr>
    </w:lvl>
    <w:lvl w:ilvl="6" w:tplc="CD0A70DA">
      <w:start w:val="1"/>
      <w:numFmt w:val="bullet"/>
      <w:lvlText w:val=""/>
      <w:lvlJc w:val="left"/>
      <w:pPr>
        <w:ind w:left="5040" w:hanging="360"/>
      </w:pPr>
      <w:rPr>
        <w:rFonts w:ascii="Symbol" w:hAnsi="Symbol" w:hint="default"/>
      </w:rPr>
    </w:lvl>
    <w:lvl w:ilvl="7" w:tplc="CAF49950">
      <w:start w:val="1"/>
      <w:numFmt w:val="bullet"/>
      <w:lvlText w:val="o"/>
      <w:lvlJc w:val="left"/>
      <w:pPr>
        <w:ind w:left="5760" w:hanging="360"/>
      </w:pPr>
      <w:rPr>
        <w:rFonts w:ascii="Courier New" w:hAnsi="Courier New" w:hint="default"/>
      </w:rPr>
    </w:lvl>
    <w:lvl w:ilvl="8" w:tplc="1D52489E">
      <w:start w:val="1"/>
      <w:numFmt w:val="bullet"/>
      <w:lvlText w:val=""/>
      <w:lvlJc w:val="left"/>
      <w:pPr>
        <w:ind w:left="6480" w:hanging="360"/>
      </w:pPr>
      <w:rPr>
        <w:rFonts w:ascii="Wingdings" w:hAnsi="Wingdings" w:hint="default"/>
      </w:rPr>
    </w:lvl>
  </w:abstractNum>
  <w:abstractNum w:abstractNumId="14" w15:restartNumberingAfterBreak="0">
    <w:nsid w:val="19DC3C37"/>
    <w:multiLevelType w:val="hybridMultilevel"/>
    <w:tmpl w:val="9AE4ADF8"/>
    <w:lvl w:ilvl="0" w:tplc="AF829EB0">
      <w:start w:val="1"/>
      <w:numFmt w:val="decimal"/>
      <w:lvlText w:val="%1."/>
      <w:lvlJc w:val="left"/>
      <w:pPr>
        <w:ind w:left="1020" w:hanging="360"/>
      </w:pPr>
    </w:lvl>
    <w:lvl w:ilvl="1" w:tplc="4760B500">
      <w:start w:val="1"/>
      <w:numFmt w:val="decimal"/>
      <w:lvlText w:val="%2."/>
      <w:lvlJc w:val="left"/>
      <w:pPr>
        <w:ind w:left="1020" w:hanging="360"/>
      </w:pPr>
    </w:lvl>
    <w:lvl w:ilvl="2" w:tplc="7516618E">
      <w:start w:val="1"/>
      <w:numFmt w:val="decimal"/>
      <w:lvlText w:val="%3."/>
      <w:lvlJc w:val="left"/>
      <w:pPr>
        <w:ind w:left="1020" w:hanging="360"/>
      </w:pPr>
    </w:lvl>
    <w:lvl w:ilvl="3" w:tplc="DE283ECA">
      <w:start w:val="1"/>
      <w:numFmt w:val="decimal"/>
      <w:lvlText w:val="%4."/>
      <w:lvlJc w:val="left"/>
      <w:pPr>
        <w:ind w:left="1020" w:hanging="360"/>
      </w:pPr>
    </w:lvl>
    <w:lvl w:ilvl="4" w:tplc="253CE22E">
      <w:start w:val="1"/>
      <w:numFmt w:val="decimal"/>
      <w:lvlText w:val="%5."/>
      <w:lvlJc w:val="left"/>
      <w:pPr>
        <w:ind w:left="1020" w:hanging="360"/>
      </w:pPr>
    </w:lvl>
    <w:lvl w:ilvl="5" w:tplc="C12C413E">
      <w:start w:val="1"/>
      <w:numFmt w:val="decimal"/>
      <w:lvlText w:val="%6."/>
      <w:lvlJc w:val="left"/>
      <w:pPr>
        <w:ind w:left="1020" w:hanging="360"/>
      </w:pPr>
    </w:lvl>
    <w:lvl w:ilvl="6" w:tplc="65FA944C">
      <w:start w:val="1"/>
      <w:numFmt w:val="decimal"/>
      <w:lvlText w:val="%7."/>
      <w:lvlJc w:val="left"/>
      <w:pPr>
        <w:ind w:left="1020" w:hanging="360"/>
      </w:pPr>
    </w:lvl>
    <w:lvl w:ilvl="7" w:tplc="D64CDBDE">
      <w:start w:val="1"/>
      <w:numFmt w:val="decimal"/>
      <w:lvlText w:val="%8."/>
      <w:lvlJc w:val="left"/>
      <w:pPr>
        <w:ind w:left="1020" w:hanging="360"/>
      </w:pPr>
    </w:lvl>
    <w:lvl w:ilvl="8" w:tplc="6BBA3F42">
      <w:start w:val="1"/>
      <w:numFmt w:val="decimal"/>
      <w:lvlText w:val="%9."/>
      <w:lvlJc w:val="left"/>
      <w:pPr>
        <w:ind w:left="1020" w:hanging="360"/>
      </w:pPr>
    </w:lvl>
  </w:abstractNum>
  <w:abstractNum w:abstractNumId="15" w15:restartNumberingAfterBreak="0">
    <w:nsid w:val="1B135574"/>
    <w:multiLevelType w:val="multilevel"/>
    <w:tmpl w:val="C83A13BA"/>
    <w:lvl w:ilvl="0">
      <w:start w:val="1"/>
      <w:numFmt w:val="bullet"/>
      <w:pStyle w:val="MinorBullet1"/>
      <w:lvlText w:val=""/>
      <w:lvlJc w:val="left"/>
      <w:pPr>
        <w:tabs>
          <w:tab w:val="num" w:pos="794"/>
        </w:tabs>
        <w:ind w:left="794" w:hanging="363"/>
      </w:pPr>
      <w:rPr>
        <w:rFonts w:ascii="Wingdings 2" w:hAnsi="Wingdings 2" w:hint="default"/>
        <w:color w:val="06357A"/>
        <w:sz w:val="12"/>
      </w:rPr>
    </w:lvl>
    <w:lvl w:ilvl="1">
      <w:start w:val="1"/>
      <w:numFmt w:val="bullet"/>
      <w:pStyle w:val="MinorBullet2"/>
      <w:lvlText w:val=""/>
      <w:lvlJc w:val="left"/>
      <w:pPr>
        <w:tabs>
          <w:tab w:val="num" w:pos="1157"/>
        </w:tabs>
        <w:ind w:left="1157" w:hanging="363"/>
      </w:pPr>
      <w:rPr>
        <w:rFonts w:ascii="Wingdings 2" w:hAnsi="Wingdings 2" w:hint="default"/>
        <w:color w:val="06357A"/>
        <w:sz w:val="12"/>
      </w:rPr>
    </w:lvl>
    <w:lvl w:ilvl="2">
      <w:start w:val="1"/>
      <w:numFmt w:val="bullet"/>
      <w:pStyle w:val="MinorBullet3"/>
      <w:lvlText w:val="̶"/>
      <w:lvlJc w:val="left"/>
      <w:pPr>
        <w:tabs>
          <w:tab w:val="num" w:pos="1520"/>
        </w:tabs>
        <w:ind w:left="1520" w:hanging="363"/>
      </w:pPr>
      <w:rPr>
        <w:rFonts w:ascii="Calibri" w:hAnsi="Calibri" w:cs="Times New Roman" w:hint="default"/>
        <w:color w:val="06357A"/>
        <w:sz w:val="12"/>
      </w:rPr>
    </w:lvl>
    <w:lvl w:ilvl="3">
      <w:start w:val="1"/>
      <w:numFmt w:val="none"/>
      <w:lvlText w:val=""/>
      <w:lvlJc w:val="left"/>
      <w:pPr>
        <w:tabs>
          <w:tab w:val="num" w:pos="1520"/>
        </w:tabs>
        <w:ind w:left="1520" w:firstLine="0"/>
      </w:pPr>
    </w:lvl>
    <w:lvl w:ilvl="4">
      <w:start w:val="1"/>
      <w:numFmt w:val="none"/>
      <w:lvlText w:val=""/>
      <w:lvlJc w:val="left"/>
      <w:pPr>
        <w:tabs>
          <w:tab w:val="num" w:pos="1520"/>
        </w:tabs>
        <w:ind w:left="1520" w:firstLine="0"/>
      </w:pPr>
    </w:lvl>
    <w:lvl w:ilvl="5">
      <w:start w:val="1"/>
      <w:numFmt w:val="none"/>
      <w:lvlText w:val=""/>
      <w:lvlJc w:val="left"/>
      <w:pPr>
        <w:tabs>
          <w:tab w:val="num" w:pos="1520"/>
        </w:tabs>
        <w:ind w:left="1520" w:firstLine="0"/>
      </w:pPr>
    </w:lvl>
    <w:lvl w:ilvl="6">
      <w:start w:val="1"/>
      <w:numFmt w:val="none"/>
      <w:lvlText w:val=""/>
      <w:lvlJc w:val="left"/>
      <w:pPr>
        <w:tabs>
          <w:tab w:val="num" w:pos="1520"/>
        </w:tabs>
        <w:ind w:left="1520" w:firstLine="0"/>
      </w:pPr>
    </w:lvl>
    <w:lvl w:ilvl="7">
      <w:start w:val="1"/>
      <w:numFmt w:val="none"/>
      <w:lvlText w:val=""/>
      <w:lvlJc w:val="left"/>
      <w:pPr>
        <w:tabs>
          <w:tab w:val="num" w:pos="1520"/>
        </w:tabs>
        <w:ind w:left="1520" w:firstLine="0"/>
      </w:pPr>
    </w:lvl>
    <w:lvl w:ilvl="8">
      <w:start w:val="1"/>
      <w:numFmt w:val="none"/>
      <w:lvlText w:val=""/>
      <w:lvlJc w:val="left"/>
      <w:pPr>
        <w:tabs>
          <w:tab w:val="num" w:pos="1520"/>
        </w:tabs>
        <w:ind w:left="1520" w:firstLine="0"/>
      </w:pPr>
    </w:lvl>
  </w:abstractNum>
  <w:abstractNum w:abstractNumId="16" w15:restartNumberingAfterBreak="0">
    <w:nsid w:val="1B8612A9"/>
    <w:multiLevelType w:val="hybridMultilevel"/>
    <w:tmpl w:val="DD08F47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C826A8E"/>
    <w:multiLevelType w:val="hybridMultilevel"/>
    <w:tmpl w:val="1E4223A0"/>
    <w:lvl w:ilvl="0" w:tplc="12466CC4">
      <w:start w:val="1"/>
      <w:numFmt w:val="decimal"/>
      <w:lvlText w:val="%1."/>
      <w:lvlJc w:val="left"/>
      <w:pPr>
        <w:ind w:left="1440" w:hanging="360"/>
      </w:pPr>
    </w:lvl>
    <w:lvl w:ilvl="1" w:tplc="2CAE53DC">
      <w:start w:val="1"/>
      <w:numFmt w:val="decimal"/>
      <w:lvlText w:val="%2."/>
      <w:lvlJc w:val="left"/>
      <w:pPr>
        <w:ind w:left="1440" w:hanging="360"/>
      </w:pPr>
    </w:lvl>
    <w:lvl w:ilvl="2" w:tplc="885E2000">
      <w:start w:val="1"/>
      <w:numFmt w:val="decimal"/>
      <w:lvlText w:val="%3."/>
      <w:lvlJc w:val="left"/>
      <w:pPr>
        <w:ind w:left="1440" w:hanging="360"/>
      </w:pPr>
    </w:lvl>
    <w:lvl w:ilvl="3" w:tplc="EEDAD43C">
      <w:start w:val="1"/>
      <w:numFmt w:val="decimal"/>
      <w:lvlText w:val="%4."/>
      <w:lvlJc w:val="left"/>
      <w:pPr>
        <w:ind w:left="1440" w:hanging="360"/>
      </w:pPr>
    </w:lvl>
    <w:lvl w:ilvl="4" w:tplc="82A0BBEC">
      <w:start w:val="1"/>
      <w:numFmt w:val="decimal"/>
      <w:lvlText w:val="%5."/>
      <w:lvlJc w:val="left"/>
      <w:pPr>
        <w:ind w:left="1440" w:hanging="360"/>
      </w:pPr>
    </w:lvl>
    <w:lvl w:ilvl="5" w:tplc="ECAE950E">
      <w:start w:val="1"/>
      <w:numFmt w:val="decimal"/>
      <w:lvlText w:val="%6."/>
      <w:lvlJc w:val="left"/>
      <w:pPr>
        <w:ind w:left="1440" w:hanging="360"/>
      </w:pPr>
    </w:lvl>
    <w:lvl w:ilvl="6" w:tplc="C42A1622">
      <w:start w:val="1"/>
      <w:numFmt w:val="decimal"/>
      <w:lvlText w:val="%7."/>
      <w:lvlJc w:val="left"/>
      <w:pPr>
        <w:ind w:left="1440" w:hanging="360"/>
      </w:pPr>
    </w:lvl>
    <w:lvl w:ilvl="7" w:tplc="83166DDA">
      <w:start w:val="1"/>
      <w:numFmt w:val="decimal"/>
      <w:lvlText w:val="%8."/>
      <w:lvlJc w:val="left"/>
      <w:pPr>
        <w:ind w:left="1440" w:hanging="360"/>
      </w:pPr>
    </w:lvl>
    <w:lvl w:ilvl="8" w:tplc="A61850F0">
      <w:start w:val="1"/>
      <w:numFmt w:val="decimal"/>
      <w:lvlText w:val="%9."/>
      <w:lvlJc w:val="left"/>
      <w:pPr>
        <w:ind w:left="1440" w:hanging="360"/>
      </w:pPr>
    </w:lvl>
  </w:abstractNum>
  <w:abstractNum w:abstractNumId="18" w15:restartNumberingAfterBreak="0">
    <w:nsid w:val="1EB07067"/>
    <w:multiLevelType w:val="hybridMultilevel"/>
    <w:tmpl w:val="F4D6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B954ED"/>
    <w:multiLevelType w:val="hybridMultilevel"/>
    <w:tmpl w:val="18946C34"/>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62242E"/>
    <w:multiLevelType w:val="multilevel"/>
    <w:tmpl w:val="49AE119E"/>
    <w:styleLink w:val="NumbLstTables"/>
    <w:lvl w:ilvl="0">
      <w:start w:val="1"/>
      <w:numFmt w:val="decimal"/>
      <w:pStyle w:val="TableNumbList1"/>
      <w:lvlText w:val="%1."/>
      <w:lvlJc w:val="left"/>
      <w:pPr>
        <w:tabs>
          <w:tab w:val="num" w:pos="397"/>
        </w:tabs>
        <w:ind w:left="397" w:hanging="340"/>
      </w:pPr>
      <w:rPr>
        <w:rFonts w:hint="default"/>
      </w:rPr>
    </w:lvl>
    <w:lvl w:ilvl="1">
      <w:start w:val="1"/>
      <w:numFmt w:val="lowerLetter"/>
      <w:pStyle w:val="TableNumbList2"/>
      <w:lvlText w:val="%2."/>
      <w:lvlJc w:val="left"/>
      <w:pPr>
        <w:tabs>
          <w:tab w:val="num" w:pos="737"/>
        </w:tabs>
        <w:ind w:left="737" w:hanging="340"/>
      </w:pPr>
      <w:rPr>
        <w:rFonts w:hint="default"/>
      </w:rPr>
    </w:lvl>
    <w:lvl w:ilvl="2">
      <w:start w:val="1"/>
      <w:numFmt w:val="bullet"/>
      <w:pStyle w:val="TableBullet1"/>
      <w:lvlText w:val=""/>
      <w:lvlJc w:val="left"/>
      <w:pPr>
        <w:tabs>
          <w:tab w:val="num" w:pos="340"/>
        </w:tabs>
        <w:ind w:left="397" w:hanging="340"/>
      </w:pPr>
      <w:rPr>
        <w:rFonts w:ascii="Symbol" w:hAnsi="Symbol" w:hint="default"/>
        <w:color w:val="1D1D1B" w:themeColor="text1"/>
      </w:rPr>
    </w:lvl>
    <w:lvl w:ilvl="3">
      <w:start w:val="1"/>
      <w:numFmt w:val="bullet"/>
      <w:pStyle w:val="TableBullet2"/>
      <w:lvlText w:val="–"/>
      <w:lvlJc w:val="left"/>
      <w:pPr>
        <w:tabs>
          <w:tab w:val="num" w:pos="737"/>
        </w:tabs>
        <w:ind w:left="737" w:hanging="397"/>
      </w:pPr>
      <w:rPr>
        <w:rFonts w:ascii="Calibri" w:hAnsi="Calibri" w:hint="default"/>
        <w:color w:val="1D1D1B" w:themeColor="text1"/>
      </w:rPr>
    </w:lvl>
    <w:lvl w:ilvl="4">
      <w:start w:val="1"/>
      <w:numFmt w:val="none"/>
      <w:suff w:val="nothing"/>
      <w:lvlText w:val=""/>
      <w:lvlJc w:val="left"/>
      <w:pPr>
        <w:ind w:left="284" w:firstLine="0"/>
      </w:pPr>
      <w:rPr>
        <w:rFonts w:hint="default"/>
      </w:rPr>
    </w:lvl>
    <w:lvl w:ilvl="5">
      <w:start w:val="1"/>
      <w:numFmt w:val="none"/>
      <w:suff w:val="nothing"/>
      <w:lvlText w:val=""/>
      <w:lvlJc w:val="left"/>
      <w:pPr>
        <w:ind w:left="51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1" w15:restartNumberingAfterBreak="0">
    <w:nsid w:val="25EF75B1"/>
    <w:multiLevelType w:val="multilevel"/>
    <w:tmpl w:val="3DE4BCFA"/>
    <w:name w:val="IFF_Q_List_1"/>
    <w:lvl w:ilvl="0">
      <w:start w:val="1"/>
      <w:numFmt w:val="upperLetter"/>
      <w:pStyle w:val="QuestionSectHead"/>
      <w:lvlText w:val="%1"/>
      <w:lvlJc w:val="left"/>
      <w:pPr>
        <w:tabs>
          <w:tab w:val="num" w:pos="539"/>
        </w:tabs>
        <w:ind w:left="539" w:hanging="539"/>
      </w:pPr>
      <w:rPr>
        <w:rFonts w:ascii="Arial" w:hAnsi="Arial" w:hint="default"/>
        <w:b w:val="0"/>
        <w:i w:val="0"/>
      </w:rPr>
    </w:lvl>
    <w:lvl w:ilvl="1">
      <w:start w:val="1"/>
      <w:numFmt w:val="decimal"/>
      <w:pStyle w:val="QuestionText"/>
      <w:lvlText w:val="%1%2"/>
      <w:lvlJc w:val="left"/>
      <w:pPr>
        <w:tabs>
          <w:tab w:val="num" w:pos="539"/>
        </w:tabs>
        <w:ind w:left="539" w:hanging="539"/>
      </w:pPr>
      <w:rPr>
        <w:rFonts w:ascii="Arial" w:hAnsi="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hint="default"/>
        <w:b w:val="0"/>
        <w:i w:val="0"/>
        <w:color w:val="131313"/>
      </w:rPr>
    </w:lvl>
    <w:lvl w:ilvl="3">
      <w:start w:val="1"/>
      <w:numFmt w:val="decimal"/>
      <w:lvlRestart w:val="0"/>
      <w:pStyle w:val="QTableFO"/>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pStyle w:val="Qtable1to10Horiz"/>
      <w:suff w:val="nothing"/>
      <w:lvlText w:val="%6"/>
      <w:lvlJc w:val="left"/>
      <w:pPr>
        <w:ind w:left="0" w:firstLine="0"/>
      </w:pPr>
      <w:rPr>
        <w:rFonts w:ascii="Arial" w:hAnsi="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hint="default"/>
        <w:b w:val="0"/>
        <w:i w:val="0"/>
        <w:sz w:val="20"/>
      </w:rPr>
    </w:lvl>
    <w:lvl w:ilvl="7">
      <w:start w:val="1"/>
      <w:numFmt w:val="none"/>
      <w:pStyle w:val="QuestionDerABC"/>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6105CCB"/>
    <w:multiLevelType w:val="hybridMultilevel"/>
    <w:tmpl w:val="F7DA0BB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2A08220B"/>
    <w:multiLevelType w:val="multilevel"/>
    <w:tmpl w:val="30CA3BDA"/>
    <w:lvl w:ilvl="0">
      <w:start w:val="1"/>
      <w:numFmt w:val="bullet"/>
      <w:lvlText w:val=""/>
      <w:lvlJc w:val="left"/>
      <w:pPr>
        <w:tabs>
          <w:tab w:val="num" w:pos="340"/>
        </w:tabs>
        <w:ind w:left="340" w:hanging="340"/>
      </w:pPr>
      <w:rPr>
        <w:rFonts w:ascii="Symbol" w:hAnsi="Symbol" w:hint="default"/>
        <w:color w:val="1D1D1B" w:themeColor="text1"/>
      </w:rPr>
    </w:lvl>
    <w:lvl w:ilvl="1">
      <w:start w:val="1"/>
      <w:numFmt w:val="bullet"/>
      <w:lvlText w:val="–"/>
      <w:lvlJc w:val="left"/>
      <w:pPr>
        <w:tabs>
          <w:tab w:val="num" w:pos="765"/>
        </w:tabs>
        <w:ind w:left="765" w:hanging="340"/>
      </w:pPr>
      <w:rPr>
        <w:rFonts w:ascii="Calibri" w:hAnsi="Calibri" w:hint="default"/>
        <w:color w:val="1D1D1B" w:themeColor="text1"/>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4" w15:restartNumberingAfterBreak="0">
    <w:nsid w:val="2ABF2D61"/>
    <w:multiLevelType w:val="hybridMultilevel"/>
    <w:tmpl w:val="2F80BD74"/>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B40645B"/>
    <w:multiLevelType w:val="multilevel"/>
    <w:tmpl w:val="024A221E"/>
    <w:numStyleLink w:val="NumbLstNumblist"/>
  </w:abstractNum>
  <w:abstractNum w:abstractNumId="26" w15:restartNumberingAfterBreak="0">
    <w:nsid w:val="2C1A112F"/>
    <w:multiLevelType w:val="hybridMultilevel"/>
    <w:tmpl w:val="C80044F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C3C45B8"/>
    <w:multiLevelType w:val="hybridMultilevel"/>
    <w:tmpl w:val="4FB07AE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CC94BAD"/>
    <w:multiLevelType w:val="multilevel"/>
    <w:tmpl w:val="80F84BCE"/>
    <w:styleLink w:val="NumbLstMain"/>
    <w:lvl w:ilvl="0">
      <w:start w:val="1"/>
      <w:numFmt w:val="decimal"/>
      <w:pStyle w:val="Heading1Num"/>
      <w:lvlText w:val="%1."/>
      <w:lvlJc w:val="left"/>
      <w:pPr>
        <w:tabs>
          <w:tab w:val="num" w:pos="794"/>
        </w:tabs>
        <w:ind w:left="680" w:hanging="680"/>
      </w:pPr>
      <w:rPr>
        <w:rFonts w:hint="default"/>
      </w:rPr>
    </w:lvl>
    <w:lvl w:ilvl="1">
      <w:start w:val="1"/>
      <w:numFmt w:val="decimal"/>
      <w:pStyle w:val="Heading2Num"/>
      <w:lvlText w:val="%1.%2"/>
      <w:lvlJc w:val="left"/>
      <w:pPr>
        <w:tabs>
          <w:tab w:val="num" w:pos="2637"/>
        </w:tabs>
        <w:ind w:left="2523" w:hanging="680"/>
      </w:pPr>
      <w:rPr>
        <w:rFonts w:hint="default"/>
      </w:rPr>
    </w:lvl>
    <w:lvl w:ilvl="2">
      <w:start w:val="1"/>
      <w:numFmt w:val="decimal"/>
      <w:pStyle w:val="Heading3Numb"/>
      <w:lvlText w:val="%1.%2.%3"/>
      <w:lvlJc w:val="left"/>
      <w:pPr>
        <w:tabs>
          <w:tab w:val="num" w:pos="794"/>
        </w:tabs>
        <w:ind w:left="680" w:hanging="680"/>
      </w:pPr>
      <w:rPr>
        <w:rFonts w:hint="default"/>
      </w:rPr>
    </w:lvl>
    <w:lvl w:ilvl="3">
      <w:start w:val="1"/>
      <w:numFmt w:val="none"/>
      <w:lvlText w:val=""/>
      <w:lvlJc w:val="left"/>
      <w:pPr>
        <w:tabs>
          <w:tab w:val="num" w:pos="340"/>
        </w:tabs>
        <w:ind w:left="340" w:firstLine="0"/>
      </w:pPr>
      <w:rPr>
        <w:rFonts w:hint="default"/>
      </w:rPr>
    </w:lvl>
    <w:lvl w:ilvl="4">
      <w:start w:val="1"/>
      <w:numFmt w:val="none"/>
      <w:lvlText w:val=""/>
      <w:lvlJc w:val="left"/>
      <w:pPr>
        <w:tabs>
          <w:tab w:val="num" w:pos="680"/>
        </w:tabs>
        <w:ind w:left="340" w:firstLine="0"/>
      </w:pPr>
      <w:rPr>
        <w:rFonts w:hint="default"/>
      </w:rPr>
    </w:lvl>
    <w:lvl w:ilvl="5">
      <w:start w:val="1"/>
      <w:numFmt w:val="none"/>
      <w:lvlText w:val=""/>
      <w:lvlJc w:val="left"/>
      <w:pPr>
        <w:ind w:left="340" w:firstLine="0"/>
      </w:pPr>
      <w:rPr>
        <w:rFonts w:hint="default"/>
      </w:rPr>
    </w:lvl>
    <w:lvl w:ilvl="6">
      <w:start w:val="1"/>
      <w:numFmt w:val="none"/>
      <w:lvlText w:val=""/>
      <w:lvlJc w:val="left"/>
      <w:pPr>
        <w:ind w:left="340" w:firstLine="0"/>
      </w:pPr>
      <w:rPr>
        <w:rFonts w:hint="default"/>
      </w:rPr>
    </w:lvl>
    <w:lvl w:ilvl="7">
      <w:start w:val="1"/>
      <w:numFmt w:val="none"/>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29" w15:restartNumberingAfterBreak="0">
    <w:nsid w:val="32FD6268"/>
    <w:multiLevelType w:val="multilevel"/>
    <w:tmpl w:val="5A443E3E"/>
    <w:lvl w:ilvl="0">
      <w:start w:val="1"/>
      <w:numFmt w:val="decimal"/>
      <w:pStyle w:val="ListNumber"/>
      <w:lvlText w:val="%1"/>
      <w:lvlJc w:val="left"/>
      <w:pPr>
        <w:ind w:left="227" w:hanging="227"/>
      </w:pPr>
      <w:rPr>
        <w:rFonts w:ascii="Arial" w:hAnsi="Arial" w:hint="default"/>
        <w:b w:val="0"/>
        <w:i w:val="0"/>
        <w:caps w:val="0"/>
        <w:strike w:val="0"/>
        <w:dstrike w:val="0"/>
        <w:vanish w:val="0"/>
        <w:color w:val="1D1D1B" w:themeColor="text1"/>
        <w:sz w:val="24"/>
        <w:u w:val="none"/>
        <w:vertAlign w:val="baseline"/>
      </w:rPr>
    </w:lvl>
    <w:lvl w:ilvl="1">
      <w:start w:val="1"/>
      <w:numFmt w:val="lowerLetter"/>
      <w:lvlText w:val="%2"/>
      <w:lvlJc w:val="left"/>
      <w:pPr>
        <w:tabs>
          <w:tab w:val="num" w:pos="227"/>
        </w:tabs>
        <w:ind w:left="454" w:hanging="227"/>
      </w:pPr>
      <w:rPr>
        <w:rFonts w:ascii="Arial" w:hAnsi="Arial" w:hint="default"/>
        <w:b w:val="0"/>
        <w:i w:val="0"/>
        <w:color w:val="1D1D1B" w:themeColor="text1"/>
        <w:sz w:val="24"/>
      </w:rPr>
    </w:lvl>
    <w:lvl w:ilvl="2">
      <w:start w:val="1"/>
      <w:numFmt w:val="lowerRoman"/>
      <w:lvlText w:val="%3"/>
      <w:lvlJc w:val="left"/>
      <w:pPr>
        <w:ind w:left="680" w:hanging="226"/>
      </w:pPr>
      <w:rPr>
        <w:rFonts w:ascii="Arial" w:hAnsi="Arial" w:hint="default"/>
        <w:b w:val="0"/>
        <w:i w:val="0"/>
        <w:color w:val="1D1D1B" w:themeColor="text1"/>
        <w:sz w:val="24"/>
      </w:rPr>
    </w:lvl>
    <w:lvl w:ilvl="3">
      <w:start w:val="1"/>
      <w:numFmt w:val="bullet"/>
      <w:lvlText w:val=""/>
      <w:lvlJc w:val="left"/>
      <w:pPr>
        <w:tabs>
          <w:tab w:val="num" w:pos="794"/>
        </w:tabs>
        <w:ind w:left="907" w:hanging="227"/>
      </w:pPr>
      <w:rPr>
        <w:rFonts w:ascii="Symbol" w:hAnsi="Symbol" w:hint="default"/>
      </w:rPr>
    </w:lvl>
    <w:lvl w:ilvl="4">
      <w:start w:val="1"/>
      <w:numFmt w:val="bullet"/>
      <w:lvlText w:val=""/>
      <w:lvlJc w:val="left"/>
      <w:pPr>
        <w:ind w:left="1134" w:hanging="227"/>
      </w:pPr>
      <w:rPr>
        <w:rFonts w:ascii="Symbol" w:hAnsi="Symbol" w:hint="default"/>
      </w:rPr>
    </w:lvl>
    <w:lvl w:ilvl="5">
      <w:start w:val="1"/>
      <w:numFmt w:val="bullet"/>
      <w:lvlText w:val=""/>
      <w:lvlJc w:val="left"/>
      <w:pPr>
        <w:tabs>
          <w:tab w:val="num" w:pos="1134"/>
        </w:tabs>
        <w:ind w:left="1361" w:hanging="227"/>
      </w:pPr>
      <w:rPr>
        <w:rFonts w:ascii="Wingdings" w:hAnsi="Wingdings" w:hint="default"/>
      </w:rPr>
    </w:lvl>
    <w:lvl w:ilvl="6">
      <w:start w:val="1"/>
      <w:numFmt w:val="bullet"/>
      <w:lvlText w:val=""/>
      <w:lvlJc w:val="left"/>
      <w:pPr>
        <w:tabs>
          <w:tab w:val="num" w:pos="1361"/>
        </w:tabs>
        <w:ind w:left="1588" w:hanging="227"/>
      </w:pPr>
      <w:rPr>
        <w:rFonts w:ascii="Wingdings" w:hAnsi="Wingdings" w:hint="default"/>
      </w:rPr>
    </w:lvl>
    <w:lvl w:ilvl="7">
      <w:start w:val="1"/>
      <w:numFmt w:val="bullet"/>
      <w:lvlText w:val=""/>
      <w:lvlJc w:val="left"/>
      <w:pPr>
        <w:ind w:left="1814" w:hanging="226"/>
      </w:pPr>
      <w:rPr>
        <w:rFonts w:ascii="Symbol" w:hAnsi="Symbol" w:hint="default"/>
      </w:rPr>
    </w:lvl>
    <w:lvl w:ilvl="8">
      <w:start w:val="1"/>
      <w:numFmt w:val="bullet"/>
      <w:lvlText w:val=""/>
      <w:lvlJc w:val="left"/>
      <w:pPr>
        <w:ind w:left="2041" w:hanging="227"/>
      </w:pPr>
      <w:rPr>
        <w:rFonts w:ascii="Symbol" w:hAnsi="Symbol" w:hint="default"/>
      </w:rPr>
    </w:lvl>
  </w:abstractNum>
  <w:abstractNum w:abstractNumId="30" w15:restartNumberingAfterBreak="0">
    <w:nsid w:val="3A522335"/>
    <w:multiLevelType w:val="multilevel"/>
    <w:tmpl w:val="0540B7A6"/>
    <w:styleLink w:val="NumbLstBullet"/>
    <w:lvl w:ilvl="0">
      <w:start w:val="1"/>
      <w:numFmt w:val="bullet"/>
      <w:lvlText w:val=""/>
      <w:lvlJc w:val="left"/>
      <w:pPr>
        <w:tabs>
          <w:tab w:val="num" w:pos="340"/>
        </w:tabs>
        <w:ind w:left="340" w:hanging="340"/>
      </w:pPr>
      <w:rPr>
        <w:rFonts w:ascii="Symbol" w:hAnsi="Symbol" w:hint="default"/>
        <w:color w:val="1D1D1B" w:themeColor="text1"/>
      </w:rPr>
    </w:lvl>
    <w:lvl w:ilvl="1">
      <w:start w:val="1"/>
      <w:numFmt w:val="bullet"/>
      <w:lvlText w:val="–"/>
      <w:lvlJc w:val="left"/>
      <w:pPr>
        <w:tabs>
          <w:tab w:val="num" w:pos="765"/>
        </w:tabs>
        <w:ind w:left="765" w:hanging="340"/>
      </w:pPr>
      <w:rPr>
        <w:rFonts w:ascii="Calibri" w:hAnsi="Calibri" w:hint="default"/>
        <w:color w:val="1D1D1B" w:themeColor="text1"/>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31" w15:restartNumberingAfterBreak="0">
    <w:nsid w:val="3AA80039"/>
    <w:multiLevelType w:val="hybridMultilevel"/>
    <w:tmpl w:val="8D080D14"/>
    <w:lvl w:ilvl="0" w:tplc="3BA80EB4">
      <w:start w:val="1"/>
      <w:numFmt w:val="decimal"/>
      <w:lvlText w:val="%1."/>
      <w:lvlJc w:val="left"/>
      <w:pPr>
        <w:ind w:left="1440" w:hanging="360"/>
      </w:pPr>
    </w:lvl>
    <w:lvl w:ilvl="1" w:tplc="7D62A23A">
      <w:start w:val="1"/>
      <w:numFmt w:val="decimal"/>
      <w:lvlText w:val="%2."/>
      <w:lvlJc w:val="left"/>
      <w:pPr>
        <w:ind w:left="1440" w:hanging="360"/>
      </w:pPr>
    </w:lvl>
    <w:lvl w:ilvl="2" w:tplc="3170F98A">
      <w:start w:val="1"/>
      <w:numFmt w:val="decimal"/>
      <w:lvlText w:val="%3."/>
      <w:lvlJc w:val="left"/>
      <w:pPr>
        <w:ind w:left="1440" w:hanging="360"/>
      </w:pPr>
    </w:lvl>
    <w:lvl w:ilvl="3" w:tplc="BB8094B4">
      <w:start w:val="1"/>
      <w:numFmt w:val="decimal"/>
      <w:lvlText w:val="%4."/>
      <w:lvlJc w:val="left"/>
      <w:pPr>
        <w:ind w:left="1440" w:hanging="360"/>
      </w:pPr>
    </w:lvl>
    <w:lvl w:ilvl="4" w:tplc="6CAA1F1C">
      <w:start w:val="1"/>
      <w:numFmt w:val="decimal"/>
      <w:lvlText w:val="%5."/>
      <w:lvlJc w:val="left"/>
      <w:pPr>
        <w:ind w:left="1440" w:hanging="360"/>
      </w:pPr>
    </w:lvl>
    <w:lvl w:ilvl="5" w:tplc="C9C418B2">
      <w:start w:val="1"/>
      <w:numFmt w:val="decimal"/>
      <w:lvlText w:val="%6."/>
      <w:lvlJc w:val="left"/>
      <w:pPr>
        <w:ind w:left="1440" w:hanging="360"/>
      </w:pPr>
    </w:lvl>
    <w:lvl w:ilvl="6" w:tplc="EDFC8C82">
      <w:start w:val="1"/>
      <w:numFmt w:val="decimal"/>
      <w:lvlText w:val="%7."/>
      <w:lvlJc w:val="left"/>
      <w:pPr>
        <w:ind w:left="1440" w:hanging="360"/>
      </w:pPr>
    </w:lvl>
    <w:lvl w:ilvl="7" w:tplc="E8F46CDE">
      <w:start w:val="1"/>
      <w:numFmt w:val="decimal"/>
      <w:lvlText w:val="%8."/>
      <w:lvlJc w:val="left"/>
      <w:pPr>
        <w:ind w:left="1440" w:hanging="360"/>
      </w:pPr>
    </w:lvl>
    <w:lvl w:ilvl="8" w:tplc="185CDDEA">
      <w:start w:val="1"/>
      <w:numFmt w:val="decimal"/>
      <w:lvlText w:val="%9."/>
      <w:lvlJc w:val="left"/>
      <w:pPr>
        <w:ind w:left="1440" w:hanging="360"/>
      </w:pPr>
    </w:lvl>
  </w:abstractNum>
  <w:abstractNum w:abstractNumId="32" w15:restartNumberingAfterBreak="0">
    <w:nsid w:val="461B49D6"/>
    <w:multiLevelType w:val="hybridMultilevel"/>
    <w:tmpl w:val="BC46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9D265F"/>
    <w:multiLevelType w:val="multilevel"/>
    <w:tmpl w:val="F4DA0824"/>
    <w:styleLink w:val="SQWPlainNumbering"/>
    <w:lvl w:ilvl="0">
      <w:start w:val="1"/>
      <w:numFmt w:val="decimal"/>
      <w:lvlText w:val="%1."/>
      <w:lvlJc w:val="left"/>
      <w:pPr>
        <w:tabs>
          <w:tab w:val="num" w:pos="0"/>
        </w:tabs>
        <w:ind w:left="0" w:hanging="510"/>
      </w:pPr>
      <w:rPr>
        <w:rFonts w:ascii="Century Gothic" w:hAnsi="Century Gothic" w:hint="default"/>
        <w:b/>
        <w:i w:val="0"/>
        <w:color w:val="DA291C"/>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6A27192"/>
    <w:multiLevelType w:val="multilevel"/>
    <w:tmpl w:val="80F84BCE"/>
    <w:numStyleLink w:val="NumbLstMain"/>
  </w:abstractNum>
  <w:abstractNum w:abstractNumId="35" w15:restartNumberingAfterBreak="0">
    <w:nsid w:val="47D3EE52"/>
    <w:multiLevelType w:val="hybridMultilevel"/>
    <w:tmpl w:val="FFFFFFFF"/>
    <w:styleLink w:val="NumbLstTables2"/>
    <w:lvl w:ilvl="0" w:tplc="0C488C92">
      <w:start w:val="1"/>
      <w:numFmt w:val="bullet"/>
      <w:lvlText w:val=""/>
      <w:lvlJc w:val="left"/>
      <w:pPr>
        <w:ind w:left="720" w:hanging="360"/>
      </w:pPr>
      <w:rPr>
        <w:rFonts w:ascii="Symbol" w:hAnsi="Symbol" w:hint="default"/>
      </w:rPr>
    </w:lvl>
    <w:lvl w:ilvl="1" w:tplc="5ED8D818">
      <w:start w:val="1"/>
      <w:numFmt w:val="bullet"/>
      <w:lvlText w:val="o"/>
      <w:lvlJc w:val="left"/>
      <w:pPr>
        <w:ind w:left="1440" w:hanging="360"/>
      </w:pPr>
      <w:rPr>
        <w:rFonts w:ascii="Courier New" w:hAnsi="Courier New" w:hint="default"/>
      </w:rPr>
    </w:lvl>
    <w:lvl w:ilvl="2" w:tplc="CD3C2406">
      <w:start w:val="1"/>
      <w:numFmt w:val="bullet"/>
      <w:lvlText w:val=""/>
      <w:lvlJc w:val="left"/>
      <w:pPr>
        <w:ind w:left="2160" w:hanging="360"/>
      </w:pPr>
      <w:rPr>
        <w:rFonts w:ascii="Wingdings" w:hAnsi="Wingdings" w:hint="default"/>
      </w:rPr>
    </w:lvl>
    <w:lvl w:ilvl="3" w:tplc="4800B2B0">
      <w:start w:val="1"/>
      <w:numFmt w:val="bullet"/>
      <w:lvlText w:val=""/>
      <w:lvlJc w:val="left"/>
      <w:pPr>
        <w:ind w:left="2880" w:hanging="360"/>
      </w:pPr>
      <w:rPr>
        <w:rFonts w:ascii="Symbol" w:hAnsi="Symbol" w:hint="default"/>
      </w:rPr>
    </w:lvl>
    <w:lvl w:ilvl="4" w:tplc="9D1CB7AE">
      <w:start w:val="1"/>
      <w:numFmt w:val="bullet"/>
      <w:lvlText w:val="o"/>
      <w:lvlJc w:val="left"/>
      <w:pPr>
        <w:ind w:left="3600" w:hanging="360"/>
      </w:pPr>
      <w:rPr>
        <w:rFonts w:ascii="Courier New" w:hAnsi="Courier New" w:hint="default"/>
      </w:rPr>
    </w:lvl>
    <w:lvl w:ilvl="5" w:tplc="40BA8718">
      <w:start w:val="1"/>
      <w:numFmt w:val="bullet"/>
      <w:lvlText w:val=""/>
      <w:lvlJc w:val="left"/>
      <w:pPr>
        <w:ind w:left="4320" w:hanging="360"/>
      </w:pPr>
      <w:rPr>
        <w:rFonts w:ascii="Wingdings" w:hAnsi="Wingdings" w:hint="default"/>
      </w:rPr>
    </w:lvl>
    <w:lvl w:ilvl="6" w:tplc="32180A86">
      <w:start w:val="1"/>
      <w:numFmt w:val="bullet"/>
      <w:lvlText w:val=""/>
      <w:lvlJc w:val="left"/>
      <w:pPr>
        <w:ind w:left="5040" w:hanging="360"/>
      </w:pPr>
      <w:rPr>
        <w:rFonts w:ascii="Symbol" w:hAnsi="Symbol" w:hint="default"/>
      </w:rPr>
    </w:lvl>
    <w:lvl w:ilvl="7" w:tplc="F208BD96">
      <w:start w:val="1"/>
      <w:numFmt w:val="bullet"/>
      <w:lvlText w:val="o"/>
      <w:lvlJc w:val="left"/>
      <w:pPr>
        <w:ind w:left="5760" w:hanging="360"/>
      </w:pPr>
      <w:rPr>
        <w:rFonts w:ascii="Courier New" w:hAnsi="Courier New" w:hint="default"/>
      </w:rPr>
    </w:lvl>
    <w:lvl w:ilvl="8" w:tplc="A41E7B84">
      <w:start w:val="1"/>
      <w:numFmt w:val="bullet"/>
      <w:lvlText w:val=""/>
      <w:lvlJc w:val="left"/>
      <w:pPr>
        <w:ind w:left="6480" w:hanging="360"/>
      </w:pPr>
      <w:rPr>
        <w:rFonts w:ascii="Wingdings" w:hAnsi="Wingdings" w:hint="default"/>
      </w:rPr>
    </w:lvl>
  </w:abstractNum>
  <w:abstractNum w:abstractNumId="36" w15:restartNumberingAfterBreak="0">
    <w:nsid w:val="48570653"/>
    <w:multiLevelType w:val="hybridMultilevel"/>
    <w:tmpl w:val="9F4E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06921"/>
    <w:multiLevelType w:val="hybridMultilevel"/>
    <w:tmpl w:val="164E363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B722B4A"/>
    <w:multiLevelType w:val="hybridMultilevel"/>
    <w:tmpl w:val="E3D2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3E37A3"/>
    <w:multiLevelType w:val="hybridMultilevel"/>
    <w:tmpl w:val="698EF7D6"/>
    <w:lvl w:ilvl="0" w:tplc="8F5C454A">
      <w:start w:val="1"/>
      <w:numFmt w:val="decimal"/>
      <w:lvlText w:val="%1."/>
      <w:lvlJc w:val="left"/>
      <w:pPr>
        <w:ind w:left="720" w:hanging="360"/>
      </w:pPr>
    </w:lvl>
    <w:lvl w:ilvl="1" w:tplc="A10CC540">
      <w:start w:val="1"/>
      <w:numFmt w:val="decimal"/>
      <w:lvlText w:val="%2."/>
      <w:lvlJc w:val="left"/>
      <w:pPr>
        <w:ind w:left="720" w:hanging="360"/>
      </w:pPr>
    </w:lvl>
    <w:lvl w:ilvl="2" w:tplc="E29C02F8">
      <w:start w:val="1"/>
      <w:numFmt w:val="decimal"/>
      <w:lvlText w:val="%3."/>
      <w:lvlJc w:val="left"/>
      <w:pPr>
        <w:ind w:left="720" w:hanging="360"/>
      </w:pPr>
    </w:lvl>
    <w:lvl w:ilvl="3" w:tplc="54D01386">
      <w:start w:val="1"/>
      <w:numFmt w:val="decimal"/>
      <w:lvlText w:val="%4."/>
      <w:lvlJc w:val="left"/>
      <w:pPr>
        <w:ind w:left="720" w:hanging="360"/>
      </w:pPr>
    </w:lvl>
    <w:lvl w:ilvl="4" w:tplc="53683A86">
      <w:start w:val="1"/>
      <w:numFmt w:val="decimal"/>
      <w:lvlText w:val="%5."/>
      <w:lvlJc w:val="left"/>
      <w:pPr>
        <w:ind w:left="720" w:hanging="360"/>
      </w:pPr>
    </w:lvl>
    <w:lvl w:ilvl="5" w:tplc="79ECD6E8">
      <w:start w:val="1"/>
      <w:numFmt w:val="decimal"/>
      <w:lvlText w:val="%6."/>
      <w:lvlJc w:val="left"/>
      <w:pPr>
        <w:ind w:left="720" w:hanging="360"/>
      </w:pPr>
    </w:lvl>
    <w:lvl w:ilvl="6" w:tplc="14F2D89C">
      <w:start w:val="1"/>
      <w:numFmt w:val="decimal"/>
      <w:lvlText w:val="%7."/>
      <w:lvlJc w:val="left"/>
      <w:pPr>
        <w:ind w:left="720" w:hanging="360"/>
      </w:pPr>
    </w:lvl>
    <w:lvl w:ilvl="7" w:tplc="8580E7C4">
      <w:start w:val="1"/>
      <w:numFmt w:val="decimal"/>
      <w:lvlText w:val="%8."/>
      <w:lvlJc w:val="left"/>
      <w:pPr>
        <w:ind w:left="720" w:hanging="360"/>
      </w:pPr>
    </w:lvl>
    <w:lvl w:ilvl="8" w:tplc="D938E242">
      <w:start w:val="1"/>
      <w:numFmt w:val="decimal"/>
      <w:lvlText w:val="%9."/>
      <w:lvlJc w:val="left"/>
      <w:pPr>
        <w:ind w:left="720" w:hanging="360"/>
      </w:pPr>
    </w:lvl>
  </w:abstractNum>
  <w:abstractNum w:abstractNumId="40" w15:restartNumberingAfterBreak="0">
    <w:nsid w:val="4C466619"/>
    <w:multiLevelType w:val="hybridMultilevel"/>
    <w:tmpl w:val="18F4C2A4"/>
    <w:lvl w:ilvl="0" w:tplc="BA946DC2">
      <w:start w:val="1"/>
      <w:numFmt w:val="decimal"/>
      <w:lvlText w:val="%1)"/>
      <w:lvlJc w:val="left"/>
      <w:pPr>
        <w:ind w:left="1020" w:hanging="360"/>
      </w:pPr>
    </w:lvl>
    <w:lvl w:ilvl="1" w:tplc="242C2E14">
      <w:start w:val="1"/>
      <w:numFmt w:val="decimal"/>
      <w:lvlText w:val="%2)"/>
      <w:lvlJc w:val="left"/>
      <w:pPr>
        <w:ind w:left="1020" w:hanging="360"/>
      </w:pPr>
    </w:lvl>
    <w:lvl w:ilvl="2" w:tplc="43266F5E">
      <w:start w:val="1"/>
      <w:numFmt w:val="decimal"/>
      <w:lvlText w:val="%3)"/>
      <w:lvlJc w:val="left"/>
      <w:pPr>
        <w:ind w:left="1020" w:hanging="360"/>
      </w:pPr>
    </w:lvl>
    <w:lvl w:ilvl="3" w:tplc="CE5EA4F6">
      <w:start w:val="1"/>
      <w:numFmt w:val="decimal"/>
      <w:lvlText w:val="%4)"/>
      <w:lvlJc w:val="left"/>
      <w:pPr>
        <w:ind w:left="1020" w:hanging="360"/>
      </w:pPr>
    </w:lvl>
    <w:lvl w:ilvl="4" w:tplc="0CB4D4F8">
      <w:start w:val="1"/>
      <w:numFmt w:val="decimal"/>
      <w:lvlText w:val="%5)"/>
      <w:lvlJc w:val="left"/>
      <w:pPr>
        <w:ind w:left="1020" w:hanging="360"/>
      </w:pPr>
    </w:lvl>
    <w:lvl w:ilvl="5" w:tplc="CEA4FE36">
      <w:start w:val="1"/>
      <w:numFmt w:val="decimal"/>
      <w:lvlText w:val="%6)"/>
      <w:lvlJc w:val="left"/>
      <w:pPr>
        <w:ind w:left="1020" w:hanging="360"/>
      </w:pPr>
    </w:lvl>
    <w:lvl w:ilvl="6" w:tplc="010C7B16">
      <w:start w:val="1"/>
      <w:numFmt w:val="decimal"/>
      <w:lvlText w:val="%7)"/>
      <w:lvlJc w:val="left"/>
      <w:pPr>
        <w:ind w:left="1020" w:hanging="360"/>
      </w:pPr>
    </w:lvl>
    <w:lvl w:ilvl="7" w:tplc="6D8AADD6">
      <w:start w:val="1"/>
      <w:numFmt w:val="decimal"/>
      <w:lvlText w:val="%8)"/>
      <w:lvlJc w:val="left"/>
      <w:pPr>
        <w:ind w:left="1020" w:hanging="360"/>
      </w:pPr>
    </w:lvl>
    <w:lvl w:ilvl="8" w:tplc="A0742780">
      <w:start w:val="1"/>
      <w:numFmt w:val="decimal"/>
      <w:lvlText w:val="%9)"/>
      <w:lvlJc w:val="left"/>
      <w:pPr>
        <w:ind w:left="1020" w:hanging="360"/>
      </w:pPr>
    </w:lvl>
  </w:abstractNum>
  <w:abstractNum w:abstractNumId="41" w15:restartNumberingAfterBreak="0">
    <w:nsid w:val="4E2F1F1E"/>
    <w:multiLevelType w:val="multilevel"/>
    <w:tmpl w:val="E5E089DE"/>
    <w:lvl w:ilvl="0">
      <w:start w:val="1"/>
      <w:numFmt w:val="bullet"/>
      <w:lvlText w:val=""/>
      <w:lvlJc w:val="left"/>
      <w:pPr>
        <w:tabs>
          <w:tab w:val="num" w:pos="340"/>
        </w:tabs>
        <w:ind w:left="340" w:hanging="340"/>
      </w:pPr>
      <w:rPr>
        <w:rFonts w:ascii="Symbol" w:hAnsi="Symbol" w:hint="default"/>
        <w:color w:val="1D1D1B" w:themeColor="text1"/>
      </w:rPr>
    </w:lvl>
    <w:lvl w:ilvl="1">
      <w:start w:val="1"/>
      <w:numFmt w:val="bullet"/>
      <w:lvlText w:val="o"/>
      <w:lvlJc w:val="left"/>
      <w:pPr>
        <w:ind w:left="785" w:hanging="360"/>
      </w:pPr>
      <w:rPr>
        <w:rFonts w:ascii="Courier New" w:hAnsi="Courier New" w:cs="Courier New"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42" w15:restartNumberingAfterBreak="0">
    <w:nsid w:val="50434F71"/>
    <w:multiLevelType w:val="multilevel"/>
    <w:tmpl w:val="CDAE147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50650BC0"/>
    <w:multiLevelType w:val="hybridMultilevel"/>
    <w:tmpl w:val="45B0C280"/>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0F75F0D"/>
    <w:multiLevelType w:val="hybridMultilevel"/>
    <w:tmpl w:val="6936BE0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52474501"/>
    <w:multiLevelType w:val="hybridMultilevel"/>
    <w:tmpl w:val="DBFC151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54C54F26"/>
    <w:multiLevelType w:val="hybridMultilevel"/>
    <w:tmpl w:val="EC72748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7" w15:restartNumberingAfterBreak="0">
    <w:nsid w:val="550F66B1"/>
    <w:multiLevelType w:val="hybridMultilevel"/>
    <w:tmpl w:val="A470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79F3FE0"/>
    <w:multiLevelType w:val="hybridMultilevel"/>
    <w:tmpl w:val="D9F4167C"/>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82B2927"/>
    <w:multiLevelType w:val="hybridMultilevel"/>
    <w:tmpl w:val="DFBE2D22"/>
    <w:lvl w:ilvl="0" w:tplc="08090001">
      <w:start w:val="1"/>
      <w:numFmt w:val="bullet"/>
      <w:pStyle w:val="Heading1Num2Col"/>
      <w:lvlText w:val=""/>
      <w:lvlJc w:val="left"/>
      <w:pPr>
        <w:ind w:left="720" w:hanging="360"/>
      </w:pPr>
      <w:rPr>
        <w:rFonts w:ascii="Symbol" w:hAnsi="Symbol" w:hint="default"/>
      </w:rPr>
    </w:lvl>
    <w:lvl w:ilvl="1" w:tplc="08090001">
      <w:start w:val="1"/>
      <w:numFmt w:val="bullet"/>
      <w:pStyle w:val="Heading2NumNewPg"/>
      <w:lvlText w:val=""/>
      <w:lvlJc w:val="left"/>
      <w:pPr>
        <w:ind w:left="1211"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D74D88"/>
    <w:multiLevelType w:val="multilevel"/>
    <w:tmpl w:val="269EEF6E"/>
    <w:styleLink w:val="EODListNumbers"/>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A136340"/>
    <w:multiLevelType w:val="hybridMultilevel"/>
    <w:tmpl w:val="751AF03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F40730D"/>
    <w:multiLevelType w:val="hybridMultilevel"/>
    <w:tmpl w:val="200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51011D"/>
    <w:multiLevelType w:val="hybridMultilevel"/>
    <w:tmpl w:val="956020CC"/>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FEA5DD5"/>
    <w:multiLevelType w:val="hybridMultilevel"/>
    <w:tmpl w:val="FAD8B80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099276A"/>
    <w:multiLevelType w:val="hybridMultilevel"/>
    <w:tmpl w:val="A5CC1834"/>
    <w:lvl w:ilvl="0" w:tplc="4B2C63D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29C41B7"/>
    <w:multiLevelType w:val="multilevel"/>
    <w:tmpl w:val="E856D442"/>
    <w:styleLink w:val="SQWQuestionNumbering"/>
    <w:lvl w:ilvl="0">
      <w:start w:val="1"/>
      <w:numFmt w:val="decimal"/>
      <w:pStyle w:val="Question"/>
      <w:lvlText w:val="Q%1."/>
      <w:lvlJc w:val="left"/>
      <w:pPr>
        <w:tabs>
          <w:tab w:val="num" w:pos="510"/>
        </w:tabs>
        <w:ind w:left="510" w:hanging="510"/>
      </w:pPr>
      <w:rPr>
        <w:rFonts w:hint="default"/>
      </w:rPr>
    </w:lvl>
    <w:lvl w:ilvl="1">
      <w:start w:val="1"/>
      <w:numFmt w:val="lowerLetter"/>
      <w:pStyle w:val="Sub-question"/>
      <w:lvlText w:val="%2."/>
      <w:lvlJc w:val="left"/>
      <w:pPr>
        <w:tabs>
          <w:tab w:val="num" w:pos="1418"/>
        </w:tabs>
        <w:ind w:left="1418" w:hanging="34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2B8089F"/>
    <w:multiLevelType w:val="hybridMultilevel"/>
    <w:tmpl w:val="FD3EEB2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F2E0F42"/>
    <w:multiLevelType w:val="hybridMultilevel"/>
    <w:tmpl w:val="C8E2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A6C50"/>
    <w:multiLevelType w:val="hybridMultilevel"/>
    <w:tmpl w:val="FFF4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9D41EC"/>
    <w:multiLevelType w:val="hybridMultilevel"/>
    <w:tmpl w:val="6038B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3A1429B"/>
    <w:multiLevelType w:val="hybridMultilevel"/>
    <w:tmpl w:val="EDFA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B41BCD"/>
    <w:multiLevelType w:val="hybridMultilevel"/>
    <w:tmpl w:val="69FA26C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750B65DC"/>
    <w:multiLevelType w:val="hybridMultilevel"/>
    <w:tmpl w:val="C5640C6C"/>
    <w:lvl w:ilvl="0" w:tplc="0809000F">
      <w:start w:val="1"/>
      <w:numFmt w:val="decimal"/>
      <w:lvlText w:val="%1."/>
      <w:lvlJc w:val="left"/>
      <w:pPr>
        <w:ind w:left="929" w:hanging="360"/>
      </w:p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64" w15:restartNumberingAfterBreak="0">
    <w:nsid w:val="76847798"/>
    <w:multiLevelType w:val="hybridMultilevel"/>
    <w:tmpl w:val="F5F677D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5" w15:restartNumberingAfterBreak="0">
    <w:nsid w:val="77A4252B"/>
    <w:multiLevelType w:val="hybridMultilevel"/>
    <w:tmpl w:val="5E10FD1E"/>
    <w:lvl w:ilvl="0" w:tplc="F2B4789C">
      <w:start w:val="1"/>
      <w:numFmt w:val="decimal"/>
      <w:lvlText w:val="%1."/>
      <w:lvlJc w:val="left"/>
      <w:pPr>
        <w:ind w:left="1440" w:hanging="360"/>
      </w:pPr>
    </w:lvl>
    <w:lvl w:ilvl="1" w:tplc="53C4E592">
      <w:start w:val="1"/>
      <w:numFmt w:val="decimal"/>
      <w:lvlText w:val="%2."/>
      <w:lvlJc w:val="left"/>
      <w:pPr>
        <w:ind w:left="1440" w:hanging="360"/>
      </w:pPr>
    </w:lvl>
    <w:lvl w:ilvl="2" w:tplc="AF724E42">
      <w:start w:val="1"/>
      <w:numFmt w:val="decimal"/>
      <w:lvlText w:val="%3."/>
      <w:lvlJc w:val="left"/>
      <w:pPr>
        <w:ind w:left="1440" w:hanging="360"/>
      </w:pPr>
    </w:lvl>
    <w:lvl w:ilvl="3" w:tplc="D0FE24C0">
      <w:start w:val="1"/>
      <w:numFmt w:val="decimal"/>
      <w:lvlText w:val="%4."/>
      <w:lvlJc w:val="left"/>
      <w:pPr>
        <w:ind w:left="1440" w:hanging="360"/>
      </w:pPr>
    </w:lvl>
    <w:lvl w:ilvl="4" w:tplc="5CC8E36C">
      <w:start w:val="1"/>
      <w:numFmt w:val="decimal"/>
      <w:lvlText w:val="%5."/>
      <w:lvlJc w:val="left"/>
      <w:pPr>
        <w:ind w:left="1440" w:hanging="360"/>
      </w:pPr>
    </w:lvl>
    <w:lvl w:ilvl="5" w:tplc="27508034">
      <w:start w:val="1"/>
      <w:numFmt w:val="decimal"/>
      <w:lvlText w:val="%6."/>
      <w:lvlJc w:val="left"/>
      <w:pPr>
        <w:ind w:left="1440" w:hanging="360"/>
      </w:pPr>
    </w:lvl>
    <w:lvl w:ilvl="6" w:tplc="D50A6818">
      <w:start w:val="1"/>
      <w:numFmt w:val="decimal"/>
      <w:lvlText w:val="%7."/>
      <w:lvlJc w:val="left"/>
      <w:pPr>
        <w:ind w:left="1440" w:hanging="360"/>
      </w:pPr>
    </w:lvl>
    <w:lvl w:ilvl="7" w:tplc="C8AE4F5C">
      <w:start w:val="1"/>
      <w:numFmt w:val="decimal"/>
      <w:lvlText w:val="%8."/>
      <w:lvlJc w:val="left"/>
      <w:pPr>
        <w:ind w:left="1440" w:hanging="360"/>
      </w:pPr>
    </w:lvl>
    <w:lvl w:ilvl="8" w:tplc="049E697C">
      <w:start w:val="1"/>
      <w:numFmt w:val="decimal"/>
      <w:lvlText w:val="%9."/>
      <w:lvlJc w:val="left"/>
      <w:pPr>
        <w:ind w:left="1440" w:hanging="360"/>
      </w:pPr>
    </w:lvl>
  </w:abstractNum>
  <w:abstractNum w:abstractNumId="66" w15:restartNumberingAfterBreak="0">
    <w:nsid w:val="7AE6192D"/>
    <w:multiLevelType w:val="hybridMultilevel"/>
    <w:tmpl w:val="C6C02AD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7C965FEA"/>
    <w:multiLevelType w:val="multilevel"/>
    <w:tmpl w:val="024A221E"/>
    <w:styleLink w:val="NumbLstNumblist"/>
    <w:lvl w:ilvl="0">
      <w:start w:val="1"/>
      <w:numFmt w:val="decimal"/>
      <w:pStyle w:val="NumbList1"/>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none"/>
      <w:lvlText w:val=""/>
      <w:lvlJc w:val="left"/>
      <w:pPr>
        <w:ind w:left="680" w:hanging="340"/>
      </w:pPr>
      <w:rPr>
        <w:rFonts w:hint="default"/>
      </w:rPr>
    </w:lvl>
    <w:lvl w:ilvl="3">
      <w:start w:val="1"/>
      <w:numFmt w:val="none"/>
      <w:lvlText w:val=""/>
      <w:lvlJc w:val="left"/>
      <w:pPr>
        <w:ind w:left="680" w:hanging="340"/>
      </w:pPr>
      <w:rPr>
        <w:rFonts w:hint="default"/>
      </w:rPr>
    </w:lvl>
    <w:lvl w:ilvl="4">
      <w:start w:val="1"/>
      <w:numFmt w:val="none"/>
      <w:lvlText w:val=""/>
      <w:lvlJc w:val="left"/>
      <w:pPr>
        <w:ind w:left="680" w:hanging="340"/>
      </w:pPr>
      <w:rPr>
        <w:rFonts w:hint="default"/>
      </w:rPr>
    </w:lvl>
    <w:lvl w:ilvl="5">
      <w:start w:val="1"/>
      <w:numFmt w:val="none"/>
      <w:lvlText w:val=""/>
      <w:lvlJc w:val="left"/>
      <w:pPr>
        <w:ind w:left="680" w:hanging="340"/>
      </w:pPr>
      <w:rPr>
        <w:rFonts w:hint="default"/>
      </w:rPr>
    </w:lvl>
    <w:lvl w:ilvl="6">
      <w:start w:val="1"/>
      <w:numFmt w:val="none"/>
      <w:lvlText w:val=""/>
      <w:lvlJc w:val="left"/>
      <w:pPr>
        <w:ind w:left="680" w:hanging="340"/>
      </w:pPr>
      <w:rPr>
        <w:rFonts w:hint="default"/>
      </w:rPr>
    </w:lvl>
    <w:lvl w:ilvl="7">
      <w:start w:val="1"/>
      <w:numFmt w:val="none"/>
      <w:lvlText w:val=""/>
      <w:lvlJc w:val="left"/>
      <w:pPr>
        <w:ind w:left="680" w:hanging="340"/>
      </w:pPr>
      <w:rPr>
        <w:rFonts w:hint="default"/>
      </w:rPr>
    </w:lvl>
    <w:lvl w:ilvl="8">
      <w:start w:val="1"/>
      <w:numFmt w:val="none"/>
      <w:lvlText w:val=""/>
      <w:lvlJc w:val="left"/>
      <w:pPr>
        <w:ind w:left="680" w:hanging="340"/>
      </w:pPr>
      <w:rPr>
        <w:rFonts w:hint="default"/>
      </w:rPr>
    </w:lvl>
  </w:abstractNum>
  <w:abstractNum w:abstractNumId="68" w15:restartNumberingAfterBreak="0">
    <w:nsid w:val="7E52759F"/>
    <w:multiLevelType w:val="hybridMultilevel"/>
    <w:tmpl w:val="AB0ECD5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70795007">
    <w:abstractNumId w:val="3"/>
  </w:num>
  <w:num w:numId="2" w16cid:durableId="800658871">
    <w:abstractNumId w:val="2"/>
  </w:num>
  <w:num w:numId="3" w16cid:durableId="2142965060">
    <w:abstractNumId w:val="1"/>
  </w:num>
  <w:num w:numId="4" w16cid:durableId="21131937">
    <w:abstractNumId w:val="0"/>
  </w:num>
  <w:num w:numId="5" w16cid:durableId="783689085">
    <w:abstractNumId w:val="29"/>
  </w:num>
  <w:num w:numId="6" w16cid:durableId="894849702">
    <w:abstractNumId w:val="49"/>
  </w:num>
  <w:num w:numId="7" w16cid:durableId="650211817">
    <w:abstractNumId w:val="30"/>
  </w:num>
  <w:num w:numId="8" w16cid:durableId="2129162086">
    <w:abstractNumId w:val="28"/>
  </w:num>
  <w:num w:numId="9" w16cid:durableId="70543243">
    <w:abstractNumId w:val="34"/>
  </w:num>
  <w:num w:numId="10" w16cid:durableId="1303577077">
    <w:abstractNumId w:val="20"/>
  </w:num>
  <w:num w:numId="11" w16cid:durableId="713194612">
    <w:abstractNumId w:val="15"/>
  </w:num>
  <w:num w:numId="12" w16cid:durableId="1343511983">
    <w:abstractNumId w:val="63"/>
  </w:num>
  <w:num w:numId="13" w16cid:durableId="168063186">
    <w:abstractNumId w:val="58"/>
  </w:num>
  <w:num w:numId="14" w16cid:durableId="437531663">
    <w:abstractNumId w:val="59"/>
  </w:num>
  <w:num w:numId="15" w16cid:durableId="1722245368">
    <w:abstractNumId w:val="18"/>
  </w:num>
  <w:num w:numId="16" w16cid:durableId="564608803">
    <w:abstractNumId w:val="8"/>
  </w:num>
  <w:num w:numId="17" w16cid:durableId="1766613550">
    <w:abstractNumId w:val="13"/>
  </w:num>
  <w:num w:numId="18" w16cid:durableId="1538814705">
    <w:abstractNumId w:val="35"/>
  </w:num>
  <w:num w:numId="19" w16cid:durableId="346828609">
    <w:abstractNumId w:val="43"/>
  </w:num>
  <w:num w:numId="20" w16cid:durableId="703334792">
    <w:abstractNumId w:val="24"/>
  </w:num>
  <w:num w:numId="21" w16cid:durableId="1341082758">
    <w:abstractNumId w:val="53"/>
  </w:num>
  <w:num w:numId="22" w16cid:durableId="417751536">
    <w:abstractNumId w:val="55"/>
  </w:num>
  <w:num w:numId="23" w16cid:durableId="1572036450">
    <w:abstractNumId w:val="48"/>
  </w:num>
  <w:num w:numId="24" w16cid:durableId="1854800663">
    <w:abstractNumId w:val="19"/>
  </w:num>
  <w:num w:numId="25" w16cid:durableId="604576698">
    <w:abstractNumId w:val="12"/>
  </w:num>
  <w:num w:numId="26" w16cid:durableId="1058282982">
    <w:abstractNumId w:val="16"/>
  </w:num>
  <w:num w:numId="27" w16cid:durableId="1946382240">
    <w:abstractNumId w:val="68"/>
  </w:num>
  <w:num w:numId="28" w16cid:durableId="1843663495">
    <w:abstractNumId w:val="60"/>
  </w:num>
  <w:num w:numId="29" w16cid:durableId="1687752047">
    <w:abstractNumId w:val="61"/>
  </w:num>
  <w:num w:numId="30" w16cid:durableId="1672103563">
    <w:abstractNumId w:val="47"/>
  </w:num>
  <w:num w:numId="31" w16cid:durableId="34625364">
    <w:abstractNumId w:val="52"/>
  </w:num>
  <w:num w:numId="32" w16cid:durableId="1317297064">
    <w:abstractNumId w:val="38"/>
  </w:num>
  <w:num w:numId="33" w16cid:durableId="553080928">
    <w:abstractNumId w:val="27"/>
  </w:num>
  <w:num w:numId="34" w16cid:durableId="2037391243">
    <w:abstractNumId w:val="51"/>
  </w:num>
  <w:num w:numId="35" w16cid:durableId="566381100">
    <w:abstractNumId w:val="10"/>
  </w:num>
  <w:num w:numId="36" w16cid:durableId="1014846890">
    <w:abstractNumId w:val="66"/>
  </w:num>
  <w:num w:numId="37" w16cid:durableId="2143960033">
    <w:abstractNumId w:val="54"/>
  </w:num>
  <w:num w:numId="38" w16cid:durableId="359355874">
    <w:abstractNumId w:val="57"/>
  </w:num>
  <w:num w:numId="39" w16cid:durableId="1292908107">
    <w:abstractNumId w:val="37"/>
  </w:num>
  <w:num w:numId="40" w16cid:durableId="1243560334">
    <w:abstractNumId w:val="64"/>
  </w:num>
  <w:num w:numId="41" w16cid:durableId="1496460759">
    <w:abstractNumId w:val="44"/>
  </w:num>
  <w:num w:numId="42" w16cid:durableId="1007639659">
    <w:abstractNumId w:val="22"/>
  </w:num>
  <w:num w:numId="43" w16cid:durableId="1678579251">
    <w:abstractNumId w:val="26"/>
  </w:num>
  <w:num w:numId="44" w16cid:durableId="1396396056">
    <w:abstractNumId w:val="41"/>
  </w:num>
  <w:num w:numId="45" w16cid:durableId="1961299085">
    <w:abstractNumId w:val="23"/>
  </w:num>
  <w:num w:numId="46" w16cid:durableId="1011686147">
    <w:abstractNumId w:val="62"/>
  </w:num>
  <w:num w:numId="47" w16cid:durableId="1214537981">
    <w:abstractNumId w:val="45"/>
  </w:num>
  <w:num w:numId="48" w16cid:durableId="81949587">
    <w:abstractNumId w:val="42"/>
  </w:num>
  <w:num w:numId="49" w16cid:durableId="413942809">
    <w:abstractNumId w:val="46"/>
  </w:num>
  <w:num w:numId="50" w16cid:durableId="357388943">
    <w:abstractNumId w:val="32"/>
  </w:num>
  <w:num w:numId="51" w16cid:durableId="172113081">
    <w:abstractNumId w:val="67"/>
  </w:num>
  <w:num w:numId="52" w16cid:durableId="1465851272">
    <w:abstractNumId w:val="25"/>
  </w:num>
  <w:num w:numId="53" w16cid:durableId="297149334">
    <w:abstractNumId w:val="7"/>
  </w:num>
  <w:num w:numId="54" w16cid:durableId="1275747774">
    <w:abstractNumId w:val="50"/>
  </w:num>
  <w:num w:numId="55" w16cid:durableId="275676929">
    <w:abstractNumId w:val="56"/>
    <w:lvlOverride w:ilvl="0">
      <w:lvl w:ilvl="0">
        <w:start w:val="1"/>
        <w:numFmt w:val="decimal"/>
        <w:pStyle w:val="Question"/>
        <w:lvlText w:val="Q%1."/>
        <w:lvlJc w:val="left"/>
        <w:pPr>
          <w:tabs>
            <w:tab w:val="num" w:pos="510"/>
          </w:tabs>
          <w:ind w:left="510" w:hanging="510"/>
        </w:pPr>
        <w:rPr>
          <w:rFonts w:hint="default"/>
          <w:i w:val="0"/>
          <w:iCs/>
        </w:rPr>
      </w:lvl>
    </w:lvlOverride>
  </w:num>
  <w:num w:numId="56" w16cid:durableId="1633513800">
    <w:abstractNumId w:val="33"/>
  </w:num>
  <w:num w:numId="57" w16cid:durableId="1781990921">
    <w:abstractNumId w:val="21"/>
  </w:num>
  <w:num w:numId="58" w16cid:durableId="3943684">
    <w:abstractNumId w:val="56"/>
  </w:num>
  <w:num w:numId="59" w16cid:durableId="1366558856">
    <w:abstractNumId w:val="6"/>
  </w:num>
  <w:num w:numId="60" w16cid:durableId="181393699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14854359">
    <w:abstractNumId w:val="56"/>
    <w:lvlOverride w:ilvl="0">
      <w:lvl w:ilvl="0">
        <w:start w:val="1"/>
        <w:numFmt w:val="decimal"/>
        <w:pStyle w:val="Question"/>
        <w:lvlText w:val="Q%1."/>
        <w:lvlJc w:val="left"/>
        <w:pPr>
          <w:tabs>
            <w:tab w:val="num" w:pos="510"/>
          </w:tabs>
          <w:ind w:left="510" w:hanging="510"/>
        </w:pPr>
        <w:rPr>
          <w:rFonts w:hint="default"/>
          <w:i w:val="0"/>
          <w:iCs/>
        </w:rPr>
      </w:lvl>
    </w:lvlOverride>
  </w:num>
  <w:num w:numId="62" w16cid:durableId="211113883">
    <w:abstractNumId w:val="9"/>
  </w:num>
  <w:num w:numId="63" w16cid:durableId="2102481662">
    <w:abstractNumId w:val="4"/>
  </w:num>
  <w:num w:numId="64" w16cid:durableId="989408507">
    <w:abstractNumId w:val="36"/>
  </w:num>
  <w:num w:numId="65" w16cid:durableId="1817599624">
    <w:abstractNumId w:val="40"/>
  </w:num>
  <w:num w:numId="66" w16cid:durableId="680938187">
    <w:abstractNumId w:val="11"/>
  </w:num>
  <w:num w:numId="67" w16cid:durableId="765733575">
    <w:abstractNumId w:val="14"/>
  </w:num>
  <w:num w:numId="68" w16cid:durableId="558512432">
    <w:abstractNumId w:val="65"/>
  </w:num>
  <w:num w:numId="69" w16cid:durableId="1957715907">
    <w:abstractNumId w:val="31"/>
  </w:num>
  <w:num w:numId="70" w16cid:durableId="1164511721">
    <w:abstractNumId w:val="17"/>
  </w:num>
  <w:num w:numId="71" w16cid:durableId="1468359296">
    <w:abstractNumId w:val="39"/>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e Cheng">
    <w15:presenceInfo w15:providerId="AD" w15:userId="S::Nicole.Cheng@british-business-bank.co.uk::7409bcf7-70b4-4c10-9111-359c36c51606"/>
  </w15:person>
  <w15:person w15:author="Leandro Baldelli">
    <w15:presenceInfo w15:providerId="AD" w15:userId="S::Leandro.Baldelli@rsmuk.com::3f59a529-80c5-44c0-b503-a774c6134b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18"/>
    <o:shapelayout v:ext="edit">
      <o:idmap v:ext="edit" data="1"/>
    </o:shapelayout>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D7032"/>
    <w:rsid w:val="000000D7"/>
    <w:rsid w:val="000006B4"/>
    <w:rsid w:val="000006CE"/>
    <w:rsid w:val="000008E6"/>
    <w:rsid w:val="00000D59"/>
    <w:rsid w:val="00000EE8"/>
    <w:rsid w:val="00000F0F"/>
    <w:rsid w:val="000010AD"/>
    <w:rsid w:val="000011B4"/>
    <w:rsid w:val="000011E0"/>
    <w:rsid w:val="000012A7"/>
    <w:rsid w:val="000013AA"/>
    <w:rsid w:val="000017EE"/>
    <w:rsid w:val="00001921"/>
    <w:rsid w:val="00001942"/>
    <w:rsid w:val="000019ED"/>
    <w:rsid w:val="00001B1C"/>
    <w:rsid w:val="00001C68"/>
    <w:rsid w:val="00001F81"/>
    <w:rsid w:val="0000204E"/>
    <w:rsid w:val="00002174"/>
    <w:rsid w:val="0000222D"/>
    <w:rsid w:val="000023C4"/>
    <w:rsid w:val="000024BC"/>
    <w:rsid w:val="00002AEB"/>
    <w:rsid w:val="00002BCA"/>
    <w:rsid w:val="00002DE0"/>
    <w:rsid w:val="00002E89"/>
    <w:rsid w:val="00003075"/>
    <w:rsid w:val="0000307E"/>
    <w:rsid w:val="0000328E"/>
    <w:rsid w:val="000034AC"/>
    <w:rsid w:val="000036C9"/>
    <w:rsid w:val="00003794"/>
    <w:rsid w:val="000037DD"/>
    <w:rsid w:val="000037F7"/>
    <w:rsid w:val="0000389E"/>
    <w:rsid w:val="00003988"/>
    <w:rsid w:val="00003D1A"/>
    <w:rsid w:val="00004063"/>
    <w:rsid w:val="000040C8"/>
    <w:rsid w:val="0000410C"/>
    <w:rsid w:val="0000419F"/>
    <w:rsid w:val="000042BE"/>
    <w:rsid w:val="00004393"/>
    <w:rsid w:val="000043AD"/>
    <w:rsid w:val="000043CE"/>
    <w:rsid w:val="0000453B"/>
    <w:rsid w:val="00004585"/>
    <w:rsid w:val="00004638"/>
    <w:rsid w:val="00004694"/>
    <w:rsid w:val="000047EE"/>
    <w:rsid w:val="00004906"/>
    <w:rsid w:val="00004A9B"/>
    <w:rsid w:val="00004BE1"/>
    <w:rsid w:val="00004E5C"/>
    <w:rsid w:val="00004EDE"/>
    <w:rsid w:val="00005045"/>
    <w:rsid w:val="0000580A"/>
    <w:rsid w:val="00005832"/>
    <w:rsid w:val="000058EC"/>
    <w:rsid w:val="00005AA0"/>
    <w:rsid w:val="00005BA4"/>
    <w:rsid w:val="00005C58"/>
    <w:rsid w:val="00005E3C"/>
    <w:rsid w:val="00005E40"/>
    <w:rsid w:val="00005F6B"/>
    <w:rsid w:val="00006173"/>
    <w:rsid w:val="00006255"/>
    <w:rsid w:val="00006287"/>
    <w:rsid w:val="000062E4"/>
    <w:rsid w:val="00006315"/>
    <w:rsid w:val="00006614"/>
    <w:rsid w:val="0000699F"/>
    <w:rsid w:val="00006B7A"/>
    <w:rsid w:val="00006BAB"/>
    <w:rsid w:val="000070E0"/>
    <w:rsid w:val="000072CA"/>
    <w:rsid w:val="00007308"/>
    <w:rsid w:val="000073A3"/>
    <w:rsid w:val="00007491"/>
    <w:rsid w:val="000075CB"/>
    <w:rsid w:val="00007A83"/>
    <w:rsid w:val="00007A8A"/>
    <w:rsid w:val="00007C3A"/>
    <w:rsid w:val="00007CFD"/>
    <w:rsid w:val="00007E2F"/>
    <w:rsid w:val="00007FE8"/>
    <w:rsid w:val="00010471"/>
    <w:rsid w:val="00010939"/>
    <w:rsid w:val="00010B31"/>
    <w:rsid w:val="00010B69"/>
    <w:rsid w:val="00010D64"/>
    <w:rsid w:val="00011133"/>
    <w:rsid w:val="00011187"/>
    <w:rsid w:val="00011379"/>
    <w:rsid w:val="000113B4"/>
    <w:rsid w:val="000114D3"/>
    <w:rsid w:val="00011606"/>
    <w:rsid w:val="0001164C"/>
    <w:rsid w:val="000117C8"/>
    <w:rsid w:val="00011872"/>
    <w:rsid w:val="00011ABD"/>
    <w:rsid w:val="00011BF2"/>
    <w:rsid w:val="00011CF9"/>
    <w:rsid w:val="00011DCC"/>
    <w:rsid w:val="00011E75"/>
    <w:rsid w:val="00011EA6"/>
    <w:rsid w:val="00011FCC"/>
    <w:rsid w:val="0001225D"/>
    <w:rsid w:val="00012343"/>
    <w:rsid w:val="00012693"/>
    <w:rsid w:val="000126A6"/>
    <w:rsid w:val="000126B3"/>
    <w:rsid w:val="00012810"/>
    <w:rsid w:val="00012875"/>
    <w:rsid w:val="000128C1"/>
    <w:rsid w:val="000129AB"/>
    <w:rsid w:val="00012DD5"/>
    <w:rsid w:val="00012DF4"/>
    <w:rsid w:val="00012E9A"/>
    <w:rsid w:val="00013553"/>
    <w:rsid w:val="0001355A"/>
    <w:rsid w:val="0001379F"/>
    <w:rsid w:val="0001389B"/>
    <w:rsid w:val="00013935"/>
    <w:rsid w:val="0001393F"/>
    <w:rsid w:val="00013945"/>
    <w:rsid w:val="000139DC"/>
    <w:rsid w:val="00013B55"/>
    <w:rsid w:val="00013BD3"/>
    <w:rsid w:val="00013BF1"/>
    <w:rsid w:val="00013C08"/>
    <w:rsid w:val="00013EB7"/>
    <w:rsid w:val="00013F16"/>
    <w:rsid w:val="00014007"/>
    <w:rsid w:val="000146B7"/>
    <w:rsid w:val="000149BE"/>
    <w:rsid w:val="00014A94"/>
    <w:rsid w:val="00014B06"/>
    <w:rsid w:val="00014D02"/>
    <w:rsid w:val="00014F48"/>
    <w:rsid w:val="00014F7B"/>
    <w:rsid w:val="00015061"/>
    <w:rsid w:val="00015190"/>
    <w:rsid w:val="0001532B"/>
    <w:rsid w:val="00015451"/>
    <w:rsid w:val="000154E7"/>
    <w:rsid w:val="00015551"/>
    <w:rsid w:val="000155FC"/>
    <w:rsid w:val="00015616"/>
    <w:rsid w:val="00015661"/>
    <w:rsid w:val="00015887"/>
    <w:rsid w:val="00015900"/>
    <w:rsid w:val="000159E7"/>
    <w:rsid w:val="00015D38"/>
    <w:rsid w:val="00015E76"/>
    <w:rsid w:val="000162AB"/>
    <w:rsid w:val="000163D2"/>
    <w:rsid w:val="00016422"/>
    <w:rsid w:val="0001664A"/>
    <w:rsid w:val="00016726"/>
    <w:rsid w:val="00016B1D"/>
    <w:rsid w:val="00016B54"/>
    <w:rsid w:val="00016C35"/>
    <w:rsid w:val="00016EA4"/>
    <w:rsid w:val="00016EE0"/>
    <w:rsid w:val="0001728B"/>
    <w:rsid w:val="000172D1"/>
    <w:rsid w:val="0001746F"/>
    <w:rsid w:val="0001766D"/>
    <w:rsid w:val="0001769F"/>
    <w:rsid w:val="00017AB8"/>
    <w:rsid w:val="00017BA0"/>
    <w:rsid w:val="00017DAB"/>
    <w:rsid w:val="00017EAA"/>
    <w:rsid w:val="000200CE"/>
    <w:rsid w:val="00020205"/>
    <w:rsid w:val="0002025A"/>
    <w:rsid w:val="00020406"/>
    <w:rsid w:val="000205D8"/>
    <w:rsid w:val="00020730"/>
    <w:rsid w:val="00020832"/>
    <w:rsid w:val="00020E5E"/>
    <w:rsid w:val="00021238"/>
    <w:rsid w:val="00021450"/>
    <w:rsid w:val="000214B4"/>
    <w:rsid w:val="00021552"/>
    <w:rsid w:val="000215AA"/>
    <w:rsid w:val="000217F3"/>
    <w:rsid w:val="00021A07"/>
    <w:rsid w:val="00021BAB"/>
    <w:rsid w:val="00021C59"/>
    <w:rsid w:val="00021F4F"/>
    <w:rsid w:val="00021F8C"/>
    <w:rsid w:val="00022573"/>
    <w:rsid w:val="00022688"/>
    <w:rsid w:val="00022776"/>
    <w:rsid w:val="000229A0"/>
    <w:rsid w:val="000229F1"/>
    <w:rsid w:val="00022A02"/>
    <w:rsid w:val="00022B9F"/>
    <w:rsid w:val="00022C91"/>
    <w:rsid w:val="0002306A"/>
    <w:rsid w:val="000231B6"/>
    <w:rsid w:val="000234BB"/>
    <w:rsid w:val="00023528"/>
    <w:rsid w:val="00023571"/>
    <w:rsid w:val="0002375F"/>
    <w:rsid w:val="000238B7"/>
    <w:rsid w:val="000238E1"/>
    <w:rsid w:val="00023ABB"/>
    <w:rsid w:val="00023F1B"/>
    <w:rsid w:val="000242B9"/>
    <w:rsid w:val="000242FD"/>
    <w:rsid w:val="00024376"/>
    <w:rsid w:val="0002444D"/>
    <w:rsid w:val="0002456B"/>
    <w:rsid w:val="000245F3"/>
    <w:rsid w:val="0002477F"/>
    <w:rsid w:val="00025165"/>
    <w:rsid w:val="000251CF"/>
    <w:rsid w:val="000253F4"/>
    <w:rsid w:val="000253FC"/>
    <w:rsid w:val="0002544E"/>
    <w:rsid w:val="0002551F"/>
    <w:rsid w:val="000255BD"/>
    <w:rsid w:val="000255C5"/>
    <w:rsid w:val="00025809"/>
    <w:rsid w:val="000258DE"/>
    <w:rsid w:val="00025B2C"/>
    <w:rsid w:val="00025B82"/>
    <w:rsid w:val="00025D54"/>
    <w:rsid w:val="00025D9D"/>
    <w:rsid w:val="00025F39"/>
    <w:rsid w:val="00025F98"/>
    <w:rsid w:val="0002649B"/>
    <w:rsid w:val="0002654A"/>
    <w:rsid w:val="0002662D"/>
    <w:rsid w:val="00026662"/>
    <w:rsid w:val="000269DE"/>
    <w:rsid w:val="00026BDA"/>
    <w:rsid w:val="00026C10"/>
    <w:rsid w:val="00026D2A"/>
    <w:rsid w:val="00026D94"/>
    <w:rsid w:val="00027039"/>
    <w:rsid w:val="000275E9"/>
    <w:rsid w:val="0002764D"/>
    <w:rsid w:val="000276AA"/>
    <w:rsid w:val="00027941"/>
    <w:rsid w:val="00027B49"/>
    <w:rsid w:val="00027E48"/>
    <w:rsid w:val="00030362"/>
    <w:rsid w:val="00030468"/>
    <w:rsid w:val="000307AB"/>
    <w:rsid w:val="00030B40"/>
    <w:rsid w:val="00030BDE"/>
    <w:rsid w:val="00030DB9"/>
    <w:rsid w:val="00030E5B"/>
    <w:rsid w:val="00030E6E"/>
    <w:rsid w:val="00030F3B"/>
    <w:rsid w:val="0003118D"/>
    <w:rsid w:val="000312C4"/>
    <w:rsid w:val="000315DF"/>
    <w:rsid w:val="000316A2"/>
    <w:rsid w:val="000316CE"/>
    <w:rsid w:val="00031837"/>
    <w:rsid w:val="000318A7"/>
    <w:rsid w:val="00031D93"/>
    <w:rsid w:val="00032002"/>
    <w:rsid w:val="00032225"/>
    <w:rsid w:val="00032276"/>
    <w:rsid w:val="000323E3"/>
    <w:rsid w:val="0003242B"/>
    <w:rsid w:val="000324C6"/>
    <w:rsid w:val="0003263B"/>
    <w:rsid w:val="000327E4"/>
    <w:rsid w:val="000329D4"/>
    <w:rsid w:val="00032AB5"/>
    <w:rsid w:val="00032C6D"/>
    <w:rsid w:val="00032E24"/>
    <w:rsid w:val="00032EB1"/>
    <w:rsid w:val="00032EE7"/>
    <w:rsid w:val="00033049"/>
    <w:rsid w:val="00033215"/>
    <w:rsid w:val="00033264"/>
    <w:rsid w:val="00033389"/>
    <w:rsid w:val="00033398"/>
    <w:rsid w:val="0003391F"/>
    <w:rsid w:val="00033B30"/>
    <w:rsid w:val="00033B92"/>
    <w:rsid w:val="00033BDC"/>
    <w:rsid w:val="00033DC4"/>
    <w:rsid w:val="00033ED1"/>
    <w:rsid w:val="00033F38"/>
    <w:rsid w:val="00033FF0"/>
    <w:rsid w:val="000344A3"/>
    <w:rsid w:val="000345BA"/>
    <w:rsid w:val="000353C6"/>
    <w:rsid w:val="000353D3"/>
    <w:rsid w:val="000353ED"/>
    <w:rsid w:val="00035477"/>
    <w:rsid w:val="0003552D"/>
    <w:rsid w:val="000357F1"/>
    <w:rsid w:val="00035AE0"/>
    <w:rsid w:val="00035BEA"/>
    <w:rsid w:val="00035C7B"/>
    <w:rsid w:val="00036054"/>
    <w:rsid w:val="00036077"/>
    <w:rsid w:val="00036147"/>
    <w:rsid w:val="00036470"/>
    <w:rsid w:val="0003647E"/>
    <w:rsid w:val="00036513"/>
    <w:rsid w:val="000366D4"/>
    <w:rsid w:val="000366F1"/>
    <w:rsid w:val="00036A3E"/>
    <w:rsid w:val="00036A51"/>
    <w:rsid w:val="00036BA3"/>
    <w:rsid w:val="00036C13"/>
    <w:rsid w:val="00036CCF"/>
    <w:rsid w:val="00036D21"/>
    <w:rsid w:val="00037456"/>
    <w:rsid w:val="00037514"/>
    <w:rsid w:val="000376DB"/>
    <w:rsid w:val="00037A3B"/>
    <w:rsid w:val="00037CB3"/>
    <w:rsid w:val="00037E66"/>
    <w:rsid w:val="00037EEE"/>
    <w:rsid w:val="000404C6"/>
    <w:rsid w:val="000404FC"/>
    <w:rsid w:val="000405AF"/>
    <w:rsid w:val="0004074F"/>
    <w:rsid w:val="00040751"/>
    <w:rsid w:val="00040796"/>
    <w:rsid w:val="000407F7"/>
    <w:rsid w:val="00040C22"/>
    <w:rsid w:val="00040C83"/>
    <w:rsid w:val="00040D06"/>
    <w:rsid w:val="00040E7E"/>
    <w:rsid w:val="00041129"/>
    <w:rsid w:val="00041166"/>
    <w:rsid w:val="00041261"/>
    <w:rsid w:val="00041266"/>
    <w:rsid w:val="00041503"/>
    <w:rsid w:val="0004175D"/>
    <w:rsid w:val="000417F4"/>
    <w:rsid w:val="00041822"/>
    <w:rsid w:val="000418D6"/>
    <w:rsid w:val="000422C7"/>
    <w:rsid w:val="000422E4"/>
    <w:rsid w:val="000423EA"/>
    <w:rsid w:val="000423FE"/>
    <w:rsid w:val="0004243E"/>
    <w:rsid w:val="0004249C"/>
    <w:rsid w:val="00042560"/>
    <w:rsid w:val="000425B8"/>
    <w:rsid w:val="000425E5"/>
    <w:rsid w:val="000427B5"/>
    <w:rsid w:val="00042BE9"/>
    <w:rsid w:val="00043622"/>
    <w:rsid w:val="00043771"/>
    <w:rsid w:val="000437A8"/>
    <w:rsid w:val="0004399A"/>
    <w:rsid w:val="00043A2F"/>
    <w:rsid w:val="00043AC1"/>
    <w:rsid w:val="00043B52"/>
    <w:rsid w:val="00043BA8"/>
    <w:rsid w:val="00043FC6"/>
    <w:rsid w:val="0004406F"/>
    <w:rsid w:val="00044342"/>
    <w:rsid w:val="00044371"/>
    <w:rsid w:val="000444E1"/>
    <w:rsid w:val="00044687"/>
    <w:rsid w:val="00044689"/>
    <w:rsid w:val="00044C50"/>
    <w:rsid w:val="00044E1F"/>
    <w:rsid w:val="000452FB"/>
    <w:rsid w:val="00045486"/>
    <w:rsid w:val="000458A0"/>
    <w:rsid w:val="0004598A"/>
    <w:rsid w:val="00045BEF"/>
    <w:rsid w:val="00045EAB"/>
    <w:rsid w:val="00045F85"/>
    <w:rsid w:val="0004619B"/>
    <w:rsid w:val="0004632F"/>
    <w:rsid w:val="00046764"/>
    <w:rsid w:val="00046800"/>
    <w:rsid w:val="00046991"/>
    <w:rsid w:val="00046A43"/>
    <w:rsid w:val="00046C5F"/>
    <w:rsid w:val="00046DBD"/>
    <w:rsid w:val="00046FD7"/>
    <w:rsid w:val="00047020"/>
    <w:rsid w:val="00047150"/>
    <w:rsid w:val="00047272"/>
    <w:rsid w:val="0004734F"/>
    <w:rsid w:val="0004761D"/>
    <w:rsid w:val="00047669"/>
    <w:rsid w:val="000476B9"/>
    <w:rsid w:val="000476C5"/>
    <w:rsid w:val="00047B94"/>
    <w:rsid w:val="00047BE5"/>
    <w:rsid w:val="00047DA9"/>
    <w:rsid w:val="0005031C"/>
    <w:rsid w:val="00050597"/>
    <w:rsid w:val="0005067B"/>
    <w:rsid w:val="000506C4"/>
    <w:rsid w:val="00050716"/>
    <w:rsid w:val="000507D7"/>
    <w:rsid w:val="00050878"/>
    <w:rsid w:val="0005088C"/>
    <w:rsid w:val="00050926"/>
    <w:rsid w:val="000509D9"/>
    <w:rsid w:val="00050A55"/>
    <w:rsid w:val="00050A83"/>
    <w:rsid w:val="00050B91"/>
    <w:rsid w:val="00050BE7"/>
    <w:rsid w:val="00050C40"/>
    <w:rsid w:val="00050F92"/>
    <w:rsid w:val="00051120"/>
    <w:rsid w:val="0005112E"/>
    <w:rsid w:val="00051312"/>
    <w:rsid w:val="000514C0"/>
    <w:rsid w:val="00051543"/>
    <w:rsid w:val="0005155D"/>
    <w:rsid w:val="0005170A"/>
    <w:rsid w:val="000519B7"/>
    <w:rsid w:val="00051C9F"/>
    <w:rsid w:val="00051E0D"/>
    <w:rsid w:val="00051F6C"/>
    <w:rsid w:val="00051F9F"/>
    <w:rsid w:val="0005211D"/>
    <w:rsid w:val="00052265"/>
    <w:rsid w:val="0005234B"/>
    <w:rsid w:val="00052480"/>
    <w:rsid w:val="00052596"/>
    <w:rsid w:val="00052ADB"/>
    <w:rsid w:val="00052C9D"/>
    <w:rsid w:val="00052D1B"/>
    <w:rsid w:val="00052D3D"/>
    <w:rsid w:val="00052E7F"/>
    <w:rsid w:val="000536C4"/>
    <w:rsid w:val="000537CB"/>
    <w:rsid w:val="000538FC"/>
    <w:rsid w:val="00053990"/>
    <w:rsid w:val="00053C9F"/>
    <w:rsid w:val="00053CC1"/>
    <w:rsid w:val="00053D09"/>
    <w:rsid w:val="00053D83"/>
    <w:rsid w:val="00053F74"/>
    <w:rsid w:val="000541C2"/>
    <w:rsid w:val="000543D6"/>
    <w:rsid w:val="00054484"/>
    <w:rsid w:val="000545F1"/>
    <w:rsid w:val="000545FB"/>
    <w:rsid w:val="00054777"/>
    <w:rsid w:val="00054862"/>
    <w:rsid w:val="00054AEA"/>
    <w:rsid w:val="00054C6F"/>
    <w:rsid w:val="00054D9A"/>
    <w:rsid w:val="00054F5C"/>
    <w:rsid w:val="00055226"/>
    <w:rsid w:val="00055592"/>
    <w:rsid w:val="000555B7"/>
    <w:rsid w:val="00055698"/>
    <w:rsid w:val="0005578F"/>
    <w:rsid w:val="000558FE"/>
    <w:rsid w:val="0005597A"/>
    <w:rsid w:val="00055A31"/>
    <w:rsid w:val="00055F96"/>
    <w:rsid w:val="00056108"/>
    <w:rsid w:val="0005630F"/>
    <w:rsid w:val="000563B3"/>
    <w:rsid w:val="00056582"/>
    <w:rsid w:val="000566ED"/>
    <w:rsid w:val="00056801"/>
    <w:rsid w:val="00056BF0"/>
    <w:rsid w:val="00056C2B"/>
    <w:rsid w:val="00056C40"/>
    <w:rsid w:val="00056D15"/>
    <w:rsid w:val="00056E98"/>
    <w:rsid w:val="00056FEC"/>
    <w:rsid w:val="000570AB"/>
    <w:rsid w:val="0005728A"/>
    <w:rsid w:val="000572A1"/>
    <w:rsid w:val="00057800"/>
    <w:rsid w:val="0005797A"/>
    <w:rsid w:val="00057992"/>
    <w:rsid w:val="00057A67"/>
    <w:rsid w:val="00057BA3"/>
    <w:rsid w:val="00057E9D"/>
    <w:rsid w:val="00060066"/>
    <w:rsid w:val="000604B9"/>
    <w:rsid w:val="0006061E"/>
    <w:rsid w:val="000606DA"/>
    <w:rsid w:val="000606F5"/>
    <w:rsid w:val="000608EA"/>
    <w:rsid w:val="00060972"/>
    <w:rsid w:val="00060C20"/>
    <w:rsid w:val="00060CB1"/>
    <w:rsid w:val="00060D64"/>
    <w:rsid w:val="00060EC4"/>
    <w:rsid w:val="0006109D"/>
    <w:rsid w:val="00061522"/>
    <w:rsid w:val="00061551"/>
    <w:rsid w:val="00061697"/>
    <w:rsid w:val="000618EA"/>
    <w:rsid w:val="00061901"/>
    <w:rsid w:val="0006198D"/>
    <w:rsid w:val="000619CC"/>
    <w:rsid w:val="000619E4"/>
    <w:rsid w:val="00061A78"/>
    <w:rsid w:val="00061ABD"/>
    <w:rsid w:val="00061B2E"/>
    <w:rsid w:val="00061C48"/>
    <w:rsid w:val="00061CAD"/>
    <w:rsid w:val="00061F06"/>
    <w:rsid w:val="00061F5B"/>
    <w:rsid w:val="00062489"/>
    <w:rsid w:val="000624DF"/>
    <w:rsid w:val="000625F4"/>
    <w:rsid w:val="0006275D"/>
    <w:rsid w:val="00062B71"/>
    <w:rsid w:val="00062CCC"/>
    <w:rsid w:val="00062FFC"/>
    <w:rsid w:val="00063182"/>
    <w:rsid w:val="000633D6"/>
    <w:rsid w:val="00063804"/>
    <w:rsid w:val="000639A1"/>
    <w:rsid w:val="000639EE"/>
    <w:rsid w:val="00063A00"/>
    <w:rsid w:val="00063A4C"/>
    <w:rsid w:val="00063C02"/>
    <w:rsid w:val="00063C45"/>
    <w:rsid w:val="00063D1F"/>
    <w:rsid w:val="00063E9D"/>
    <w:rsid w:val="00063F26"/>
    <w:rsid w:val="000640AF"/>
    <w:rsid w:val="00064194"/>
    <w:rsid w:val="0006442A"/>
    <w:rsid w:val="0006460E"/>
    <w:rsid w:val="00064FF5"/>
    <w:rsid w:val="00065015"/>
    <w:rsid w:val="000654BD"/>
    <w:rsid w:val="000654D3"/>
    <w:rsid w:val="00065715"/>
    <w:rsid w:val="000659BD"/>
    <w:rsid w:val="00065A5F"/>
    <w:rsid w:val="00065C7D"/>
    <w:rsid w:val="00065DCF"/>
    <w:rsid w:val="000661C1"/>
    <w:rsid w:val="0006626B"/>
    <w:rsid w:val="000663DB"/>
    <w:rsid w:val="000663F7"/>
    <w:rsid w:val="00066691"/>
    <w:rsid w:val="00066B32"/>
    <w:rsid w:val="00066C8F"/>
    <w:rsid w:val="00066D17"/>
    <w:rsid w:val="00066E20"/>
    <w:rsid w:val="00066FA7"/>
    <w:rsid w:val="000670DF"/>
    <w:rsid w:val="00067365"/>
    <w:rsid w:val="00067514"/>
    <w:rsid w:val="00067727"/>
    <w:rsid w:val="000678D3"/>
    <w:rsid w:val="0006792B"/>
    <w:rsid w:val="000679CC"/>
    <w:rsid w:val="00067DC0"/>
    <w:rsid w:val="00067E0A"/>
    <w:rsid w:val="00070037"/>
    <w:rsid w:val="000703F2"/>
    <w:rsid w:val="00070A3A"/>
    <w:rsid w:val="00070C08"/>
    <w:rsid w:val="00070C90"/>
    <w:rsid w:val="00070D0E"/>
    <w:rsid w:val="00071016"/>
    <w:rsid w:val="00071024"/>
    <w:rsid w:val="000713F8"/>
    <w:rsid w:val="0007140C"/>
    <w:rsid w:val="00071419"/>
    <w:rsid w:val="00071610"/>
    <w:rsid w:val="00071928"/>
    <w:rsid w:val="00071C0D"/>
    <w:rsid w:val="00071E20"/>
    <w:rsid w:val="00072161"/>
    <w:rsid w:val="00072325"/>
    <w:rsid w:val="0007252D"/>
    <w:rsid w:val="000725C8"/>
    <w:rsid w:val="00072661"/>
    <w:rsid w:val="00072738"/>
    <w:rsid w:val="0007274E"/>
    <w:rsid w:val="000728FD"/>
    <w:rsid w:val="00072ABD"/>
    <w:rsid w:val="00072C92"/>
    <w:rsid w:val="00072D06"/>
    <w:rsid w:val="00072D5C"/>
    <w:rsid w:val="0007316D"/>
    <w:rsid w:val="00073275"/>
    <w:rsid w:val="000732A2"/>
    <w:rsid w:val="00073336"/>
    <w:rsid w:val="0007334A"/>
    <w:rsid w:val="000733C1"/>
    <w:rsid w:val="000744E3"/>
    <w:rsid w:val="0007479E"/>
    <w:rsid w:val="00074805"/>
    <w:rsid w:val="0007499D"/>
    <w:rsid w:val="000749A3"/>
    <w:rsid w:val="00074E00"/>
    <w:rsid w:val="00074E6B"/>
    <w:rsid w:val="000754C2"/>
    <w:rsid w:val="00075615"/>
    <w:rsid w:val="0007563D"/>
    <w:rsid w:val="000757E6"/>
    <w:rsid w:val="000758D6"/>
    <w:rsid w:val="0007593B"/>
    <w:rsid w:val="00075C6B"/>
    <w:rsid w:val="00075C91"/>
    <w:rsid w:val="00075D42"/>
    <w:rsid w:val="000761A0"/>
    <w:rsid w:val="000761FC"/>
    <w:rsid w:val="000761FD"/>
    <w:rsid w:val="00076205"/>
    <w:rsid w:val="000763EB"/>
    <w:rsid w:val="000763FA"/>
    <w:rsid w:val="0007649C"/>
    <w:rsid w:val="0007663C"/>
    <w:rsid w:val="00076792"/>
    <w:rsid w:val="000767A2"/>
    <w:rsid w:val="00076F11"/>
    <w:rsid w:val="00076F15"/>
    <w:rsid w:val="00077311"/>
    <w:rsid w:val="00077581"/>
    <w:rsid w:val="00077693"/>
    <w:rsid w:val="00077A27"/>
    <w:rsid w:val="00077AD9"/>
    <w:rsid w:val="00077AEB"/>
    <w:rsid w:val="00077B7D"/>
    <w:rsid w:val="00077C5B"/>
    <w:rsid w:val="00077D88"/>
    <w:rsid w:val="00077E9F"/>
    <w:rsid w:val="00077FAC"/>
    <w:rsid w:val="0008006A"/>
    <w:rsid w:val="000800B4"/>
    <w:rsid w:val="000800F6"/>
    <w:rsid w:val="000801FD"/>
    <w:rsid w:val="00080272"/>
    <w:rsid w:val="00080370"/>
    <w:rsid w:val="00080421"/>
    <w:rsid w:val="00080493"/>
    <w:rsid w:val="000805DE"/>
    <w:rsid w:val="00080760"/>
    <w:rsid w:val="000807B8"/>
    <w:rsid w:val="000807E0"/>
    <w:rsid w:val="0008082C"/>
    <w:rsid w:val="000808E6"/>
    <w:rsid w:val="00080C8B"/>
    <w:rsid w:val="00080D05"/>
    <w:rsid w:val="00080D80"/>
    <w:rsid w:val="00080F02"/>
    <w:rsid w:val="00080FB2"/>
    <w:rsid w:val="00081058"/>
    <w:rsid w:val="0008107E"/>
    <w:rsid w:val="0008132D"/>
    <w:rsid w:val="00081533"/>
    <w:rsid w:val="000815B8"/>
    <w:rsid w:val="0008167E"/>
    <w:rsid w:val="00081958"/>
    <w:rsid w:val="00081A71"/>
    <w:rsid w:val="00081B12"/>
    <w:rsid w:val="00081EF0"/>
    <w:rsid w:val="0008247B"/>
    <w:rsid w:val="0008298C"/>
    <w:rsid w:val="000829F3"/>
    <w:rsid w:val="00082A9E"/>
    <w:rsid w:val="00082AFD"/>
    <w:rsid w:val="00082C83"/>
    <w:rsid w:val="00083068"/>
    <w:rsid w:val="000830BB"/>
    <w:rsid w:val="000833F3"/>
    <w:rsid w:val="000835D1"/>
    <w:rsid w:val="000835FC"/>
    <w:rsid w:val="0008362A"/>
    <w:rsid w:val="00083698"/>
    <w:rsid w:val="000836AE"/>
    <w:rsid w:val="00083C5B"/>
    <w:rsid w:val="00083CF6"/>
    <w:rsid w:val="00083D33"/>
    <w:rsid w:val="0008445F"/>
    <w:rsid w:val="00084668"/>
    <w:rsid w:val="000847E2"/>
    <w:rsid w:val="00084B30"/>
    <w:rsid w:val="00084E22"/>
    <w:rsid w:val="00084F93"/>
    <w:rsid w:val="000850FC"/>
    <w:rsid w:val="000852CC"/>
    <w:rsid w:val="00085742"/>
    <w:rsid w:val="00085E3D"/>
    <w:rsid w:val="00086106"/>
    <w:rsid w:val="0008621F"/>
    <w:rsid w:val="0008628B"/>
    <w:rsid w:val="000862C4"/>
    <w:rsid w:val="00086511"/>
    <w:rsid w:val="0008654C"/>
    <w:rsid w:val="00086691"/>
    <w:rsid w:val="000867D7"/>
    <w:rsid w:val="00086925"/>
    <w:rsid w:val="000869B5"/>
    <w:rsid w:val="00086A15"/>
    <w:rsid w:val="00086A70"/>
    <w:rsid w:val="00086A7A"/>
    <w:rsid w:val="00086AEA"/>
    <w:rsid w:val="00086B95"/>
    <w:rsid w:val="00086E3E"/>
    <w:rsid w:val="00086F44"/>
    <w:rsid w:val="00086FC7"/>
    <w:rsid w:val="0008705D"/>
    <w:rsid w:val="000870FD"/>
    <w:rsid w:val="0008712A"/>
    <w:rsid w:val="000871B5"/>
    <w:rsid w:val="00087297"/>
    <w:rsid w:val="0008734D"/>
    <w:rsid w:val="00087469"/>
    <w:rsid w:val="000879A3"/>
    <w:rsid w:val="00087AF1"/>
    <w:rsid w:val="00087B6C"/>
    <w:rsid w:val="00087E08"/>
    <w:rsid w:val="0009009A"/>
    <w:rsid w:val="0009018D"/>
    <w:rsid w:val="000909B9"/>
    <w:rsid w:val="00090A99"/>
    <w:rsid w:val="00090E82"/>
    <w:rsid w:val="0009100D"/>
    <w:rsid w:val="0009123D"/>
    <w:rsid w:val="000912A8"/>
    <w:rsid w:val="00091482"/>
    <w:rsid w:val="00091565"/>
    <w:rsid w:val="000916CB"/>
    <w:rsid w:val="000919FF"/>
    <w:rsid w:val="00091AD2"/>
    <w:rsid w:val="00091B0B"/>
    <w:rsid w:val="00091CF0"/>
    <w:rsid w:val="00091E12"/>
    <w:rsid w:val="00091E68"/>
    <w:rsid w:val="00091F0D"/>
    <w:rsid w:val="00091F1A"/>
    <w:rsid w:val="00092029"/>
    <w:rsid w:val="00092039"/>
    <w:rsid w:val="00092049"/>
    <w:rsid w:val="000920F9"/>
    <w:rsid w:val="000921A0"/>
    <w:rsid w:val="000924B5"/>
    <w:rsid w:val="000925E2"/>
    <w:rsid w:val="00092903"/>
    <w:rsid w:val="000929F4"/>
    <w:rsid w:val="00092A40"/>
    <w:rsid w:val="00092B05"/>
    <w:rsid w:val="00092BE9"/>
    <w:rsid w:val="00092EA1"/>
    <w:rsid w:val="00093156"/>
    <w:rsid w:val="000932E4"/>
    <w:rsid w:val="000935D5"/>
    <w:rsid w:val="00093771"/>
    <w:rsid w:val="00093911"/>
    <w:rsid w:val="00093992"/>
    <w:rsid w:val="00093A01"/>
    <w:rsid w:val="00093B0F"/>
    <w:rsid w:val="00093C3E"/>
    <w:rsid w:val="00093C8B"/>
    <w:rsid w:val="00093D32"/>
    <w:rsid w:val="00093F10"/>
    <w:rsid w:val="00093F49"/>
    <w:rsid w:val="000940B8"/>
    <w:rsid w:val="0009435A"/>
    <w:rsid w:val="00094464"/>
    <w:rsid w:val="000950BE"/>
    <w:rsid w:val="000950C7"/>
    <w:rsid w:val="000951ED"/>
    <w:rsid w:val="0009529C"/>
    <w:rsid w:val="000952F1"/>
    <w:rsid w:val="000953C1"/>
    <w:rsid w:val="0009552A"/>
    <w:rsid w:val="00095743"/>
    <w:rsid w:val="00095877"/>
    <w:rsid w:val="000959BF"/>
    <w:rsid w:val="00095E45"/>
    <w:rsid w:val="00095E9C"/>
    <w:rsid w:val="0009623D"/>
    <w:rsid w:val="00096432"/>
    <w:rsid w:val="000966EC"/>
    <w:rsid w:val="000966EE"/>
    <w:rsid w:val="00096829"/>
    <w:rsid w:val="00096B7F"/>
    <w:rsid w:val="00096C95"/>
    <w:rsid w:val="00096CD5"/>
    <w:rsid w:val="00096DBA"/>
    <w:rsid w:val="000973C8"/>
    <w:rsid w:val="00097550"/>
    <w:rsid w:val="0009763C"/>
    <w:rsid w:val="000977C2"/>
    <w:rsid w:val="00097F21"/>
    <w:rsid w:val="000A0063"/>
    <w:rsid w:val="000A0373"/>
    <w:rsid w:val="000A03F9"/>
    <w:rsid w:val="000A0551"/>
    <w:rsid w:val="000A0627"/>
    <w:rsid w:val="000A0664"/>
    <w:rsid w:val="000A09B6"/>
    <w:rsid w:val="000A0AA0"/>
    <w:rsid w:val="000A0BE7"/>
    <w:rsid w:val="000A0BFD"/>
    <w:rsid w:val="000A0D90"/>
    <w:rsid w:val="000A0F89"/>
    <w:rsid w:val="000A1272"/>
    <w:rsid w:val="000A137F"/>
    <w:rsid w:val="000A14FE"/>
    <w:rsid w:val="000A17E3"/>
    <w:rsid w:val="000A18A2"/>
    <w:rsid w:val="000A18B7"/>
    <w:rsid w:val="000A18E3"/>
    <w:rsid w:val="000A196F"/>
    <w:rsid w:val="000A19C4"/>
    <w:rsid w:val="000A1B98"/>
    <w:rsid w:val="000A1BBF"/>
    <w:rsid w:val="000A1C79"/>
    <w:rsid w:val="000A1DA2"/>
    <w:rsid w:val="000A1DA8"/>
    <w:rsid w:val="000A1DC4"/>
    <w:rsid w:val="000A1E02"/>
    <w:rsid w:val="000A1E66"/>
    <w:rsid w:val="000A1E6C"/>
    <w:rsid w:val="000A2315"/>
    <w:rsid w:val="000A23B8"/>
    <w:rsid w:val="000A25FD"/>
    <w:rsid w:val="000A26D9"/>
    <w:rsid w:val="000A2A92"/>
    <w:rsid w:val="000A2C28"/>
    <w:rsid w:val="000A2C48"/>
    <w:rsid w:val="000A3194"/>
    <w:rsid w:val="000A353F"/>
    <w:rsid w:val="000A3553"/>
    <w:rsid w:val="000A3586"/>
    <w:rsid w:val="000A35C8"/>
    <w:rsid w:val="000A3685"/>
    <w:rsid w:val="000A3780"/>
    <w:rsid w:val="000A3806"/>
    <w:rsid w:val="000A3A10"/>
    <w:rsid w:val="000A3B16"/>
    <w:rsid w:val="000A3C98"/>
    <w:rsid w:val="000A407D"/>
    <w:rsid w:val="000A4188"/>
    <w:rsid w:val="000A421E"/>
    <w:rsid w:val="000A4417"/>
    <w:rsid w:val="000A463C"/>
    <w:rsid w:val="000A4691"/>
    <w:rsid w:val="000A4C34"/>
    <w:rsid w:val="000A4C9D"/>
    <w:rsid w:val="000A4CA2"/>
    <w:rsid w:val="000A4DDF"/>
    <w:rsid w:val="000A52B7"/>
    <w:rsid w:val="000A5471"/>
    <w:rsid w:val="000A56B6"/>
    <w:rsid w:val="000A5720"/>
    <w:rsid w:val="000A5723"/>
    <w:rsid w:val="000A572D"/>
    <w:rsid w:val="000A574F"/>
    <w:rsid w:val="000A594D"/>
    <w:rsid w:val="000A5A47"/>
    <w:rsid w:val="000A5B06"/>
    <w:rsid w:val="000A5DB5"/>
    <w:rsid w:val="000A5FC0"/>
    <w:rsid w:val="000A6146"/>
    <w:rsid w:val="000A631F"/>
    <w:rsid w:val="000A6338"/>
    <w:rsid w:val="000A685B"/>
    <w:rsid w:val="000A6878"/>
    <w:rsid w:val="000A68D5"/>
    <w:rsid w:val="000A6A10"/>
    <w:rsid w:val="000A6F57"/>
    <w:rsid w:val="000A71E3"/>
    <w:rsid w:val="000A71F4"/>
    <w:rsid w:val="000A71FD"/>
    <w:rsid w:val="000A7482"/>
    <w:rsid w:val="000A7649"/>
    <w:rsid w:val="000A774D"/>
    <w:rsid w:val="000A7802"/>
    <w:rsid w:val="000A7841"/>
    <w:rsid w:val="000A78B1"/>
    <w:rsid w:val="000A7A26"/>
    <w:rsid w:val="000A7AEF"/>
    <w:rsid w:val="000A7BE7"/>
    <w:rsid w:val="000A7CC0"/>
    <w:rsid w:val="000AA8FF"/>
    <w:rsid w:val="000B0049"/>
    <w:rsid w:val="000B0065"/>
    <w:rsid w:val="000B0111"/>
    <w:rsid w:val="000B0169"/>
    <w:rsid w:val="000B02AB"/>
    <w:rsid w:val="000B03F8"/>
    <w:rsid w:val="000B05BB"/>
    <w:rsid w:val="000B05DC"/>
    <w:rsid w:val="000B0746"/>
    <w:rsid w:val="000B0958"/>
    <w:rsid w:val="000B09E2"/>
    <w:rsid w:val="000B0ADA"/>
    <w:rsid w:val="000B0BA4"/>
    <w:rsid w:val="000B0D5D"/>
    <w:rsid w:val="000B0FD5"/>
    <w:rsid w:val="000B10AD"/>
    <w:rsid w:val="000B121D"/>
    <w:rsid w:val="000B12AF"/>
    <w:rsid w:val="000B13C3"/>
    <w:rsid w:val="000B14F3"/>
    <w:rsid w:val="000B1595"/>
    <w:rsid w:val="000B1DEA"/>
    <w:rsid w:val="000B1EEF"/>
    <w:rsid w:val="000B1F23"/>
    <w:rsid w:val="000B20E7"/>
    <w:rsid w:val="000B211F"/>
    <w:rsid w:val="000B215C"/>
    <w:rsid w:val="000B21BF"/>
    <w:rsid w:val="000B227A"/>
    <w:rsid w:val="000B2519"/>
    <w:rsid w:val="000B294C"/>
    <w:rsid w:val="000B2ADB"/>
    <w:rsid w:val="000B2BC8"/>
    <w:rsid w:val="000B2D89"/>
    <w:rsid w:val="000B2E8D"/>
    <w:rsid w:val="000B2FB2"/>
    <w:rsid w:val="000B3236"/>
    <w:rsid w:val="000B32A4"/>
    <w:rsid w:val="000B3330"/>
    <w:rsid w:val="000B3398"/>
    <w:rsid w:val="000B3425"/>
    <w:rsid w:val="000B37BF"/>
    <w:rsid w:val="000B3931"/>
    <w:rsid w:val="000B3945"/>
    <w:rsid w:val="000B3979"/>
    <w:rsid w:val="000B3994"/>
    <w:rsid w:val="000B39C6"/>
    <w:rsid w:val="000B3B64"/>
    <w:rsid w:val="000B3E42"/>
    <w:rsid w:val="000B3F6D"/>
    <w:rsid w:val="000B4362"/>
    <w:rsid w:val="000B446C"/>
    <w:rsid w:val="000B4764"/>
    <w:rsid w:val="000B4799"/>
    <w:rsid w:val="000B492C"/>
    <w:rsid w:val="000B499F"/>
    <w:rsid w:val="000B4B20"/>
    <w:rsid w:val="000B4CB8"/>
    <w:rsid w:val="000B4CC3"/>
    <w:rsid w:val="000B4E40"/>
    <w:rsid w:val="000B548E"/>
    <w:rsid w:val="000B5596"/>
    <w:rsid w:val="000B5649"/>
    <w:rsid w:val="000B56C7"/>
    <w:rsid w:val="000B5786"/>
    <w:rsid w:val="000B588D"/>
    <w:rsid w:val="000B5936"/>
    <w:rsid w:val="000B5A0E"/>
    <w:rsid w:val="000B5A82"/>
    <w:rsid w:val="000B5AA6"/>
    <w:rsid w:val="000B5F03"/>
    <w:rsid w:val="000B5F27"/>
    <w:rsid w:val="000B5F2B"/>
    <w:rsid w:val="000B5FE2"/>
    <w:rsid w:val="000B606D"/>
    <w:rsid w:val="000B6124"/>
    <w:rsid w:val="000B614B"/>
    <w:rsid w:val="000B61E6"/>
    <w:rsid w:val="000B67D4"/>
    <w:rsid w:val="000B6940"/>
    <w:rsid w:val="000B69FF"/>
    <w:rsid w:val="000B6A22"/>
    <w:rsid w:val="000B71AD"/>
    <w:rsid w:val="000B71F5"/>
    <w:rsid w:val="000B7588"/>
    <w:rsid w:val="000B76FC"/>
    <w:rsid w:val="000B7828"/>
    <w:rsid w:val="000B78CC"/>
    <w:rsid w:val="000B7A06"/>
    <w:rsid w:val="000B7B20"/>
    <w:rsid w:val="000B7B60"/>
    <w:rsid w:val="000B7C8A"/>
    <w:rsid w:val="000B7D6A"/>
    <w:rsid w:val="000B7E3E"/>
    <w:rsid w:val="000B7E65"/>
    <w:rsid w:val="000B7E6E"/>
    <w:rsid w:val="000C0094"/>
    <w:rsid w:val="000C00C2"/>
    <w:rsid w:val="000C036A"/>
    <w:rsid w:val="000C0380"/>
    <w:rsid w:val="000C041B"/>
    <w:rsid w:val="000C0504"/>
    <w:rsid w:val="000C055F"/>
    <w:rsid w:val="000C06E1"/>
    <w:rsid w:val="000C07DF"/>
    <w:rsid w:val="000C0866"/>
    <w:rsid w:val="000C08A1"/>
    <w:rsid w:val="000C08A6"/>
    <w:rsid w:val="000C08D4"/>
    <w:rsid w:val="000C0952"/>
    <w:rsid w:val="000C0A01"/>
    <w:rsid w:val="000C0DC5"/>
    <w:rsid w:val="000C0F13"/>
    <w:rsid w:val="000C10C2"/>
    <w:rsid w:val="000C12C2"/>
    <w:rsid w:val="000C1363"/>
    <w:rsid w:val="000C152B"/>
    <w:rsid w:val="000C155B"/>
    <w:rsid w:val="000C1648"/>
    <w:rsid w:val="000C16FC"/>
    <w:rsid w:val="000C17B8"/>
    <w:rsid w:val="000C193C"/>
    <w:rsid w:val="000C1943"/>
    <w:rsid w:val="000C1CF9"/>
    <w:rsid w:val="000C1E33"/>
    <w:rsid w:val="000C1F34"/>
    <w:rsid w:val="000C2143"/>
    <w:rsid w:val="000C2183"/>
    <w:rsid w:val="000C23B8"/>
    <w:rsid w:val="000C2401"/>
    <w:rsid w:val="000C27AF"/>
    <w:rsid w:val="000C283D"/>
    <w:rsid w:val="000C28FC"/>
    <w:rsid w:val="000C2AFD"/>
    <w:rsid w:val="000C2BE0"/>
    <w:rsid w:val="000C2C8D"/>
    <w:rsid w:val="000C2D24"/>
    <w:rsid w:val="000C2D76"/>
    <w:rsid w:val="000C313E"/>
    <w:rsid w:val="000C317A"/>
    <w:rsid w:val="000C31A3"/>
    <w:rsid w:val="000C37A9"/>
    <w:rsid w:val="000C3964"/>
    <w:rsid w:val="000C396E"/>
    <w:rsid w:val="000C3B07"/>
    <w:rsid w:val="000C3C30"/>
    <w:rsid w:val="000C3CFB"/>
    <w:rsid w:val="000C42D7"/>
    <w:rsid w:val="000C45D4"/>
    <w:rsid w:val="000C460F"/>
    <w:rsid w:val="000C47F8"/>
    <w:rsid w:val="000C4A7C"/>
    <w:rsid w:val="000C4B35"/>
    <w:rsid w:val="000C4DA1"/>
    <w:rsid w:val="000C501D"/>
    <w:rsid w:val="000C5539"/>
    <w:rsid w:val="000C5625"/>
    <w:rsid w:val="000C5696"/>
    <w:rsid w:val="000C56EF"/>
    <w:rsid w:val="000C57BE"/>
    <w:rsid w:val="000C581D"/>
    <w:rsid w:val="000C58C9"/>
    <w:rsid w:val="000C5AFF"/>
    <w:rsid w:val="000C5E6F"/>
    <w:rsid w:val="000C5F3A"/>
    <w:rsid w:val="000C5F52"/>
    <w:rsid w:val="000C5F95"/>
    <w:rsid w:val="000C636A"/>
    <w:rsid w:val="000C6581"/>
    <w:rsid w:val="000C67D9"/>
    <w:rsid w:val="000C6AB5"/>
    <w:rsid w:val="000C6BD1"/>
    <w:rsid w:val="000C7107"/>
    <w:rsid w:val="000C7123"/>
    <w:rsid w:val="000C71A1"/>
    <w:rsid w:val="000C71CF"/>
    <w:rsid w:val="000C7338"/>
    <w:rsid w:val="000C7394"/>
    <w:rsid w:val="000C73EE"/>
    <w:rsid w:val="000C73F8"/>
    <w:rsid w:val="000C7493"/>
    <w:rsid w:val="000C75EA"/>
    <w:rsid w:val="000C7925"/>
    <w:rsid w:val="000C797D"/>
    <w:rsid w:val="000C79C5"/>
    <w:rsid w:val="000C7A3B"/>
    <w:rsid w:val="000C7EAE"/>
    <w:rsid w:val="000C7FDF"/>
    <w:rsid w:val="000D0249"/>
    <w:rsid w:val="000D0298"/>
    <w:rsid w:val="000D02A4"/>
    <w:rsid w:val="000D02C0"/>
    <w:rsid w:val="000D0321"/>
    <w:rsid w:val="000D03C8"/>
    <w:rsid w:val="000D048B"/>
    <w:rsid w:val="000D0617"/>
    <w:rsid w:val="000D07CC"/>
    <w:rsid w:val="000D0A52"/>
    <w:rsid w:val="000D0C3D"/>
    <w:rsid w:val="000D0D70"/>
    <w:rsid w:val="000D0E49"/>
    <w:rsid w:val="000D0F75"/>
    <w:rsid w:val="000D13B5"/>
    <w:rsid w:val="000D1477"/>
    <w:rsid w:val="000D164A"/>
    <w:rsid w:val="000D16C8"/>
    <w:rsid w:val="000D18B4"/>
    <w:rsid w:val="000D1BB1"/>
    <w:rsid w:val="000D1D6D"/>
    <w:rsid w:val="000D202E"/>
    <w:rsid w:val="000D22FB"/>
    <w:rsid w:val="000D2B99"/>
    <w:rsid w:val="000D2BD4"/>
    <w:rsid w:val="000D2CA4"/>
    <w:rsid w:val="000D3479"/>
    <w:rsid w:val="000D355A"/>
    <w:rsid w:val="000D3736"/>
    <w:rsid w:val="000D38AC"/>
    <w:rsid w:val="000D3AA2"/>
    <w:rsid w:val="000D3B8F"/>
    <w:rsid w:val="000D3D0E"/>
    <w:rsid w:val="000D3D14"/>
    <w:rsid w:val="000D410D"/>
    <w:rsid w:val="000D4172"/>
    <w:rsid w:val="000D41C5"/>
    <w:rsid w:val="000D4456"/>
    <w:rsid w:val="000D4677"/>
    <w:rsid w:val="000D4755"/>
    <w:rsid w:val="000D47D9"/>
    <w:rsid w:val="000D48CE"/>
    <w:rsid w:val="000D4957"/>
    <w:rsid w:val="000D4A50"/>
    <w:rsid w:val="000D4CDF"/>
    <w:rsid w:val="000D4FB8"/>
    <w:rsid w:val="000D5056"/>
    <w:rsid w:val="000D50B9"/>
    <w:rsid w:val="000D511C"/>
    <w:rsid w:val="000D52F3"/>
    <w:rsid w:val="000D55F7"/>
    <w:rsid w:val="000D563C"/>
    <w:rsid w:val="000D56B2"/>
    <w:rsid w:val="000D5BE3"/>
    <w:rsid w:val="000D5C62"/>
    <w:rsid w:val="000D5CA6"/>
    <w:rsid w:val="000D5DC6"/>
    <w:rsid w:val="000D5E72"/>
    <w:rsid w:val="000D5F23"/>
    <w:rsid w:val="000D601C"/>
    <w:rsid w:val="000D6065"/>
    <w:rsid w:val="000D63FA"/>
    <w:rsid w:val="000D6462"/>
    <w:rsid w:val="000D6496"/>
    <w:rsid w:val="000D6589"/>
    <w:rsid w:val="000D6894"/>
    <w:rsid w:val="000D692D"/>
    <w:rsid w:val="000D6949"/>
    <w:rsid w:val="000D6A02"/>
    <w:rsid w:val="000D6E5A"/>
    <w:rsid w:val="000D6FEA"/>
    <w:rsid w:val="000D73E8"/>
    <w:rsid w:val="000D761F"/>
    <w:rsid w:val="000D7992"/>
    <w:rsid w:val="000D7B75"/>
    <w:rsid w:val="000D7D05"/>
    <w:rsid w:val="000D7E2A"/>
    <w:rsid w:val="000D7E32"/>
    <w:rsid w:val="000D7FFA"/>
    <w:rsid w:val="000E0408"/>
    <w:rsid w:val="000E0B6A"/>
    <w:rsid w:val="000E0BC5"/>
    <w:rsid w:val="000E0D6C"/>
    <w:rsid w:val="000E0D8E"/>
    <w:rsid w:val="000E0E51"/>
    <w:rsid w:val="000E0EE7"/>
    <w:rsid w:val="000E116C"/>
    <w:rsid w:val="000E16B0"/>
    <w:rsid w:val="000E1713"/>
    <w:rsid w:val="000E1A5C"/>
    <w:rsid w:val="000E1DB1"/>
    <w:rsid w:val="000E211E"/>
    <w:rsid w:val="000E245D"/>
    <w:rsid w:val="000E255E"/>
    <w:rsid w:val="000E27F4"/>
    <w:rsid w:val="000E29A5"/>
    <w:rsid w:val="000E2C62"/>
    <w:rsid w:val="000E2D29"/>
    <w:rsid w:val="000E2D48"/>
    <w:rsid w:val="000E2D99"/>
    <w:rsid w:val="000E2FE3"/>
    <w:rsid w:val="000E3323"/>
    <w:rsid w:val="000E33C1"/>
    <w:rsid w:val="000E3461"/>
    <w:rsid w:val="000E35E7"/>
    <w:rsid w:val="000E364C"/>
    <w:rsid w:val="000E3783"/>
    <w:rsid w:val="000E3847"/>
    <w:rsid w:val="000E3AB4"/>
    <w:rsid w:val="000E3D22"/>
    <w:rsid w:val="000E3E5A"/>
    <w:rsid w:val="000E4103"/>
    <w:rsid w:val="000E4178"/>
    <w:rsid w:val="000E418B"/>
    <w:rsid w:val="000E421C"/>
    <w:rsid w:val="000E43C1"/>
    <w:rsid w:val="000E4584"/>
    <w:rsid w:val="000E45CA"/>
    <w:rsid w:val="000E45D8"/>
    <w:rsid w:val="000E4849"/>
    <w:rsid w:val="000E4863"/>
    <w:rsid w:val="000E49FD"/>
    <w:rsid w:val="000E4C16"/>
    <w:rsid w:val="000E4E47"/>
    <w:rsid w:val="000E4F64"/>
    <w:rsid w:val="000E4FE9"/>
    <w:rsid w:val="000E500F"/>
    <w:rsid w:val="000E5010"/>
    <w:rsid w:val="000E508A"/>
    <w:rsid w:val="000E508F"/>
    <w:rsid w:val="000E525A"/>
    <w:rsid w:val="000E52B3"/>
    <w:rsid w:val="000E5536"/>
    <w:rsid w:val="000E573F"/>
    <w:rsid w:val="000E5844"/>
    <w:rsid w:val="000E5989"/>
    <w:rsid w:val="000E59B7"/>
    <w:rsid w:val="000E5B17"/>
    <w:rsid w:val="000E5C30"/>
    <w:rsid w:val="000E5C8E"/>
    <w:rsid w:val="000E5DEB"/>
    <w:rsid w:val="000E5E93"/>
    <w:rsid w:val="000E5FFA"/>
    <w:rsid w:val="000E61C8"/>
    <w:rsid w:val="000E64A2"/>
    <w:rsid w:val="000E64C6"/>
    <w:rsid w:val="000E64F5"/>
    <w:rsid w:val="000E65C6"/>
    <w:rsid w:val="000E65FE"/>
    <w:rsid w:val="000E6646"/>
    <w:rsid w:val="000E6749"/>
    <w:rsid w:val="000E687E"/>
    <w:rsid w:val="000E6DAA"/>
    <w:rsid w:val="000E7097"/>
    <w:rsid w:val="000E70CA"/>
    <w:rsid w:val="000E726C"/>
    <w:rsid w:val="000E7296"/>
    <w:rsid w:val="000E72DB"/>
    <w:rsid w:val="000E75D0"/>
    <w:rsid w:val="000E765C"/>
    <w:rsid w:val="000E7669"/>
    <w:rsid w:val="000E785D"/>
    <w:rsid w:val="000E7886"/>
    <w:rsid w:val="000E78B3"/>
    <w:rsid w:val="000E7B83"/>
    <w:rsid w:val="000E7DE9"/>
    <w:rsid w:val="000F008C"/>
    <w:rsid w:val="000F00D5"/>
    <w:rsid w:val="000F027A"/>
    <w:rsid w:val="000F035C"/>
    <w:rsid w:val="000F03CB"/>
    <w:rsid w:val="000F05A2"/>
    <w:rsid w:val="000F07E1"/>
    <w:rsid w:val="000F0887"/>
    <w:rsid w:val="000F08DD"/>
    <w:rsid w:val="000F0CEF"/>
    <w:rsid w:val="000F0FF2"/>
    <w:rsid w:val="000F10AB"/>
    <w:rsid w:val="000F13CA"/>
    <w:rsid w:val="000F151F"/>
    <w:rsid w:val="000F154F"/>
    <w:rsid w:val="000F157E"/>
    <w:rsid w:val="000F159A"/>
    <w:rsid w:val="000F1698"/>
    <w:rsid w:val="000F16BB"/>
    <w:rsid w:val="000F1A24"/>
    <w:rsid w:val="000F1A79"/>
    <w:rsid w:val="000F1AC5"/>
    <w:rsid w:val="000F1B77"/>
    <w:rsid w:val="000F1B7A"/>
    <w:rsid w:val="000F1D5C"/>
    <w:rsid w:val="000F1FEB"/>
    <w:rsid w:val="000F214D"/>
    <w:rsid w:val="000F214E"/>
    <w:rsid w:val="000F21FF"/>
    <w:rsid w:val="000F224D"/>
    <w:rsid w:val="000F2283"/>
    <w:rsid w:val="000F22F0"/>
    <w:rsid w:val="000F25B9"/>
    <w:rsid w:val="000F28E1"/>
    <w:rsid w:val="000F2962"/>
    <w:rsid w:val="000F2BD4"/>
    <w:rsid w:val="000F30B4"/>
    <w:rsid w:val="000F3265"/>
    <w:rsid w:val="000F3391"/>
    <w:rsid w:val="000F38E9"/>
    <w:rsid w:val="000F39F3"/>
    <w:rsid w:val="000F3A7C"/>
    <w:rsid w:val="000F3A85"/>
    <w:rsid w:val="000F3B52"/>
    <w:rsid w:val="000F3C8D"/>
    <w:rsid w:val="000F3CBC"/>
    <w:rsid w:val="000F3F70"/>
    <w:rsid w:val="000F3F90"/>
    <w:rsid w:val="000F3FD2"/>
    <w:rsid w:val="000F4070"/>
    <w:rsid w:val="000F41E7"/>
    <w:rsid w:val="000F437B"/>
    <w:rsid w:val="000F43A9"/>
    <w:rsid w:val="000F4690"/>
    <w:rsid w:val="000F46F8"/>
    <w:rsid w:val="000F49B0"/>
    <w:rsid w:val="000F4A1A"/>
    <w:rsid w:val="000F4A5E"/>
    <w:rsid w:val="000F4A7B"/>
    <w:rsid w:val="000F4B95"/>
    <w:rsid w:val="000F4C27"/>
    <w:rsid w:val="000F4EE3"/>
    <w:rsid w:val="000F51B1"/>
    <w:rsid w:val="000F5392"/>
    <w:rsid w:val="000F53CC"/>
    <w:rsid w:val="000F56F6"/>
    <w:rsid w:val="000F57ED"/>
    <w:rsid w:val="000F5837"/>
    <w:rsid w:val="000F5A1A"/>
    <w:rsid w:val="000F6103"/>
    <w:rsid w:val="000F64AB"/>
    <w:rsid w:val="000F66FA"/>
    <w:rsid w:val="000F6822"/>
    <w:rsid w:val="000F68D0"/>
    <w:rsid w:val="000F69C8"/>
    <w:rsid w:val="000F6A91"/>
    <w:rsid w:val="000F6C2C"/>
    <w:rsid w:val="000F6E40"/>
    <w:rsid w:val="000F7266"/>
    <w:rsid w:val="000F7648"/>
    <w:rsid w:val="000F76BA"/>
    <w:rsid w:val="000F76C4"/>
    <w:rsid w:val="000F7801"/>
    <w:rsid w:val="000F794C"/>
    <w:rsid w:val="000F7988"/>
    <w:rsid w:val="000F79C7"/>
    <w:rsid w:val="000F7F4C"/>
    <w:rsid w:val="001001D9"/>
    <w:rsid w:val="00100243"/>
    <w:rsid w:val="001002AF"/>
    <w:rsid w:val="00100304"/>
    <w:rsid w:val="001003A9"/>
    <w:rsid w:val="00100554"/>
    <w:rsid w:val="001007DE"/>
    <w:rsid w:val="00100854"/>
    <w:rsid w:val="0010085A"/>
    <w:rsid w:val="00100868"/>
    <w:rsid w:val="00100B1A"/>
    <w:rsid w:val="00100D55"/>
    <w:rsid w:val="00100D90"/>
    <w:rsid w:val="00100F2D"/>
    <w:rsid w:val="00100F49"/>
    <w:rsid w:val="00100FA4"/>
    <w:rsid w:val="001010B4"/>
    <w:rsid w:val="001012E6"/>
    <w:rsid w:val="0010157C"/>
    <w:rsid w:val="0010164F"/>
    <w:rsid w:val="00101734"/>
    <w:rsid w:val="0010199A"/>
    <w:rsid w:val="00101A57"/>
    <w:rsid w:val="00101B9F"/>
    <w:rsid w:val="00101EBE"/>
    <w:rsid w:val="00102406"/>
    <w:rsid w:val="001026B6"/>
    <w:rsid w:val="001026CD"/>
    <w:rsid w:val="00102769"/>
    <w:rsid w:val="00102A3B"/>
    <w:rsid w:val="00102A7B"/>
    <w:rsid w:val="00102AF8"/>
    <w:rsid w:val="00102B17"/>
    <w:rsid w:val="00102B53"/>
    <w:rsid w:val="00102C82"/>
    <w:rsid w:val="00102F2E"/>
    <w:rsid w:val="00103032"/>
    <w:rsid w:val="001030AB"/>
    <w:rsid w:val="00103259"/>
    <w:rsid w:val="00103281"/>
    <w:rsid w:val="001033AF"/>
    <w:rsid w:val="00103645"/>
    <w:rsid w:val="001039B6"/>
    <w:rsid w:val="00103C67"/>
    <w:rsid w:val="00103C8B"/>
    <w:rsid w:val="00103ECB"/>
    <w:rsid w:val="00104035"/>
    <w:rsid w:val="00104051"/>
    <w:rsid w:val="001040E0"/>
    <w:rsid w:val="00104156"/>
    <w:rsid w:val="001041A3"/>
    <w:rsid w:val="001044D8"/>
    <w:rsid w:val="001047E2"/>
    <w:rsid w:val="00104C3A"/>
    <w:rsid w:val="00104F54"/>
    <w:rsid w:val="0010507C"/>
    <w:rsid w:val="00105161"/>
    <w:rsid w:val="00105316"/>
    <w:rsid w:val="001054E3"/>
    <w:rsid w:val="0010556A"/>
    <w:rsid w:val="00105B42"/>
    <w:rsid w:val="00105B79"/>
    <w:rsid w:val="00105C07"/>
    <w:rsid w:val="00105EC3"/>
    <w:rsid w:val="00106191"/>
    <w:rsid w:val="00106307"/>
    <w:rsid w:val="00106331"/>
    <w:rsid w:val="0010634B"/>
    <w:rsid w:val="00106481"/>
    <w:rsid w:val="001065D9"/>
    <w:rsid w:val="00106662"/>
    <w:rsid w:val="00106A54"/>
    <w:rsid w:val="00106AC6"/>
    <w:rsid w:val="00107118"/>
    <w:rsid w:val="00107122"/>
    <w:rsid w:val="00107326"/>
    <w:rsid w:val="001075C0"/>
    <w:rsid w:val="001078C1"/>
    <w:rsid w:val="00107A34"/>
    <w:rsid w:val="00107D89"/>
    <w:rsid w:val="00107EFD"/>
    <w:rsid w:val="0010FB0B"/>
    <w:rsid w:val="0011001B"/>
    <w:rsid w:val="0011006F"/>
    <w:rsid w:val="00110569"/>
    <w:rsid w:val="00110676"/>
    <w:rsid w:val="001108BF"/>
    <w:rsid w:val="0011096F"/>
    <w:rsid w:val="001109C2"/>
    <w:rsid w:val="00110BB8"/>
    <w:rsid w:val="00110C65"/>
    <w:rsid w:val="00110D7C"/>
    <w:rsid w:val="00110F0F"/>
    <w:rsid w:val="00110F15"/>
    <w:rsid w:val="0011100D"/>
    <w:rsid w:val="00111268"/>
    <w:rsid w:val="0011152D"/>
    <w:rsid w:val="00111615"/>
    <w:rsid w:val="00111725"/>
    <w:rsid w:val="00111772"/>
    <w:rsid w:val="00111C65"/>
    <w:rsid w:val="00111CE2"/>
    <w:rsid w:val="00111FE0"/>
    <w:rsid w:val="001122EE"/>
    <w:rsid w:val="00112369"/>
    <w:rsid w:val="001123E1"/>
    <w:rsid w:val="00112428"/>
    <w:rsid w:val="001124A1"/>
    <w:rsid w:val="001125D7"/>
    <w:rsid w:val="00112969"/>
    <w:rsid w:val="00112A26"/>
    <w:rsid w:val="00112B1C"/>
    <w:rsid w:val="00112EDA"/>
    <w:rsid w:val="001130AC"/>
    <w:rsid w:val="001131E4"/>
    <w:rsid w:val="00113278"/>
    <w:rsid w:val="001132D7"/>
    <w:rsid w:val="0011333F"/>
    <w:rsid w:val="001133AF"/>
    <w:rsid w:val="0011375E"/>
    <w:rsid w:val="00113863"/>
    <w:rsid w:val="00113912"/>
    <w:rsid w:val="00113A39"/>
    <w:rsid w:val="00113B36"/>
    <w:rsid w:val="00113B3E"/>
    <w:rsid w:val="00113BD7"/>
    <w:rsid w:val="00113C36"/>
    <w:rsid w:val="00113D9E"/>
    <w:rsid w:val="00113F24"/>
    <w:rsid w:val="00113F3A"/>
    <w:rsid w:val="00113F4D"/>
    <w:rsid w:val="00113F6A"/>
    <w:rsid w:val="001140C8"/>
    <w:rsid w:val="00114277"/>
    <w:rsid w:val="001144AF"/>
    <w:rsid w:val="0011464B"/>
    <w:rsid w:val="0011489C"/>
    <w:rsid w:val="001148B7"/>
    <w:rsid w:val="00114AAC"/>
    <w:rsid w:val="00114D04"/>
    <w:rsid w:val="00114DB6"/>
    <w:rsid w:val="00115061"/>
    <w:rsid w:val="00115336"/>
    <w:rsid w:val="0011542A"/>
    <w:rsid w:val="0011549B"/>
    <w:rsid w:val="00115691"/>
    <w:rsid w:val="00115724"/>
    <w:rsid w:val="0011581F"/>
    <w:rsid w:val="00115900"/>
    <w:rsid w:val="00115B05"/>
    <w:rsid w:val="00115CF8"/>
    <w:rsid w:val="00115E66"/>
    <w:rsid w:val="001160A2"/>
    <w:rsid w:val="001160F2"/>
    <w:rsid w:val="0011610D"/>
    <w:rsid w:val="0011613B"/>
    <w:rsid w:val="001163C3"/>
    <w:rsid w:val="0011641B"/>
    <w:rsid w:val="00116936"/>
    <w:rsid w:val="00116B4C"/>
    <w:rsid w:val="00116B88"/>
    <w:rsid w:val="00116C89"/>
    <w:rsid w:val="00116F89"/>
    <w:rsid w:val="00116F9C"/>
    <w:rsid w:val="00117170"/>
    <w:rsid w:val="00117265"/>
    <w:rsid w:val="00117338"/>
    <w:rsid w:val="00117604"/>
    <w:rsid w:val="001179E1"/>
    <w:rsid w:val="00117BC8"/>
    <w:rsid w:val="001200EE"/>
    <w:rsid w:val="00120168"/>
    <w:rsid w:val="0012022F"/>
    <w:rsid w:val="0012024E"/>
    <w:rsid w:val="00120421"/>
    <w:rsid w:val="00120440"/>
    <w:rsid w:val="001204AB"/>
    <w:rsid w:val="0012095B"/>
    <w:rsid w:val="00120B74"/>
    <w:rsid w:val="00120D0E"/>
    <w:rsid w:val="00120EAF"/>
    <w:rsid w:val="00120FA5"/>
    <w:rsid w:val="00120FEE"/>
    <w:rsid w:val="001210EF"/>
    <w:rsid w:val="001213FC"/>
    <w:rsid w:val="001215C8"/>
    <w:rsid w:val="00121724"/>
    <w:rsid w:val="001219C7"/>
    <w:rsid w:val="00121BBB"/>
    <w:rsid w:val="00121C31"/>
    <w:rsid w:val="00121D43"/>
    <w:rsid w:val="00121D57"/>
    <w:rsid w:val="001220A7"/>
    <w:rsid w:val="00122699"/>
    <w:rsid w:val="00122783"/>
    <w:rsid w:val="0012297C"/>
    <w:rsid w:val="00122BB2"/>
    <w:rsid w:val="00122C39"/>
    <w:rsid w:val="00122C72"/>
    <w:rsid w:val="00122C87"/>
    <w:rsid w:val="00122D77"/>
    <w:rsid w:val="001238A0"/>
    <w:rsid w:val="00123919"/>
    <w:rsid w:val="00123D1E"/>
    <w:rsid w:val="00123E08"/>
    <w:rsid w:val="00123E39"/>
    <w:rsid w:val="001240C0"/>
    <w:rsid w:val="00124403"/>
    <w:rsid w:val="001248ED"/>
    <w:rsid w:val="00124CCF"/>
    <w:rsid w:val="00124CD3"/>
    <w:rsid w:val="00124E71"/>
    <w:rsid w:val="00124E85"/>
    <w:rsid w:val="0012503D"/>
    <w:rsid w:val="00125225"/>
    <w:rsid w:val="00125370"/>
    <w:rsid w:val="001254C7"/>
    <w:rsid w:val="00125661"/>
    <w:rsid w:val="001259F4"/>
    <w:rsid w:val="00125A8F"/>
    <w:rsid w:val="00125CF8"/>
    <w:rsid w:val="00125D0B"/>
    <w:rsid w:val="00125D5F"/>
    <w:rsid w:val="00126000"/>
    <w:rsid w:val="0012624A"/>
    <w:rsid w:val="0012627D"/>
    <w:rsid w:val="001264D2"/>
    <w:rsid w:val="001264EE"/>
    <w:rsid w:val="00126676"/>
    <w:rsid w:val="001267FB"/>
    <w:rsid w:val="0012687E"/>
    <w:rsid w:val="00126AB6"/>
    <w:rsid w:val="00126BC5"/>
    <w:rsid w:val="00126C45"/>
    <w:rsid w:val="00126E68"/>
    <w:rsid w:val="00126EF9"/>
    <w:rsid w:val="00126F39"/>
    <w:rsid w:val="00126F6C"/>
    <w:rsid w:val="001270FB"/>
    <w:rsid w:val="001272EF"/>
    <w:rsid w:val="00127754"/>
    <w:rsid w:val="001279BA"/>
    <w:rsid w:val="00127C60"/>
    <w:rsid w:val="00127E39"/>
    <w:rsid w:val="00127EBE"/>
    <w:rsid w:val="00130202"/>
    <w:rsid w:val="0013021C"/>
    <w:rsid w:val="00130545"/>
    <w:rsid w:val="001307B3"/>
    <w:rsid w:val="00130AC2"/>
    <w:rsid w:val="00130C7B"/>
    <w:rsid w:val="00130CF1"/>
    <w:rsid w:val="00130FA0"/>
    <w:rsid w:val="00131002"/>
    <w:rsid w:val="0013139F"/>
    <w:rsid w:val="00131516"/>
    <w:rsid w:val="00131924"/>
    <w:rsid w:val="00131BC0"/>
    <w:rsid w:val="00131C12"/>
    <w:rsid w:val="00131C23"/>
    <w:rsid w:val="00131CDD"/>
    <w:rsid w:val="00131E8B"/>
    <w:rsid w:val="00132313"/>
    <w:rsid w:val="00132366"/>
    <w:rsid w:val="001323E4"/>
    <w:rsid w:val="00132505"/>
    <w:rsid w:val="001328A0"/>
    <w:rsid w:val="001329D0"/>
    <w:rsid w:val="00132A41"/>
    <w:rsid w:val="00132ACC"/>
    <w:rsid w:val="00132B1B"/>
    <w:rsid w:val="00132D9A"/>
    <w:rsid w:val="00132E83"/>
    <w:rsid w:val="0013334B"/>
    <w:rsid w:val="00133C5C"/>
    <w:rsid w:val="0013410C"/>
    <w:rsid w:val="00134259"/>
    <w:rsid w:val="0013436E"/>
    <w:rsid w:val="00134793"/>
    <w:rsid w:val="001347BC"/>
    <w:rsid w:val="001347CE"/>
    <w:rsid w:val="00134831"/>
    <w:rsid w:val="001348EB"/>
    <w:rsid w:val="001349AA"/>
    <w:rsid w:val="00134C87"/>
    <w:rsid w:val="00134EF0"/>
    <w:rsid w:val="0013505C"/>
    <w:rsid w:val="00135101"/>
    <w:rsid w:val="00135523"/>
    <w:rsid w:val="001355CE"/>
    <w:rsid w:val="00135696"/>
    <w:rsid w:val="0013582D"/>
    <w:rsid w:val="00135856"/>
    <w:rsid w:val="00135873"/>
    <w:rsid w:val="00135DE4"/>
    <w:rsid w:val="00135DE9"/>
    <w:rsid w:val="00135E61"/>
    <w:rsid w:val="0013607C"/>
    <w:rsid w:val="001360C4"/>
    <w:rsid w:val="001361E5"/>
    <w:rsid w:val="0013633E"/>
    <w:rsid w:val="00136669"/>
    <w:rsid w:val="0013686F"/>
    <w:rsid w:val="0013699B"/>
    <w:rsid w:val="00136A56"/>
    <w:rsid w:val="00136AA7"/>
    <w:rsid w:val="00136BB1"/>
    <w:rsid w:val="001370DA"/>
    <w:rsid w:val="00137191"/>
    <w:rsid w:val="001372C4"/>
    <w:rsid w:val="00137495"/>
    <w:rsid w:val="00137504"/>
    <w:rsid w:val="00137936"/>
    <w:rsid w:val="001379A7"/>
    <w:rsid w:val="00137BB9"/>
    <w:rsid w:val="00137D5D"/>
    <w:rsid w:val="00137DA0"/>
    <w:rsid w:val="00137F66"/>
    <w:rsid w:val="00137F92"/>
    <w:rsid w:val="00137FFA"/>
    <w:rsid w:val="0014000F"/>
    <w:rsid w:val="001401D4"/>
    <w:rsid w:val="00140438"/>
    <w:rsid w:val="0014065D"/>
    <w:rsid w:val="0014066B"/>
    <w:rsid w:val="001406DB"/>
    <w:rsid w:val="001406E9"/>
    <w:rsid w:val="0014073C"/>
    <w:rsid w:val="00140751"/>
    <w:rsid w:val="00140774"/>
    <w:rsid w:val="0014080E"/>
    <w:rsid w:val="00140960"/>
    <w:rsid w:val="00140987"/>
    <w:rsid w:val="00140AC2"/>
    <w:rsid w:val="00140E0B"/>
    <w:rsid w:val="00140EE6"/>
    <w:rsid w:val="0014126C"/>
    <w:rsid w:val="001412BB"/>
    <w:rsid w:val="001412D0"/>
    <w:rsid w:val="001412EC"/>
    <w:rsid w:val="0014132A"/>
    <w:rsid w:val="0014143D"/>
    <w:rsid w:val="0014143F"/>
    <w:rsid w:val="001414A1"/>
    <w:rsid w:val="001418C8"/>
    <w:rsid w:val="00141926"/>
    <w:rsid w:val="00141A15"/>
    <w:rsid w:val="00141A65"/>
    <w:rsid w:val="00141E8A"/>
    <w:rsid w:val="0014205F"/>
    <w:rsid w:val="00142299"/>
    <w:rsid w:val="001425E2"/>
    <w:rsid w:val="00142791"/>
    <w:rsid w:val="0014285E"/>
    <w:rsid w:val="00142A81"/>
    <w:rsid w:val="00142ABE"/>
    <w:rsid w:val="00142C88"/>
    <w:rsid w:val="00142FB4"/>
    <w:rsid w:val="00142FD7"/>
    <w:rsid w:val="00143082"/>
    <w:rsid w:val="00143147"/>
    <w:rsid w:val="00143188"/>
    <w:rsid w:val="001432AF"/>
    <w:rsid w:val="00143528"/>
    <w:rsid w:val="00143839"/>
    <w:rsid w:val="00143BCB"/>
    <w:rsid w:val="00143D2F"/>
    <w:rsid w:val="00143E91"/>
    <w:rsid w:val="00143EE1"/>
    <w:rsid w:val="00143F54"/>
    <w:rsid w:val="001440E0"/>
    <w:rsid w:val="0014424D"/>
    <w:rsid w:val="00144498"/>
    <w:rsid w:val="00144627"/>
    <w:rsid w:val="0014472B"/>
    <w:rsid w:val="00144756"/>
    <w:rsid w:val="00144B26"/>
    <w:rsid w:val="00144DC0"/>
    <w:rsid w:val="00144ED0"/>
    <w:rsid w:val="00145131"/>
    <w:rsid w:val="0014531F"/>
    <w:rsid w:val="00145463"/>
    <w:rsid w:val="00145570"/>
    <w:rsid w:val="00145602"/>
    <w:rsid w:val="00145608"/>
    <w:rsid w:val="0014589D"/>
    <w:rsid w:val="001458D5"/>
    <w:rsid w:val="0014590F"/>
    <w:rsid w:val="0014594F"/>
    <w:rsid w:val="00145A86"/>
    <w:rsid w:val="00145AF7"/>
    <w:rsid w:val="00145B7E"/>
    <w:rsid w:val="00145C7B"/>
    <w:rsid w:val="00145CA4"/>
    <w:rsid w:val="00145E06"/>
    <w:rsid w:val="001462A8"/>
    <w:rsid w:val="001462EA"/>
    <w:rsid w:val="001464FF"/>
    <w:rsid w:val="001465C4"/>
    <w:rsid w:val="00146633"/>
    <w:rsid w:val="00146729"/>
    <w:rsid w:val="00146782"/>
    <w:rsid w:val="00146B6E"/>
    <w:rsid w:val="00146C31"/>
    <w:rsid w:val="00146CCD"/>
    <w:rsid w:val="00146DF9"/>
    <w:rsid w:val="00146F85"/>
    <w:rsid w:val="00146FA3"/>
    <w:rsid w:val="00147122"/>
    <w:rsid w:val="001472AB"/>
    <w:rsid w:val="00147314"/>
    <w:rsid w:val="001473D6"/>
    <w:rsid w:val="0014798B"/>
    <w:rsid w:val="00147F93"/>
    <w:rsid w:val="00148521"/>
    <w:rsid w:val="0015005F"/>
    <w:rsid w:val="0015006B"/>
    <w:rsid w:val="001500E2"/>
    <w:rsid w:val="00150206"/>
    <w:rsid w:val="0015025B"/>
    <w:rsid w:val="00150319"/>
    <w:rsid w:val="00150BD4"/>
    <w:rsid w:val="00150C00"/>
    <w:rsid w:val="00150FBC"/>
    <w:rsid w:val="001511B2"/>
    <w:rsid w:val="0015135C"/>
    <w:rsid w:val="001513DE"/>
    <w:rsid w:val="00151856"/>
    <w:rsid w:val="00151923"/>
    <w:rsid w:val="00151930"/>
    <w:rsid w:val="00151AFF"/>
    <w:rsid w:val="00151B2E"/>
    <w:rsid w:val="00151B83"/>
    <w:rsid w:val="00151E69"/>
    <w:rsid w:val="00152034"/>
    <w:rsid w:val="00152407"/>
    <w:rsid w:val="0015246F"/>
    <w:rsid w:val="00152488"/>
    <w:rsid w:val="0015271B"/>
    <w:rsid w:val="00152813"/>
    <w:rsid w:val="00152BC8"/>
    <w:rsid w:val="00152D7D"/>
    <w:rsid w:val="00152DA8"/>
    <w:rsid w:val="00152E35"/>
    <w:rsid w:val="00153138"/>
    <w:rsid w:val="00153164"/>
    <w:rsid w:val="00153785"/>
    <w:rsid w:val="001537B7"/>
    <w:rsid w:val="00153D07"/>
    <w:rsid w:val="00153E7B"/>
    <w:rsid w:val="00153E97"/>
    <w:rsid w:val="00153ED9"/>
    <w:rsid w:val="00153F2B"/>
    <w:rsid w:val="00153F4B"/>
    <w:rsid w:val="0015404F"/>
    <w:rsid w:val="0015447D"/>
    <w:rsid w:val="0015462E"/>
    <w:rsid w:val="00154779"/>
    <w:rsid w:val="00154849"/>
    <w:rsid w:val="00154A37"/>
    <w:rsid w:val="00154BC8"/>
    <w:rsid w:val="00154C4C"/>
    <w:rsid w:val="00154F29"/>
    <w:rsid w:val="00154FF7"/>
    <w:rsid w:val="0015502A"/>
    <w:rsid w:val="001550DF"/>
    <w:rsid w:val="00155314"/>
    <w:rsid w:val="00155339"/>
    <w:rsid w:val="001557A5"/>
    <w:rsid w:val="001559AF"/>
    <w:rsid w:val="00155A0C"/>
    <w:rsid w:val="00155AEA"/>
    <w:rsid w:val="00155B3A"/>
    <w:rsid w:val="00155BF0"/>
    <w:rsid w:val="00155D8F"/>
    <w:rsid w:val="00155E8E"/>
    <w:rsid w:val="00155F6F"/>
    <w:rsid w:val="00156068"/>
    <w:rsid w:val="00156382"/>
    <w:rsid w:val="0015657C"/>
    <w:rsid w:val="001568B8"/>
    <w:rsid w:val="001568CB"/>
    <w:rsid w:val="001568D9"/>
    <w:rsid w:val="001569B6"/>
    <w:rsid w:val="00156AA3"/>
    <w:rsid w:val="00156BE2"/>
    <w:rsid w:val="00156E0E"/>
    <w:rsid w:val="00156EDA"/>
    <w:rsid w:val="00157768"/>
    <w:rsid w:val="001577EC"/>
    <w:rsid w:val="0015790B"/>
    <w:rsid w:val="00157A4F"/>
    <w:rsid w:val="00157ACD"/>
    <w:rsid w:val="00157B77"/>
    <w:rsid w:val="0016020B"/>
    <w:rsid w:val="0016024B"/>
    <w:rsid w:val="00160250"/>
    <w:rsid w:val="0016035E"/>
    <w:rsid w:val="00160471"/>
    <w:rsid w:val="0016064B"/>
    <w:rsid w:val="00160693"/>
    <w:rsid w:val="001607DD"/>
    <w:rsid w:val="00160B5C"/>
    <w:rsid w:val="00160C23"/>
    <w:rsid w:val="00160CFD"/>
    <w:rsid w:val="00161126"/>
    <w:rsid w:val="00161447"/>
    <w:rsid w:val="00161931"/>
    <w:rsid w:val="00161BAF"/>
    <w:rsid w:val="0016202C"/>
    <w:rsid w:val="00162144"/>
    <w:rsid w:val="00162181"/>
    <w:rsid w:val="00162189"/>
    <w:rsid w:val="00162364"/>
    <w:rsid w:val="001624F2"/>
    <w:rsid w:val="00162752"/>
    <w:rsid w:val="0016284D"/>
    <w:rsid w:val="001628FB"/>
    <w:rsid w:val="0016298B"/>
    <w:rsid w:val="00162BC1"/>
    <w:rsid w:val="00162D02"/>
    <w:rsid w:val="00162F88"/>
    <w:rsid w:val="00163000"/>
    <w:rsid w:val="00163086"/>
    <w:rsid w:val="00163473"/>
    <w:rsid w:val="001634DD"/>
    <w:rsid w:val="00163AE2"/>
    <w:rsid w:val="00163CA1"/>
    <w:rsid w:val="00163D02"/>
    <w:rsid w:val="00163DAD"/>
    <w:rsid w:val="00163FD2"/>
    <w:rsid w:val="00164118"/>
    <w:rsid w:val="00164170"/>
    <w:rsid w:val="00164330"/>
    <w:rsid w:val="00164569"/>
    <w:rsid w:val="0016475A"/>
    <w:rsid w:val="001647DE"/>
    <w:rsid w:val="001648F9"/>
    <w:rsid w:val="00164910"/>
    <w:rsid w:val="001649BE"/>
    <w:rsid w:val="00164F88"/>
    <w:rsid w:val="00164FD2"/>
    <w:rsid w:val="0016503F"/>
    <w:rsid w:val="001650C2"/>
    <w:rsid w:val="00165417"/>
    <w:rsid w:val="00165496"/>
    <w:rsid w:val="001654D3"/>
    <w:rsid w:val="00165836"/>
    <w:rsid w:val="00165A50"/>
    <w:rsid w:val="00165D1E"/>
    <w:rsid w:val="0016606D"/>
    <w:rsid w:val="0016609A"/>
    <w:rsid w:val="001660EE"/>
    <w:rsid w:val="0016619E"/>
    <w:rsid w:val="00166402"/>
    <w:rsid w:val="00166448"/>
    <w:rsid w:val="00166554"/>
    <w:rsid w:val="001665AB"/>
    <w:rsid w:val="001665C2"/>
    <w:rsid w:val="001667CF"/>
    <w:rsid w:val="0016682E"/>
    <w:rsid w:val="00166AF5"/>
    <w:rsid w:val="00166BAC"/>
    <w:rsid w:val="00166CAA"/>
    <w:rsid w:val="00166D71"/>
    <w:rsid w:val="00166EA9"/>
    <w:rsid w:val="00166F04"/>
    <w:rsid w:val="00166F7B"/>
    <w:rsid w:val="001672CC"/>
    <w:rsid w:val="00167863"/>
    <w:rsid w:val="00167881"/>
    <w:rsid w:val="001679BF"/>
    <w:rsid w:val="00167C9F"/>
    <w:rsid w:val="00167CE3"/>
    <w:rsid w:val="00167EB3"/>
    <w:rsid w:val="00167EEE"/>
    <w:rsid w:val="001700C8"/>
    <w:rsid w:val="001701B1"/>
    <w:rsid w:val="001701FC"/>
    <w:rsid w:val="001702E9"/>
    <w:rsid w:val="001704D0"/>
    <w:rsid w:val="00170530"/>
    <w:rsid w:val="00170593"/>
    <w:rsid w:val="00170745"/>
    <w:rsid w:val="001708DF"/>
    <w:rsid w:val="00170B94"/>
    <w:rsid w:val="00170F76"/>
    <w:rsid w:val="00171060"/>
    <w:rsid w:val="0017112B"/>
    <w:rsid w:val="001711D2"/>
    <w:rsid w:val="0017132B"/>
    <w:rsid w:val="001714B4"/>
    <w:rsid w:val="00171552"/>
    <w:rsid w:val="001715E9"/>
    <w:rsid w:val="0017185A"/>
    <w:rsid w:val="0017196B"/>
    <w:rsid w:val="0017196F"/>
    <w:rsid w:val="00171B92"/>
    <w:rsid w:val="00171C19"/>
    <w:rsid w:val="00171E51"/>
    <w:rsid w:val="00171F9D"/>
    <w:rsid w:val="00172064"/>
    <w:rsid w:val="001721B5"/>
    <w:rsid w:val="001722EF"/>
    <w:rsid w:val="00172326"/>
    <w:rsid w:val="00172395"/>
    <w:rsid w:val="001723C6"/>
    <w:rsid w:val="00172406"/>
    <w:rsid w:val="001724BD"/>
    <w:rsid w:val="001724E1"/>
    <w:rsid w:val="001726EA"/>
    <w:rsid w:val="0017284E"/>
    <w:rsid w:val="0017290F"/>
    <w:rsid w:val="001729D8"/>
    <w:rsid w:val="00172B35"/>
    <w:rsid w:val="00172C67"/>
    <w:rsid w:val="0017332E"/>
    <w:rsid w:val="0017379A"/>
    <w:rsid w:val="001739DB"/>
    <w:rsid w:val="00173B06"/>
    <w:rsid w:val="00173B35"/>
    <w:rsid w:val="00173D8D"/>
    <w:rsid w:val="00173DB5"/>
    <w:rsid w:val="001740D7"/>
    <w:rsid w:val="00174121"/>
    <w:rsid w:val="0017421F"/>
    <w:rsid w:val="001742C5"/>
    <w:rsid w:val="0017430E"/>
    <w:rsid w:val="001743F8"/>
    <w:rsid w:val="001745D9"/>
    <w:rsid w:val="00174942"/>
    <w:rsid w:val="0017498D"/>
    <w:rsid w:val="001749DD"/>
    <w:rsid w:val="00174A82"/>
    <w:rsid w:val="00174ACB"/>
    <w:rsid w:val="00174B13"/>
    <w:rsid w:val="00174E70"/>
    <w:rsid w:val="00174E99"/>
    <w:rsid w:val="001752D8"/>
    <w:rsid w:val="0017539D"/>
    <w:rsid w:val="00175458"/>
    <w:rsid w:val="001755ED"/>
    <w:rsid w:val="00175667"/>
    <w:rsid w:val="001756B7"/>
    <w:rsid w:val="00175765"/>
    <w:rsid w:val="001759CB"/>
    <w:rsid w:val="001759CD"/>
    <w:rsid w:val="00175B6E"/>
    <w:rsid w:val="00175D59"/>
    <w:rsid w:val="00175DD6"/>
    <w:rsid w:val="00176067"/>
    <w:rsid w:val="001760EC"/>
    <w:rsid w:val="00176248"/>
    <w:rsid w:val="001764EA"/>
    <w:rsid w:val="00176619"/>
    <w:rsid w:val="00176980"/>
    <w:rsid w:val="0017699C"/>
    <w:rsid w:val="00176AC7"/>
    <w:rsid w:val="00176B3E"/>
    <w:rsid w:val="00176D33"/>
    <w:rsid w:val="00176D52"/>
    <w:rsid w:val="00176E4F"/>
    <w:rsid w:val="00176EA1"/>
    <w:rsid w:val="00176FF3"/>
    <w:rsid w:val="00177003"/>
    <w:rsid w:val="00177115"/>
    <w:rsid w:val="0017713E"/>
    <w:rsid w:val="00177261"/>
    <w:rsid w:val="00177264"/>
    <w:rsid w:val="001775FF"/>
    <w:rsid w:val="001777A3"/>
    <w:rsid w:val="001777D9"/>
    <w:rsid w:val="001777EA"/>
    <w:rsid w:val="001777EC"/>
    <w:rsid w:val="00177A9A"/>
    <w:rsid w:val="00177C47"/>
    <w:rsid w:val="00177D8E"/>
    <w:rsid w:val="0018054D"/>
    <w:rsid w:val="0018073D"/>
    <w:rsid w:val="001807DB"/>
    <w:rsid w:val="00180AA6"/>
    <w:rsid w:val="00180CD8"/>
    <w:rsid w:val="00181130"/>
    <w:rsid w:val="001812E3"/>
    <w:rsid w:val="0018142F"/>
    <w:rsid w:val="0018144F"/>
    <w:rsid w:val="001814DB"/>
    <w:rsid w:val="001815E8"/>
    <w:rsid w:val="00181720"/>
    <w:rsid w:val="001818E9"/>
    <w:rsid w:val="0018197F"/>
    <w:rsid w:val="00181BAA"/>
    <w:rsid w:val="00181BB1"/>
    <w:rsid w:val="00181F34"/>
    <w:rsid w:val="00181F69"/>
    <w:rsid w:val="00181F7E"/>
    <w:rsid w:val="00181FC1"/>
    <w:rsid w:val="00182090"/>
    <w:rsid w:val="00182223"/>
    <w:rsid w:val="0018225F"/>
    <w:rsid w:val="0018227B"/>
    <w:rsid w:val="0018235F"/>
    <w:rsid w:val="001825EA"/>
    <w:rsid w:val="0018278A"/>
    <w:rsid w:val="0018279B"/>
    <w:rsid w:val="001827C4"/>
    <w:rsid w:val="00182818"/>
    <w:rsid w:val="0018298D"/>
    <w:rsid w:val="00182D04"/>
    <w:rsid w:val="00182E29"/>
    <w:rsid w:val="00182EFA"/>
    <w:rsid w:val="0018326A"/>
    <w:rsid w:val="001832CF"/>
    <w:rsid w:val="0018337B"/>
    <w:rsid w:val="0018355F"/>
    <w:rsid w:val="00183586"/>
    <w:rsid w:val="001837AF"/>
    <w:rsid w:val="001839D6"/>
    <w:rsid w:val="001839EB"/>
    <w:rsid w:val="0018401E"/>
    <w:rsid w:val="0018450E"/>
    <w:rsid w:val="0018471F"/>
    <w:rsid w:val="001847D8"/>
    <w:rsid w:val="001847F9"/>
    <w:rsid w:val="001848A9"/>
    <w:rsid w:val="00184965"/>
    <w:rsid w:val="0018499A"/>
    <w:rsid w:val="00184B30"/>
    <w:rsid w:val="00184D4A"/>
    <w:rsid w:val="00185102"/>
    <w:rsid w:val="00185367"/>
    <w:rsid w:val="0018543B"/>
    <w:rsid w:val="001855DF"/>
    <w:rsid w:val="001856E8"/>
    <w:rsid w:val="00185777"/>
    <w:rsid w:val="00185B41"/>
    <w:rsid w:val="00185CFF"/>
    <w:rsid w:val="00185D63"/>
    <w:rsid w:val="00185E43"/>
    <w:rsid w:val="001861C1"/>
    <w:rsid w:val="001865E4"/>
    <w:rsid w:val="00186672"/>
    <w:rsid w:val="00186B8A"/>
    <w:rsid w:val="00186CE7"/>
    <w:rsid w:val="00186CEA"/>
    <w:rsid w:val="00186FF1"/>
    <w:rsid w:val="0018714A"/>
    <w:rsid w:val="001871C0"/>
    <w:rsid w:val="001871C9"/>
    <w:rsid w:val="00187588"/>
    <w:rsid w:val="001875DC"/>
    <w:rsid w:val="001876C0"/>
    <w:rsid w:val="001876C4"/>
    <w:rsid w:val="0018789A"/>
    <w:rsid w:val="0018790B"/>
    <w:rsid w:val="00187BA2"/>
    <w:rsid w:val="00187CDA"/>
    <w:rsid w:val="00187DE4"/>
    <w:rsid w:val="00187E61"/>
    <w:rsid w:val="00187EAE"/>
    <w:rsid w:val="00187EC9"/>
    <w:rsid w:val="00190093"/>
    <w:rsid w:val="0019036B"/>
    <w:rsid w:val="001904E9"/>
    <w:rsid w:val="00190A5C"/>
    <w:rsid w:val="0019105B"/>
    <w:rsid w:val="0019114E"/>
    <w:rsid w:val="00191948"/>
    <w:rsid w:val="00191968"/>
    <w:rsid w:val="00191B5E"/>
    <w:rsid w:val="00191C56"/>
    <w:rsid w:val="00191DB6"/>
    <w:rsid w:val="00191DD9"/>
    <w:rsid w:val="0019215E"/>
    <w:rsid w:val="00192200"/>
    <w:rsid w:val="00192296"/>
    <w:rsid w:val="0019243C"/>
    <w:rsid w:val="001924A6"/>
    <w:rsid w:val="00192566"/>
    <w:rsid w:val="001925F7"/>
    <w:rsid w:val="00192629"/>
    <w:rsid w:val="001928EA"/>
    <w:rsid w:val="00192961"/>
    <w:rsid w:val="00192B6F"/>
    <w:rsid w:val="00192C2D"/>
    <w:rsid w:val="00192C73"/>
    <w:rsid w:val="00192DA2"/>
    <w:rsid w:val="00192EE3"/>
    <w:rsid w:val="00193054"/>
    <w:rsid w:val="001930B0"/>
    <w:rsid w:val="001930F4"/>
    <w:rsid w:val="00193153"/>
    <w:rsid w:val="001931CC"/>
    <w:rsid w:val="00193310"/>
    <w:rsid w:val="00193432"/>
    <w:rsid w:val="00193572"/>
    <w:rsid w:val="001935F1"/>
    <w:rsid w:val="00193628"/>
    <w:rsid w:val="0019365D"/>
    <w:rsid w:val="001936CC"/>
    <w:rsid w:val="001936D1"/>
    <w:rsid w:val="001938AA"/>
    <w:rsid w:val="00193B1C"/>
    <w:rsid w:val="00193D34"/>
    <w:rsid w:val="00193F8A"/>
    <w:rsid w:val="00193F9E"/>
    <w:rsid w:val="0019405F"/>
    <w:rsid w:val="001941B6"/>
    <w:rsid w:val="0019452C"/>
    <w:rsid w:val="001945E5"/>
    <w:rsid w:val="00194671"/>
    <w:rsid w:val="00194B3A"/>
    <w:rsid w:val="00194E82"/>
    <w:rsid w:val="00194F89"/>
    <w:rsid w:val="00194FCC"/>
    <w:rsid w:val="0019509D"/>
    <w:rsid w:val="001951B1"/>
    <w:rsid w:val="0019550D"/>
    <w:rsid w:val="00195556"/>
    <w:rsid w:val="00195672"/>
    <w:rsid w:val="001957C3"/>
    <w:rsid w:val="001957DC"/>
    <w:rsid w:val="00195813"/>
    <w:rsid w:val="00195847"/>
    <w:rsid w:val="00195901"/>
    <w:rsid w:val="00195BFA"/>
    <w:rsid w:val="00195DF9"/>
    <w:rsid w:val="00195EDD"/>
    <w:rsid w:val="00196015"/>
    <w:rsid w:val="001960F2"/>
    <w:rsid w:val="001961D7"/>
    <w:rsid w:val="00196628"/>
    <w:rsid w:val="00196846"/>
    <w:rsid w:val="00196B14"/>
    <w:rsid w:val="00196B83"/>
    <w:rsid w:val="00196BAE"/>
    <w:rsid w:val="00196E2E"/>
    <w:rsid w:val="00196E4B"/>
    <w:rsid w:val="00196EA9"/>
    <w:rsid w:val="001972E2"/>
    <w:rsid w:val="00197483"/>
    <w:rsid w:val="00197652"/>
    <w:rsid w:val="001977CE"/>
    <w:rsid w:val="0019797F"/>
    <w:rsid w:val="00197ECB"/>
    <w:rsid w:val="001A0078"/>
    <w:rsid w:val="001A028E"/>
    <w:rsid w:val="001A0853"/>
    <w:rsid w:val="001A09F7"/>
    <w:rsid w:val="001A0A18"/>
    <w:rsid w:val="001A0A34"/>
    <w:rsid w:val="001A0AEA"/>
    <w:rsid w:val="001A0CB1"/>
    <w:rsid w:val="001A0D59"/>
    <w:rsid w:val="001A0D73"/>
    <w:rsid w:val="001A0F20"/>
    <w:rsid w:val="001A0F96"/>
    <w:rsid w:val="001A10C0"/>
    <w:rsid w:val="001A10DD"/>
    <w:rsid w:val="001A10EA"/>
    <w:rsid w:val="001A12FC"/>
    <w:rsid w:val="001A15A9"/>
    <w:rsid w:val="001A1684"/>
    <w:rsid w:val="001A174E"/>
    <w:rsid w:val="001A179A"/>
    <w:rsid w:val="001A18A3"/>
    <w:rsid w:val="001A1ECE"/>
    <w:rsid w:val="001A1F94"/>
    <w:rsid w:val="001A2082"/>
    <w:rsid w:val="001A223D"/>
    <w:rsid w:val="001A2364"/>
    <w:rsid w:val="001A2494"/>
    <w:rsid w:val="001A24D4"/>
    <w:rsid w:val="001A2978"/>
    <w:rsid w:val="001A2AD9"/>
    <w:rsid w:val="001A2D26"/>
    <w:rsid w:val="001A3111"/>
    <w:rsid w:val="001A317E"/>
    <w:rsid w:val="001A3276"/>
    <w:rsid w:val="001A36BA"/>
    <w:rsid w:val="001A36E0"/>
    <w:rsid w:val="001A37B8"/>
    <w:rsid w:val="001A38F8"/>
    <w:rsid w:val="001A39DB"/>
    <w:rsid w:val="001A3D0E"/>
    <w:rsid w:val="001A3E75"/>
    <w:rsid w:val="001A3EBF"/>
    <w:rsid w:val="001A3F3F"/>
    <w:rsid w:val="001A3F59"/>
    <w:rsid w:val="001A4063"/>
    <w:rsid w:val="001A41CA"/>
    <w:rsid w:val="001A48A0"/>
    <w:rsid w:val="001A49CA"/>
    <w:rsid w:val="001A4C34"/>
    <w:rsid w:val="001A4DCE"/>
    <w:rsid w:val="001A4EBD"/>
    <w:rsid w:val="001A4FA8"/>
    <w:rsid w:val="001A5084"/>
    <w:rsid w:val="001A5122"/>
    <w:rsid w:val="001A5177"/>
    <w:rsid w:val="001A5255"/>
    <w:rsid w:val="001A548F"/>
    <w:rsid w:val="001A54C5"/>
    <w:rsid w:val="001A55D1"/>
    <w:rsid w:val="001A5908"/>
    <w:rsid w:val="001A5BDF"/>
    <w:rsid w:val="001A5C07"/>
    <w:rsid w:val="001A5DDE"/>
    <w:rsid w:val="001A5E9B"/>
    <w:rsid w:val="001A5F4C"/>
    <w:rsid w:val="001A60D7"/>
    <w:rsid w:val="001A61BA"/>
    <w:rsid w:val="001A63FE"/>
    <w:rsid w:val="001A64A0"/>
    <w:rsid w:val="001A659B"/>
    <w:rsid w:val="001A676D"/>
    <w:rsid w:val="001A68AB"/>
    <w:rsid w:val="001A6B44"/>
    <w:rsid w:val="001A6E82"/>
    <w:rsid w:val="001A6ECF"/>
    <w:rsid w:val="001A705F"/>
    <w:rsid w:val="001A7165"/>
    <w:rsid w:val="001A7170"/>
    <w:rsid w:val="001A720E"/>
    <w:rsid w:val="001A7551"/>
    <w:rsid w:val="001A795B"/>
    <w:rsid w:val="001A7A08"/>
    <w:rsid w:val="001A7AB0"/>
    <w:rsid w:val="001A7B0C"/>
    <w:rsid w:val="001A7D52"/>
    <w:rsid w:val="001B0127"/>
    <w:rsid w:val="001B031B"/>
    <w:rsid w:val="001B0573"/>
    <w:rsid w:val="001B05D7"/>
    <w:rsid w:val="001B0650"/>
    <w:rsid w:val="001B0738"/>
    <w:rsid w:val="001B078E"/>
    <w:rsid w:val="001B0848"/>
    <w:rsid w:val="001B0900"/>
    <w:rsid w:val="001B0B50"/>
    <w:rsid w:val="001B0CA2"/>
    <w:rsid w:val="001B0D29"/>
    <w:rsid w:val="001B0DF9"/>
    <w:rsid w:val="001B10E6"/>
    <w:rsid w:val="001B1239"/>
    <w:rsid w:val="001B1460"/>
    <w:rsid w:val="001B160A"/>
    <w:rsid w:val="001B161C"/>
    <w:rsid w:val="001B1929"/>
    <w:rsid w:val="001B1A22"/>
    <w:rsid w:val="001B1A3A"/>
    <w:rsid w:val="001B1AB3"/>
    <w:rsid w:val="001B1AC9"/>
    <w:rsid w:val="001B1AD5"/>
    <w:rsid w:val="001B1C2E"/>
    <w:rsid w:val="001B1E02"/>
    <w:rsid w:val="001B1E39"/>
    <w:rsid w:val="001B1F1F"/>
    <w:rsid w:val="001B22EE"/>
    <w:rsid w:val="001B266F"/>
    <w:rsid w:val="001B276F"/>
    <w:rsid w:val="001B2967"/>
    <w:rsid w:val="001B2DC3"/>
    <w:rsid w:val="001B30A1"/>
    <w:rsid w:val="001B31F6"/>
    <w:rsid w:val="001B3284"/>
    <w:rsid w:val="001B32B5"/>
    <w:rsid w:val="001B3448"/>
    <w:rsid w:val="001B3459"/>
    <w:rsid w:val="001B3491"/>
    <w:rsid w:val="001B3544"/>
    <w:rsid w:val="001B36BB"/>
    <w:rsid w:val="001B37F5"/>
    <w:rsid w:val="001B3937"/>
    <w:rsid w:val="001B3D72"/>
    <w:rsid w:val="001B3DDE"/>
    <w:rsid w:val="001B40C4"/>
    <w:rsid w:val="001B4127"/>
    <w:rsid w:val="001B4718"/>
    <w:rsid w:val="001B49A3"/>
    <w:rsid w:val="001B4A76"/>
    <w:rsid w:val="001B4ACA"/>
    <w:rsid w:val="001B4C7A"/>
    <w:rsid w:val="001B4D2D"/>
    <w:rsid w:val="001B5247"/>
    <w:rsid w:val="001B54F9"/>
    <w:rsid w:val="001B55C3"/>
    <w:rsid w:val="001B5883"/>
    <w:rsid w:val="001B58DE"/>
    <w:rsid w:val="001B591C"/>
    <w:rsid w:val="001B5CE4"/>
    <w:rsid w:val="001B6115"/>
    <w:rsid w:val="001B617B"/>
    <w:rsid w:val="001B6346"/>
    <w:rsid w:val="001B66DA"/>
    <w:rsid w:val="001B6886"/>
    <w:rsid w:val="001B6937"/>
    <w:rsid w:val="001B69D8"/>
    <w:rsid w:val="001B6BA8"/>
    <w:rsid w:val="001B6C31"/>
    <w:rsid w:val="001B6EA4"/>
    <w:rsid w:val="001B6F85"/>
    <w:rsid w:val="001B6FBF"/>
    <w:rsid w:val="001B7027"/>
    <w:rsid w:val="001B70FB"/>
    <w:rsid w:val="001B7113"/>
    <w:rsid w:val="001B75DE"/>
    <w:rsid w:val="001B78AD"/>
    <w:rsid w:val="001B79A0"/>
    <w:rsid w:val="001B7A9F"/>
    <w:rsid w:val="001B7D6C"/>
    <w:rsid w:val="001C0032"/>
    <w:rsid w:val="001C008E"/>
    <w:rsid w:val="001C0158"/>
    <w:rsid w:val="001C0195"/>
    <w:rsid w:val="001C0266"/>
    <w:rsid w:val="001C02C8"/>
    <w:rsid w:val="001C02D1"/>
    <w:rsid w:val="001C02F0"/>
    <w:rsid w:val="001C0514"/>
    <w:rsid w:val="001C0885"/>
    <w:rsid w:val="001C0929"/>
    <w:rsid w:val="001C0BC7"/>
    <w:rsid w:val="001C0CA8"/>
    <w:rsid w:val="001C0F12"/>
    <w:rsid w:val="001C11E1"/>
    <w:rsid w:val="001C1242"/>
    <w:rsid w:val="001C12EB"/>
    <w:rsid w:val="001C1387"/>
    <w:rsid w:val="001C1597"/>
    <w:rsid w:val="001C19FF"/>
    <w:rsid w:val="001C1A2C"/>
    <w:rsid w:val="001C1A3F"/>
    <w:rsid w:val="001C1A7C"/>
    <w:rsid w:val="001C1AAC"/>
    <w:rsid w:val="001C1ABA"/>
    <w:rsid w:val="001C1BC9"/>
    <w:rsid w:val="001C1DC3"/>
    <w:rsid w:val="001C1DDC"/>
    <w:rsid w:val="001C2143"/>
    <w:rsid w:val="001C2406"/>
    <w:rsid w:val="001C252C"/>
    <w:rsid w:val="001C2570"/>
    <w:rsid w:val="001C275F"/>
    <w:rsid w:val="001C288C"/>
    <w:rsid w:val="001C2C86"/>
    <w:rsid w:val="001C2D07"/>
    <w:rsid w:val="001C2F82"/>
    <w:rsid w:val="001C316A"/>
    <w:rsid w:val="001C318B"/>
    <w:rsid w:val="001C3274"/>
    <w:rsid w:val="001C3315"/>
    <w:rsid w:val="001C3558"/>
    <w:rsid w:val="001C3751"/>
    <w:rsid w:val="001C3858"/>
    <w:rsid w:val="001C3912"/>
    <w:rsid w:val="001C3A6B"/>
    <w:rsid w:val="001C3BA2"/>
    <w:rsid w:val="001C3C96"/>
    <w:rsid w:val="001C3DBC"/>
    <w:rsid w:val="001C3EB4"/>
    <w:rsid w:val="001C430A"/>
    <w:rsid w:val="001C442C"/>
    <w:rsid w:val="001C4877"/>
    <w:rsid w:val="001C4904"/>
    <w:rsid w:val="001C4B90"/>
    <w:rsid w:val="001C4BFC"/>
    <w:rsid w:val="001C4DAA"/>
    <w:rsid w:val="001C4EA0"/>
    <w:rsid w:val="001C4FE3"/>
    <w:rsid w:val="001C4FF3"/>
    <w:rsid w:val="001C5024"/>
    <w:rsid w:val="001C5075"/>
    <w:rsid w:val="001C512A"/>
    <w:rsid w:val="001C53DF"/>
    <w:rsid w:val="001C565A"/>
    <w:rsid w:val="001C5663"/>
    <w:rsid w:val="001C57BA"/>
    <w:rsid w:val="001C5996"/>
    <w:rsid w:val="001C5D72"/>
    <w:rsid w:val="001C5E44"/>
    <w:rsid w:val="001C5EE2"/>
    <w:rsid w:val="001C5FE3"/>
    <w:rsid w:val="001C62BF"/>
    <w:rsid w:val="001C6344"/>
    <w:rsid w:val="001C6527"/>
    <w:rsid w:val="001C6B1F"/>
    <w:rsid w:val="001C6DC7"/>
    <w:rsid w:val="001C6E00"/>
    <w:rsid w:val="001C6E05"/>
    <w:rsid w:val="001C6F2A"/>
    <w:rsid w:val="001C6F67"/>
    <w:rsid w:val="001C722A"/>
    <w:rsid w:val="001C7377"/>
    <w:rsid w:val="001C73F2"/>
    <w:rsid w:val="001C7590"/>
    <w:rsid w:val="001C7592"/>
    <w:rsid w:val="001C78DF"/>
    <w:rsid w:val="001C7A72"/>
    <w:rsid w:val="001C7A8F"/>
    <w:rsid w:val="001C7B00"/>
    <w:rsid w:val="001C7C09"/>
    <w:rsid w:val="001C7DAB"/>
    <w:rsid w:val="001C7EFD"/>
    <w:rsid w:val="001C7FB5"/>
    <w:rsid w:val="001C90DA"/>
    <w:rsid w:val="001D0571"/>
    <w:rsid w:val="001D059D"/>
    <w:rsid w:val="001D0601"/>
    <w:rsid w:val="001D0B65"/>
    <w:rsid w:val="001D1016"/>
    <w:rsid w:val="001D11A5"/>
    <w:rsid w:val="001D11A6"/>
    <w:rsid w:val="001D12E0"/>
    <w:rsid w:val="001D148B"/>
    <w:rsid w:val="001D14FB"/>
    <w:rsid w:val="001D1514"/>
    <w:rsid w:val="001D191C"/>
    <w:rsid w:val="001D1940"/>
    <w:rsid w:val="001D19B5"/>
    <w:rsid w:val="001D1A56"/>
    <w:rsid w:val="001D1B4A"/>
    <w:rsid w:val="001D1C49"/>
    <w:rsid w:val="001D1D39"/>
    <w:rsid w:val="001D2283"/>
    <w:rsid w:val="001D26E4"/>
    <w:rsid w:val="001D28FC"/>
    <w:rsid w:val="001D299B"/>
    <w:rsid w:val="001D29A9"/>
    <w:rsid w:val="001D2B5E"/>
    <w:rsid w:val="001D2D9A"/>
    <w:rsid w:val="001D321D"/>
    <w:rsid w:val="001D35ED"/>
    <w:rsid w:val="001D3652"/>
    <w:rsid w:val="001D37C1"/>
    <w:rsid w:val="001D3887"/>
    <w:rsid w:val="001D3905"/>
    <w:rsid w:val="001D3A01"/>
    <w:rsid w:val="001D3E1E"/>
    <w:rsid w:val="001D4283"/>
    <w:rsid w:val="001D44CE"/>
    <w:rsid w:val="001D44E5"/>
    <w:rsid w:val="001D455A"/>
    <w:rsid w:val="001D47FD"/>
    <w:rsid w:val="001D4886"/>
    <w:rsid w:val="001D497A"/>
    <w:rsid w:val="001D4ADE"/>
    <w:rsid w:val="001D4D3C"/>
    <w:rsid w:val="001D4DEF"/>
    <w:rsid w:val="001D4EEE"/>
    <w:rsid w:val="001D4F8D"/>
    <w:rsid w:val="001D530A"/>
    <w:rsid w:val="001D5545"/>
    <w:rsid w:val="001D5610"/>
    <w:rsid w:val="001D56FF"/>
    <w:rsid w:val="001D5797"/>
    <w:rsid w:val="001D5859"/>
    <w:rsid w:val="001D58F4"/>
    <w:rsid w:val="001D5A00"/>
    <w:rsid w:val="001D5A5A"/>
    <w:rsid w:val="001D5A8E"/>
    <w:rsid w:val="001D5B0F"/>
    <w:rsid w:val="001D5BFC"/>
    <w:rsid w:val="001D5C15"/>
    <w:rsid w:val="001D5E94"/>
    <w:rsid w:val="001D5FDC"/>
    <w:rsid w:val="001D6083"/>
    <w:rsid w:val="001D61E6"/>
    <w:rsid w:val="001D628C"/>
    <w:rsid w:val="001D6308"/>
    <w:rsid w:val="001D6349"/>
    <w:rsid w:val="001D641F"/>
    <w:rsid w:val="001D6469"/>
    <w:rsid w:val="001D64D3"/>
    <w:rsid w:val="001D653E"/>
    <w:rsid w:val="001D6682"/>
    <w:rsid w:val="001D670F"/>
    <w:rsid w:val="001D6915"/>
    <w:rsid w:val="001D6989"/>
    <w:rsid w:val="001D6C26"/>
    <w:rsid w:val="001D6D6E"/>
    <w:rsid w:val="001D6E2E"/>
    <w:rsid w:val="001D6F72"/>
    <w:rsid w:val="001D710E"/>
    <w:rsid w:val="001D721F"/>
    <w:rsid w:val="001D72E6"/>
    <w:rsid w:val="001D753D"/>
    <w:rsid w:val="001D7771"/>
    <w:rsid w:val="001D7849"/>
    <w:rsid w:val="001D7E35"/>
    <w:rsid w:val="001D7EE7"/>
    <w:rsid w:val="001E0500"/>
    <w:rsid w:val="001E0671"/>
    <w:rsid w:val="001E068D"/>
    <w:rsid w:val="001E0B81"/>
    <w:rsid w:val="001E0D58"/>
    <w:rsid w:val="001E11FF"/>
    <w:rsid w:val="001E1255"/>
    <w:rsid w:val="001E12E4"/>
    <w:rsid w:val="001E13B6"/>
    <w:rsid w:val="001E1554"/>
    <w:rsid w:val="001E171C"/>
    <w:rsid w:val="001E17BE"/>
    <w:rsid w:val="001E17E6"/>
    <w:rsid w:val="001E182A"/>
    <w:rsid w:val="001E185F"/>
    <w:rsid w:val="001E1CE2"/>
    <w:rsid w:val="001E2084"/>
    <w:rsid w:val="001E21D6"/>
    <w:rsid w:val="001E21EF"/>
    <w:rsid w:val="001E21F5"/>
    <w:rsid w:val="001E2365"/>
    <w:rsid w:val="001E2558"/>
    <w:rsid w:val="001E2827"/>
    <w:rsid w:val="001E284D"/>
    <w:rsid w:val="001E2861"/>
    <w:rsid w:val="001E28F9"/>
    <w:rsid w:val="001E29DE"/>
    <w:rsid w:val="001E2A01"/>
    <w:rsid w:val="001E2ADC"/>
    <w:rsid w:val="001E2AF4"/>
    <w:rsid w:val="001E2B20"/>
    <w:rsid w:val="001E2DE9"/>
    <w:rsid w:val="001E2E66"/>
    <w:rsid w:val="001E2EB7"/>
    <w:rsid w:val="001E31A4"/>
    <w:rsid w:val="001E3423"/>
    <w:rsid w:val="001E3597"/>
    <w:rsid w:val="001E3B06"/>
    <w:rsid w:val="001E3C4F"/>
    <w:rsid w:val="001E3C64"/>
    <w:rsid w:val="001E3E6E"/>
    <w:rsid w:val="001E40ED"/>
    <w:rsid w:val="001E41BE"/>
    <w:rsid w:val="001E4445"/>
    <w:rsid w:val="001E448F"/>
    <w:rsid w:val="001E4535"/>
    <w:rsid w:val="001E4624"/>
    <w:rsid w:val="001E47A7"/>
    <w:rsid w:val="001E488F"/>
    <w:rsid w:val="001E49DB"/>
    <w:rsid w:val="001E4A95"/>
    <w:rsid w:val="001E4B7A"/>
    <w:rsid w:val="001E4BC0"/>
    <w:rsid w:val="001E510B"/>
    <w:rsid w:val="001E514C"/>
    <w:rsid w:val="001E5191"/>
    <w:rsid w:val="001E52FF"/>
    <w:rsid w:val="001E55C3"/>
    <w:rsid w:val="001E5CB8"/>
    <w:rsid w:val="001E5CC9"/>
    <w:rsid w:val="001E5FCB"/>
    <w:rsid w:val="001E6041"/>
    <w:rsid w:val="001E607E"/>
    <w:rsid w:val="001E61D1"/>
    <w:rsid w:val="001E6233"/>
    <w:rsid w:val="001E68AF"/>
    <w:rsid w:val="001E6A30"/>
    <w:rsid w:val="001E6ACB"/>
    <w:rsid w:val="001E6B44"/>
    <w:rsid w:val="001E6CEC"/>
    <w:rsid w:val="001E6FCD"/>
    <w:rsid w:val="001E71F7"/>
    <w:rsid w:val="001E748C"/>
    <w:rsid w:val="001E74A7"/>
    <w:rsid w:val="001E74C6"/>
    <w:rsid w:val="001E775E"/>
    <w:rsid w:val="001E78CC"/>
    <w:rsid w:val="001E7B5E"/>
    <w:rsid w:val="001E7B62"/>
    <w:rsid w:val="001E7B66"/>
    <w:rsid w:val="001E7C8F"/>
    <w:rsid w:val="001E7DE4"/>
    <w:rsid w:val="001E7E19"/>
    <w:rsid w:val="001E7EAE"/>
    <w:rsid w:val="001F0096"/>
    <w:rsid w:val="001F00B0"/>
    <w:rsid w:val="001F01DF"/>
    <w:rsid w:val="001F0230"/>
    <w:rsid w:val="001F02D1"/>
    <w:rsid w:val="001F0343"/>
    <w:rsid w:val="001F0612"/>
    <w:rsid w:val="001F0660"/>
    <w:rsid w:val="001F0692"/>
    <w:rsid w:val="001F06CE"/>
    <w:rsid w:val="001F08CE"/>
    <w:rsid w:val="001F0A6F"/>
    <w:rsid w:val="001F0B60"/>
    <w:rsid w:val="001F0C08"/>
    <w:rsid w:val="001F0CC6"/>
    <w:rsid w:val="001F0F28"/>
    <w:rsid w:val="001F1026"/>
    <w:rsid w:val="001F115E"/>
    <w:rsid w:val="001F1346"/>
    <w:rsid w:val="001F1373"/>
    <w:rsid w:val="001F13CF"/>
    <w:rsid w:val="001F13E5"/>
    <w:rsid w:val="001F15A0"/>
    <w:rsid w:val="001F172C"/>
    <w:rsid w:val="001F19D2"/>
    <w:rsid w:val="001F19DC"/>
    <w:rsid w:val="001F1CF1"/>
    <w:rsid w:val="001F1F13"/>
    <w:rsid w:val="001F2031"/>
    <w:rsid w:val="001F20BD"/>
    <w:rsid w:val="001F22DB"/>
    <w:rsid w:val="001F231C"/>
    <w:rsid w:val="001F23E2"/>
    <w:rsid w:val="001F24D8"/>
    <w:rsid w:val="001F24F5"/>
    <w:rsid w:val="001F260D"/>
    <w:rsid w:val="001F2630"/>
    <w:rsid w:val="001F276E"/>
    <w:rsid w:val="001F2887"/>
    <w:rsid w:val="001F2917"/>
    <w:rsid w:val="001F2DA7"/>
    <w:rsid w:val="001F2EEE"/>
    <w:rsid w:val="001F2F43"/>
    <w:rsid w:val="001F32AA"/>
    <w:rsid w:val="001F334F"/>
    <w:rsid w:val="001F337B"/>
    <w:rsid w:val="001F3467"/>
    <w:rsid w:val="001F3787"/>
    <w:rsid w:val="001F39A1"/>
    <w:rsid w:val="001F3B21"/>
    <w:rsid w:val="001F3BDA"/>
    <w:rsid w:val="001F3D3F"/>
    <w:rsid w:val="001F3DC8"/>
    <w:rsid w:val="001F3E54"/>
    <w:rsid w:val="001F3FF8"/>
    <w:rsid w:val="001F4193"/>
    <w:rsid w:val="001F42B9"/>
    <w:rsid w:val="001F46B5"/>
    <w:rsid w:val="001F47E5"/>
    <w:rsid w:val="001F4ABF"/>
    <w:rsid w:val="001F4F35"/>
    <w:rsid w:val="001F4F8A"/>
    <w:rsid w:val="001F514B"/>
    <w:rsid w:val="001F5209"/>
    <w:rsid w:val="001F521D"/>
    <w:rsid w:val="001F5311"/>
    <w:rsid w:val="001F5AAA"/>
    <w:rsid w:val="001F5AB7"/>
    <w:rsid w:val="001F5C9E"/>
    <w:rsid w:val="001F60AE"/>
    <w:rsid w:val="001F6135"/>
    <w:rsid w:val="001F6148"/>
    <w:rsid w:val="001F619A"/>
    <w:rsid w:val="001F621F"/>
    <w:rsid w:val="001F6344"/>
    <w:rsid w:val="001F6368"/>
    <w:rsid w:val="001F63FE"/>
    <w:rsid w:val="001F65BB"/>
    <w:rsid w:val="001F6835"/>
    <w:rsid w:val="001F687C"/>
    <w:rsid w:val="001F6901"/>
    <w:rsid w:val="001F6A70"/>
    <w:rsid w:val="001F6CB3"/>
    <w:rsid w:val="001F714D"/>
    <w:rsid w:val="001F719B"/>
    <w:rsid w:val="001F73DC"/>
    <w:rsid w:val="001F7654"/>
    <w:rsid w:val="001F76A3"/>
    <w:rsid w:val="001F78C6"/>
    <w:rsid w:val="001F7963"/>
    <w:rsid w:val="001F7970"/>
    <w:rsid w:val="001F7BDA"/>
    <w:rsid w:val="001F7C4B"/>
    <w:rsid w:val="001F7C8D"/>
    <w:rsid w:val="001F7D3B"/>
    <w:rsid w:val="001F7D6C"/>
    <w:rsid w:val="001F7EDD"/>
    <w:rsid w:val="0020006A"/>
    <w:rsid w:val="002000D8"/>
    <w:rsid w:val="00200728"/>
    <w:rsid w:val="002009CA"/>
    <w:rsid w:val="00200A5E"/>
    <w:rsid w:val="00200ADB"/>
    <w:rsid w:val="00200BF5"/>
    <w:rsid w:val="00200C66"/>
    <w:rsid w:val="00200D1A"/>
    <w:rsid w:val="00200DAF"/>
    <w:rsid w:val="00200F7E"/>
    <w:rsid w:val="00201059"/>
    <w:rsid w:val="002011CF"/>
    <w:rsid w:val="00201209"/>
    <w:rsid w:val="002012E3"/>
    <w:rsid w:val="0020132B"/>
    <w:rsid w:val="0020139C"/>
    <w:rsid w:val="00201421"/>
    <w:rsid w:val="0020143D"/>
    <w:rsid w:val="002015A4"/>
    <w:rsid w:val="00201834"/>
    <w:rsid w:val="0020192E"/>
    <w:rsid w:val="0020195D"/>
    <w:rsid w:val="00201A1C"/>
    <w:rsid w:val="00201B4E"/>
    <w:rsid w:val="00201C5F"/>
    <w:rsid w:val="00201CF6"/>
    <w:rsid w:val="00201D66"/>
    <w:rsid w:val="00201E13"/>
    <w:rsid w:val="00201E3C"/>
    <w:rsid w:val="00201E58"/>
    <w:rsid w:val="002021C9"/>
    <w:rsid w:val="002024AA"/>
    <w:rsid w:val="0020260A"/>
    <w:rsid w:val="00202883"/>
    <w:rsid w:val="00202916"/>
    <w:rsid w:val="00202957"/>
    <w:rsid w:val="00202A41"/>
    <w:rsid w:val="00202A5A"/>
    <w:rsid w:val="00202DBC"/>
    <w:rsid w:val="00202FCF"/>
    <w:rsid w:val="0020303A"/>
    <w:rsid w:val="0020309D"/>
    <w:rsid w:val="00203117"/>
    <w:rsid w:val="002034FB"/>
    <w:rsid w:val="002036AF"/>
    <w:rsid w:val="0020381C"/>
    <w:rsid w:val="0020389E"/>
    <w:rsid w:val="00203957"/>
    <w:rsid w:val="00203B00"/>
    <w:rsid w:val="00203C8C"/>
    <w:rsid w:val="0020407D"/>
    <w:rsid w:val="00204124"/>
    <w:rsid w:val="00204226"/>
    <w:rsid w:val="002042EF"/>
    <w:rsid w:val="00204372"/>
    <w:rsid w:val="00204375"/>
    <w:rsid w:val="002045CB"/>
    <w:rsid w:val="002046AA"/>
    <w:rsid w:val="0020472B"/>
    <w:rsid w:val="0020478D"/>
    <w:rsid w:val="002047C9"/>
    <w:rsid w:val="00204855"/>
    <w:rsid w:val="0020490A"/>
    <w:rsid w:val="00204BC5"/>
    <w:rsid w:val="00204D58"/>
    <w:rsid w:val="00204D96"/>
    <w:rsid w:val="00204E5D"/>
    <w:rsid w:val="00205167"/>
    <w:rsid w:val="00205492"/>
    <w:rsid w:val="00205703"/>
    <w:rsid w:val="00205943"/>
    <w:rsid w:val="0020599F"/>
    <w:rsid w:val="002060AE"/>
    <w:rsid w:val="00206125"/>
    <w:rsid w:val="00206191"/>
    <w:rsid w:val="002061D0"/>
    <w:rsid w:val="00206206"/>
    <w:rsid w:val="002063EA"/>
    <w:rsid w:val="00206747"/>
    <w:rsid w:val="0020680A"/>
    <w:rsid w:val="00206965"/>
    <w:rsid w:val="00206A11"/>
    <w:rsid w:val="00206ADA"/>
    <w:rsid w:val="00206B54"/>
    <w:rsid w:val="00206C23"/>
    <w:rsid w:val="00206C5F"/>
    <w:rsid w:val="00206FD7"/>
    <w:rsid w:val="00206FF8"/>
    <w:rsid w:val="0020705F"/>
    <w:rsid w:val="00207107"/>
    <w:rsid w:val="00207303"/>
    <w:rsid w:val="00207498"/>
    <w:rsid w:val="002075CD"/>
    <w:rsid w:val="00207758"/>
    <w:rsid w:val="00207938"/>
    <w:rsid w:val="00207C07"/>
    <w:rsid w:val="00207D0F"/>
    <w:rsid w:val="00207D2E"/>
    <w:rsid w:val="00207D55"/>
    <w:rsid w:val="00207EA4"/>
    <w:rsid w:val="00207EF7"/>
    <w:rsid w:val="00207FEB"/>
    <w:rsid w:val="00210689"/>
    <w:rsid w:val="002106E4"/>
    <w:rsid w:val="00210A0F"/>
    <w:rsid w:val="00210A36"/>
    <w:rsid w:val="00210AA3"/>
    <w:rsid w:val="00210CE0"/>
    <w:rsid w:val="00210FF8"/>
    <w:rsid w:val="002110A3"/>
    <w:rsid w:val="00211253"/>
    <w:rsid w:val="00211258"/>
    <w:rsid w:val="0021143A"/>
    <w:rsid w:val="00211483"/>
    <w:rsid w:val="002118FD"/>
    <w:rsid w:val="00211A42"/>
    <w:rsid w:val="00211B44"/>
    <w:rsid w:val="00211E9E"/>
    <w:rsid w:val="00212152"/>
    <w:rsid w:val="0021219A"/>
    <w:rsid w:val="00212387"/>
    <w:rsid w:val="00212536"/>
    <w:rsid w:val="00212654"/>
    <w:rsid w:val="002126BC"/>
    <w:rsid w:val="00212AD6"/>
    <w:rsid w:val="00212AFF"/>
    <w:rsid w:val="00212C03"/>
    <w:rsid w:val="002132CE"/>
    <w:rsid w:val="0021338F"/>
    <w:rsid w:val="002135A6"/>
    <w:rsid w:val="0021368C"/>
    <w:rsid w:val="00213761"/>
    <w:rsid w:val="00213856"/>
    <w:rsid w:val="00213995"/>
    <w:rsid w:val="00213B2B"/>
    <w:rsid w:val="00213FF9"/>
    <w:rsid w:val="0021411F"/>
    <w:rsid w:val="00214355"/>
    <w:rsid w:val="0021436F"/>
    <w:rsid w:val="002143FD"/>
    <w:rsid w:val="00214525"/>
    <w:rsid w:val="002147DB"/>
    <w:rsid w:val="0021497C"/>
    <w:rsid w:val="00214B20"/>
    <w:rsid w:val="00214CFE"/>
    <w:rsid w:val="00214F9A"/>
    <w:rsid w:val="00214F9F"/>
    <w:rsid w:val="002150AE"/>
    <w:rsid w:val="00215179"/>
    <w:rsid w:val="002151AD"/>
    <w:rsid w:val="002151E6"/>
    <w:rsid w:val="0021536C"/>
    <w:rsid w:val="002154E5"/>
    <w:rsid w:val="00215581"/>
    <w:rsid w:val="00215751"/>
    <w:rsid w:val="002157FB"/>
    <w:rsid w:val="00215848"/>
    <w:rsid w:val="00215990"/>
    <w:rsid w:val="00215C29"/>
    <w:rsid w:val="00216031"/>
    <w:rsid w:val="00216123"/>
    <w:rsid w:val="00216171"/>
    <w:rsid w:val="0021653E"/>
    <w:rsid w:val="00216776"/>
    <w:rsid w:val="00216A5F"/>
    <w:rsid w:val="00216A62"/>
    <w:rsid w:val="00216B3A"/>
    <w:rsid w:val="00216E76"/>
    <w:rsid w:val="00216ECB"/>
    <w:rsid w:val="00217192"/>
    <w:rsid w:val="002171B7"/>
    <w:rsid w:val="0021750F"/>
    <w:rsid w:val="00217931"/>
    <w:rsid w:val="002179E7"/>
    <w:rsid w:val="00217EF5"/>
    <w:rsid w:val="00217F55"/>
    <w:rsid w:val="00217FC6"/>
    <w:rsid w:val="00220009"/>
    <w:rsid w:val="00220257"/>
    <w:rsid w:val="002202CD"/>
    <w:rsid w:val="002202F4"/>
    <w:rsid w:val="00220359"/>
    <w:rsid w:val="002203FB"/>
    <w:rsid w:val="00220617"/>
    <w:rsid w:val="00220B35"/>
    <w:rsid w:val="00220C3B"/>
    <w:rsid w:val="00220CC1"/>
    <w:rsid w:val="00220E84"/>
    <w:rsid w:val="002211C2"/>
    <w:rsid w:val="00221573"/>
    <w:rsid w:val="002215E7"/>
    <w:rsid w:val="0022163A"/>
    <w:rsid w:val="00221787"/>
    <w:rsid w:val="00221B0D"/>
    <w:rsid w:val="00221D32"/>
    <w:rsid w:val="00221E89"/>
    <w:rsid w:val="00221ED2"/>
    <w:rsid w:val="00221F87"/>
    <w:rsid w:val="00222195"/>
    <w:rsid w:val="002221F1"/>
    <w:rsid w:val="002222EA"/>
    <w:rsid w:val="002227F6"/>
    <w:rsid w:val="00222821"/>
    <w:rsid w:val="0022292C"/>
    <w:rsid w:val="00222935"/>
    <w:rsid w:val="002229CA"/>
    <w:rsid w:val="002229D5"/>
    <w:rsid w:val="00222A04"/>
    <w:rsid w:val="00222A4C"/>
    <w:rsid w:val="00222B53"/>
    <w:rsid w:val="00222D87"/>
    <w:rsid w:val="00222DDC"/>
    <w:rsid w:val="00222FB6"/>
    <w:rsid w:val="00223038"/>
    <w:rsid w:val="0022329E"/>
    <w:rsid w:val="00223386"/>
    <w:rsid w:val="002234E6"/>
    <w:rsid w:val="0022369C"/>
    <w:rsid w:val="00223A8D"/>
    <w:rsid w:val="00223C18"/>
    <w:rsid w:val="00223CC5"/>
    <w:rsid w:val="00223D83"/>
    <w:rsid w:val="00223FE1"/>
    <w:rsid w:val="002241B9"/>
    <w:rsid w:val="0022432A"/>
    <w:rsid w:val="0022451C"/>
    <w:rsid w:val="002245BB"/>
    <w:rsid w:val="002247AD"/>
    <w:rsid w:val="00224B3C"/>
    <w:rsid w:val="002251E5"/>
    <w:rsid w:val="00225559"/>
    <w:rsid w:val="002255A8"/>
    <w:rsid w:val="00225679"/>
    <w:rsid w:val="0022573B"/>
    <w:rsid w:val="00225B3D"/>
    <w:rsid w:val="00225B74"/>
    <w:rsid w:val="00225D04"/>
    <w:rsid w:val="00226039"/>
    <w:rsid w:val="002260F5"/>
    <w:rsid w:val="00226247"/>
    <w:rsid w:val="002262E7"/>
    <w:rsid w:val="002264A0"/>
    <w:rsid w:val="00226557"/>
    <w:rsid w:val="002265D3"/>
    <w:rsid w:val="00226ACB"/>
    <w:rsid w:val="00226CA8"/>
    <w:rsid w:val="00226CD6"/>
    <w:rsid w:val="00226DA7"/>
    <w:rsid w:val="00226DDD"/>
    <w:rsid w:val="00226F2B"/>
    <w:rsid w:val="00226FC0"/>
    <w:rsid w:val="0022704D"/>
    <w:rsid w:val="0022708B"/>
    <w:rsid w:val="0022726B"/>
    <w:rsid w:val="0022726E"/>
    <w:rsid w:val="0022737F"/>
    <w:rsid w:val="00227409"/>
    <w:rsid w:val="002274E1"/>
    <w:rsid w:val="002275C6"/>
    <w:rsid w:val="0022774D"/>
    <w:rsid w:val="00227AE2"/>
    <w:rsid w:val="00227B90"/>
    <w:rsid w:val="00227E1E"/>
    <w:rsid w:val="00227E42"/>
    <w:rsid w:val="00227EAD"/>
    <w:rsid w:val="00227EDE"/>
    <w:rsid w:val="00230266"/>
    <w:rsid w:val="002302CB"/>
    <w:rsid w:val="00230367"/>
    <w:rsid w:val="0023040B"/>
    <w:rsid w:val="00230427"/>
    <w:rsid w:val="00230540"/>
    <w:rsid w:val="00230B34"/>
    <w:rsid w:val="00230DD3"/>
    <w:rsid w:val="00230F3A"/>
    <w:rsid w:val="00231063"/>
    <w:rsid w:val="002312FA"/>
    <w:rsid w:val="00231439"/>
    <w:rsid w:val="002314C3"/>
    <w:rsid w:val="002315BD"/>
    <w:rsid w:val="002315E4"/>
    <w:rsid w:val="002315EB"/>
    <w:rsid w:val="002316DB"/>
    <w:rsid w:val="002319A9"/>
    <w:rsid w:val="00231A41"/>
    <w:rsid w:val="00231A84"/>
    <w:rsid w:val="00231BA0"/>
    <w:rsid w:val="00231DF7"/>
    <w:rsid w:val="00231F7C"/>
    <w:rsid w:val="00231F9C"/>
    <w:rsid w:val="00231FC3"/>
    <w:rsid w:val="00232222"/>
    <w:rsid w:val="0023267D"/>
    <w:rsid w:val="002326EB"/>
    <w:rsid w:val="00232705"/>
    <w:rsid w:val="00232921"/>
    <w:rsid w:val="00232A03"/>
    <w:rsid w:val="00232AC5"/>
    <w:rsid w:val="00232C42"/>
    <w:rsid w:val="00232D50"/>
    <w:rsid w:val="00232D8F"/>
    <w:rsid w:val="00232F6E"/>
    <w:rsid w:val="00232FC7"/>
    <w:rsid w:val="00232FEF"/>
    <w:rsid w:val="00233022"/>
    <w:rsid w:val="00233100"/>
    <w:rsid w:val="00233449"/>
    <w:rsid w:val="0023352C"/>
    <w:rsid w:val="002336CA"/>
    <w:rsid w:val="00233730"/>
    <w:rsid w:val="00233831"/>
    <w:rsid w:val="00233A9E"/>
    <w:rsid w:val="00233CA4"/>
    <w:rsid w:val="00233CE9"/>
    <w:rsid w:val="00233F04"/>
    <w:rsid w:val="00233F6A"/>
    <w:rsid w:val="002340B7"/>
    <w:rsid w:val="0023414F"/>
    <w:rsid w:val="00234494"/>
    <w:rsid w:val="002344DC"/>
    <w:rsid w:val="00234546"/>
    <w:rsid w:val="0023477C"/>
    <w:rsid w:val="002347CE"/>
    <w:rsid w:val="00234838"/>
    <w:rsid w:val="00234A3C"/>
    <w:rsid w:val="00234C14"/>
    <w:rsid w:val="00234D2A"/>
    <w:rsid w:val="00234FBF"/>
    <w:rsid w:val="00235011"/>
    <w:rsid w:val="00235153"/>
    <w:rsid w:val="00235399"/>
    <w:rsid w:val="002354ED"/>
    <w:rsid w:val="002355A7"/>
    <w:rsid w:val="00235C48"/>
    <w:rsid w:val="00235DBF"/>
    <w:rsid w:val="00235F20"/>
    <w:rsid w:val="00235F98"/>
    <w:rsid w:val="00235FE8"/>
    <w:rsid w:val="00236282"/>
    <w:rsid w:val="002363B1"/>
    <w:rsid w:val="0023651E"/>
    <w:rsid w:val="00236577"/>
    <w:rsid w:val="00236715"/>
    <w:rsid w:val="00236917"/>
    <w:rsid w:val="00236D6B"/>
    <w:rsid w:val="002370E7"/>
    <w:rsid w:val="00237138"/>
    <w:rsid w:val="002372A4"/>
    <w:rsid w:val="00237501"/>
    <w:rsid w:val="00237A14"/>
    <w:rsid w:val="00237A36"/>
    <w:rsid w:val="00237A52"/>
    <w:rsid w:val="00237C6C"/>
    <w:rsid w:val="00237E11"/>
    <w:rsid w:val="002400C2"/>
    <w:rsid w:val="0024018C"/>
    <w:rsid w:val="002402DD"/>
    <w:rsid w:val="002403E9"/>
    <w:rsid w:val="0024062E"/>
    <w:rsid w:val="00240784"/>
    <w:rsid w:val="002409FE"/>
    <w:rsid w:val="00240A4C"/>
    <w:rsid w:val="00240AC5"/>
    <w:rsid w:val="00240B20"/>
    <w:rsid w:val="00240EA6"/>
    <w:rsid w:val="00240F68"/>
    <w:rsid w:val="002411A5"/>
    <w:rsid w:val="002413CF"/>
    <w:rsid w:val="002414D9"/>
    <w:rsid w:val="002416AD"/>
    <w:rsid w:val="00241752"/>
    <w:rsid w:val="00241A34"/>
    <w:rsid w:val="00241A6D"/>
    <w:rsid w:val="00241AA2"/>
    <w:rsid w:val="00241BF4"/>
    <w:rsid w:val="00241E5A"/>
    <w:rsid w:val="00241E70"/>
    <w:rsid w:val="00241ED4"/>
    <w:rsid w:val="00241F10"/>
    <w:rsid w:val="00241FE9"/>
    <w:rsid w:val="0024203D"/>
    <w:rsid w:val="00242153"/>
    <w:rsid w:val="0024240E"/>
    <w:rsid w:val="002424B8"/>
    <w:rsid w:val="002425DA"/>
    <w:rsid w:val="00242920"/>
    <w:rsid w:val="00242966"/>
    <w:rsid w:val="00242B22"/>
    <w:rsid w:val="00242C42"/>
    <w:rsid w:val="00242CB9"/>
    <w:rsid w:val="00242D27"/>
    <w:rsid w:val="00242D6A"/>
    <w:rsid w:val="002430DE"/>
    <w:rsid w:val="00243174"/>
    <w:rsid w:val="002431C4"/>
    <w:rsid w:val="00243218"/>
    <w:rsid w:val="00243647"/>
    <w:rsid w:val="00243738"/>
    <w:rsid w:val="002437FE"/>
    <w:rsid w:val="00243C5E"/>
    <w:rsid w:val="00243CAA"/>
    <w:rsid w:val="00243D47"/>
    <w:rsid w:val="002440AE"/>
    <w:rsid w:val="00244258"/>
    <w:rsid w:val="002442A6"/>
    <w:rsid w:val="0024452F"/>
    <w:rsid w:val="00244680"/>
    <w:rsid w:val="0024478C"/>
    <w:rsid w:val="002447D4"/>
    <w:rsid w:val="0024485D"/>
    <w:rsid w:val="00244A08"/>
    <w:rsid w:val="00244C78"/>
    <w:rsid w:val="00244CB6"/>
    <w:rsid w:val="00244D3F"/>
    <w:rsid w:val="00245060"/>
    <w:rsid w:val="0024534C"/>
    <w:rsid w:val="0024555C"/>
    <w:rsid w:val="002459ED"/>
    <w:rsid w:val="00245C8D"/>
    <w:rsid w:val="00245D86"/>
    <w:rsid w:val="00245E88"/>
    <w:rsid w:val="00246139"/>
    <w:rsid w:val="00246368"/>
    <w:rsid w:val="0024638A"/>
    <w:rsid w:val="00246554"/>
    <w:rsid w:val="0024664C"/>
    <w:rsid w:val="002467B3"/>
    <w:rsid w:val="00246A2E"/>
    <w:rsid w:val="00246D16"/>
    <w:rsid w:val="00246E3D"/>
    <w:rsid w:val="00246E68"/>
    <w:rsid w:val="00246F66"/>
    <w:rsid w:val="00246F83"/>
    <w:rsid w:val="002470D1"/>
    <w:rsid w:val="002471E6"/>
    <w:rsid w:val="00247214"/>
    <w:rsid w:val="00247506"/>
    <w:rsid w:val="00247B78"/>
    <w:rsid w:val="00247D34"/>
    <w:rsid w:val="00247D7D"/>
    <w:rsid w:val="00247DA9"/>
    <w:rsid w:val="00247EFA"/>
    <w:rsid w:val="002501A7"/>
    <w:rsid w:val="00250345"/>
    <w:rsid w:val="0025050D"/>
    <w:rsid w:val="0025063F"/>
    <w:rsid w:val="0025078D"/>
    <w:rsid w:val="002507CD"/>
    <w:rsid w:val="00250930"/>
    <w:rsid w:val="00250BF5"/>
    <w:rsid w:val="00250EA7"/>
    <w:rsid w:val="00250EB6"/>
    <w:rsid w:val="00251215"/>
    <w:rsid w:val="00251530"/>
    <w:rsid w:val="00251595"/>
    <w:rsid w:val="002515AF"/>
    <w:rsid w:val="00251AEA"/>
    <w:rsid w:val="00251B08"/>
    <w:rsid w:val="00251F8C"/>
    <w:rsid w:val="002524D2"/>
    <w:rsid w:val="00252C60"/>
    <w:rsid w:val="00252DD3"/>
    <w:rsid w:val="002535CB"/>
    <w:rsid w:val="00253605"/>
    <w:rsid w:val="002536B9"/>
    <w:rsid w:val="0025374A"/>
    <w:rsid w:val="00253963"/>
    <w:rsid w:val="00253A33"/>
    <w:rsid w:val="00253AD3"/>
    <w:rsid w:val="00253E97"/>
    <w:rsid w:val="00253F3A"/>
    <w:rsid w:val="00253FC1"/>
    <w:rsid w:val="0025400B"/>
    <w:rsid w:val="00254166"/>
    <w:rsid w:val="00254309"/>
    <w:rsid w:val="002546AA"/>
    <w:rsid w:val="0025478D"/>
    <w:rsid w:val="0025482D"/>
    <w:rsid w:val="00254A26"/>
    <w:rsid w:val="00254A8B"/>
    <w:rsid w:val="00254C7F"/>
    <w:rsid w:val="00254E4E"/>
    <w:rsid w:val="0025528E"/>
    <w:rsid w:val="00255495"/>
    <w:rsid w:val="00255640"/>
    <w:rsid w:val="002557E9"/>
    <w:rsid w:val="00255A18"/>
    <w:rsid w:val="00255E57"/>
    <w:rsid w:val="00255EF0"/>
    <w:rsid w:val="002560A9"/>
    <w:rsid w:val="002562CD"/>
    <w:rsid w:val="002562EC"/>
    <w:rsid w:val="00256324"/>
    <w:rsid w:val="00256C5D"/>
    <w:rsid w:val="00256CBC"/>
    <w:rsid w:val="00256CDC"/>
    <w:rsid w:val="00256F11"/>
    <w:rsid w:val="002572D0"/>
    <w:rsid w:val="002572EA"/>
    <w:rsid w:val="00257375"/>
    <w:rsid w:val="00257376"/>
    <w:rsid w:val="00257765"/>
    <w:rsid w:val="00257986"/>
    <w:rsid w:val="00257A39"/>
    <w:rsid w:val="00257E4E"/>
    <w:rsid w:val="00257FE8"/>
    <w:rsid w:val="0026016E"/>
    <w:rsid w:val="00260245"/>
    <w:rsid w:val="00260471"/>
    <w:rsid w:val="00260476"/>
    <w:rsid w:val="0026058E"/>
    <w:rsid w:val="0026071C"/>
    <w:rsid w:val="00260761"/>
    <w:rsid w:val="00260AAC"/>
    <w:rsid w:val="00260BEA"/>
    <w:rsid w:val="00260C71"/>
    <w:rsid w:val="0026102B"/>
    <w:rsid w:val="0026114F"/>
    <w:rsid w:val="002613BA"/>
    <w:rsid w:val="0026163D"/>
    <w:rsid w:val="002617F7"/>
    <w:rsid w:val="00261A98"/>
    <w:rsid w:val="00261C61"/>
    <w:rsid w:val="002621B5"/>
    <w:rsid w:val="00262361"/>
    <w:rsid w:val="002625AD"/>
    <w:rsid w:val="00262682"/>
    <w:rsid w:val="002626E5"/>
    <w:rsid w:val="00262711"/>
    <w:rsid w:val="00262857"/>
    <w:rsid w:val="002628B1"/>
    <w:rsid w:val="00262987"/>
    <w:rsid w:val="00262B3C"/>
    <w:rsid w:val="00262B55"/>
    <w:rsid w:val="00262C66"/>
    <w:rsid w:val="00262DEE"/>
    <w:rsid w:val="0026318C"/>
    <w:rsid w:val="00263252"/>
    <w:rsid w:val="00263652"/>
    <w:rsid w:val="00263862"/>
    <w:rsid w:val="0026392F"/>
    <w:rsid w:val="00263A9F"/>
    <w:rsid w:val="00263AB7"/>
    <w:rsid w:val="00263AFE"/>
    <w:rsid w:val="00263F28"/>
    <w:rsid w:val="0026417A"/>
    <w:rsid w:val="002641A8"/>
    <w:rsid w:val="00264454"/>
    <w:rsid w:val="0026475E"/>
    <w:rsid w:val="00264901"/>
    <w:rsid w:val="00264DB3"/>
    <w:rsid w:val="00264EC1"/>
    <w:rsid w:val="00264F6C"/>
    <w:rsid w:val="00265698"/>
    <w:rsid w:val="002656D1"/>
    <w:rsid w:val="002656E2"/>
    <w:rsid w:val="00265709"/>
    <w:rsid w:val="002658BD"/>
    <w:rsid w:val="00265A77"/>
    <w:rsid w:val="00265D86"/>
    <w:rsid w:val="002660E2"/>
    <w:rsid w:val="0026633C"/>
    <w:rsid w:val="002668E6"/>
    <w:rsid w:val="002668EA"/>
    <w:rsid w:val="002669C9"/>
    <w:rsid w:val="00266A6E"/>
    <w:rsid w:val="00266A71"/>
    <w:rsid w:val="00266B46"/>
    <w:rsid w:val="00266EE0"/>
    <w:rsid w:val="00266EEC"/>
    <w:rsid w:val="00267000"/>
    <w:rsid w:val="00267182"/>
    <w:rsid w:val="002671AA"/>
    <w:rsid w:val="00267203"/>
    <w:rsid w:val="002672CD"/>
    <w:rsid w:val="002675D0"/>
    <w:rsid w:val="00267667"/>
    <w:rsid w:val="00267A73"/>
    <w:rsid w:val="00267B13"/>
    <w:rsid w:val="00267BA3"/>
    <w:rsid w:val="002702FC"/>
    <w:rsid w:val="00270329"/>
    <w:rsid w:val="002704B2"/>
    <w:rsid w:val="00270777"/>
    <w:rsid w:val="00270850"/>
    <w:rsid w:val="0027091E"/>
    <w:rsid w:val="0027096C"/>
    <w:rsid w:val="00270A72"/>
    <w:rsid w:val="00270BCE"/>
    <w:rsid w:val="00270BE3"/>
    <w:rsid w:val="00270E26"/>
    <w:rsid w:val="00270FBB"/>
    <w:rsid w:val="00271192"/>
    <w:rsid w:val="002712B6"/>
    <w:rsid w:val="00271385"/>
    <w:rsid w:val="00271A66"/>
    <w:rsid w:val="00271B6A"/>
    <w:rsid w:val="00271D4D"/>
    <w:rsid w:val="00271DF1"/>
    <w:rsid w:val="00271EB2"/>
    <w:rsid w:val="00271F42"/>
    <w:rsid w:val="0027200B"/>
    <w:rsid w:val="0027206C"/>
    <w:rsid w:val="002720BE"/>
    <w:rsid w:val="002722FC"/>
    <w:rsid w:val="0027238D"/>
    <w:rsid w:val="002724DD"/>
    <w:rsid w:val="00272792"/>
    <w:rsid w:val="002728C3"/>
    <w:rsid w:val="002728D8"/>
    <w:rsid w:val="00272D8C"/>
    <w:rsid w:val="00272F0A"/>
    <w:rsid w:val="00272F4C"/>
    <w:rsid w:val="00272F97"/>
    <w:rsid w:val="00273019"/>
    <w:rsid w:val="002731DA"/>
    <w:rsid w:val="0027333B"/>
    <w:rsid w:val="00273448"/>
    <w:rsid w:val="002734BA"/>
    <w:rsid w:val="0027357B"/>
    <w:rsid w:val="00273671"/>
    <w:rsid w:val="002736D5"/>
    <w:rsid w:val="0027374D"/>
    <w:rsid w:val="00273764"/>
    <w:rsid w:val="00273778"/>
    <w:rsid w:val="00273784"/>
    <w:rsid w:val="00273981"/>
    <w:rsid w:val="00273B13"/>
    <w:rsid w:val="00273DE7"/>
    <w:rsid w:val="0027455F"/>
    <w:rsid w:val="002746E8"/>
    <w:rsid w:val="00274814"/>
    <w:rsid w:val="0027487D"/>
    <w:rsid w:val="002748AA"/>
    <w:rsid w:val="00274AEE"/>
    <w:rsid w:val="00274C0A"/>
    <w:rsid w:val="00274C21"/>
    <w:rsid w:val="00275315"/>
    <w:rsid w:val="0027533C"/>
    <w:rsid w:val="0027536F"/>
    <w:rsid w:val="00275372"/>
    <w:rsid w:val="0027553A"/>
    <w:rsid w:val="00275672"/>
    <w:rsid w:val="00275758"/>
    <w:rsid w:val="00275B14"/>
    <w:rsid w:val="00275C19"/>
    <w:rsid w:val="00275CCD"/>
    <w:rsid w:val="002760F8"/>
    <w:rsid w:val="0027615B"/>
    <w:rsid w:val="0027618C"/>
    <w:rsid w:val="002764E1"/>
    <w:rsid w:val="002767B2"/>
    <w:rsid w:val="002767C2"/>
    <w:rsid w:val="0027684E"/>
    <w:rsid w:val="00276BC1"/>
    <w:rsid w:val="00276F66"/>
    <w:rsid w:val="00276FEA"/>
    <w:rsid w:val="00276FED"/>
    <w:rsid w:val="00277027"/>
    <w:rsid w:val="00277190"/>
    <w:rsid w:val="002774A8"/>
    <w:rsid w:val="002776B2"/>
    <w:rsid w:val="002777EB"/>
    <w:rsid w:val="002777F7"/>
    <w:rsid w:val="00277859"/>
    <w:rsid w:val="00277A37"/>
    <w:rsid w:val="00277A3B"/>
    <w:rsid w:val="00277D92"/>
    <w:rsid w:val="00277E29"/>
    <w:rsid w:val="00280136"/>
    <w:rsid w:val="0028021B"/>
    <w:rsid w:val="002805EC"/>
    <w:rsid w:val="0028067D"/>
    <w:rsid w:val="00280685"/>
    <w:rsid w:val="0028070E"/>
    <w:rsid w:val="00280719"/>
    <w:rsid w:val="002807E8"/>
    <w:rsid w:val="002808C6"/>
    <w:rsid w:val="00280974"/>
    <w:rsid w:val="00280C74"/>
    <w:rsid w:val="00280CB2"/>
    <w:rsid w:val="00280DC4"/>
    <w:rsid w:val="00280E2E"/>
    <w:rsid w:val="00280E76"/>
    <w:rsid w:val="002812C7"/>
    <w:rsid w:val="002812D1"/>
    <w:rsid w:val="002816C3"/>
    <w:rsid w:val="002816DB"/>
    <w:rsid w:val="002816E0"/>
    <w:rsid w:val="002817AD"/>
    <w:rsid w:val="002818EC"/>
    <w:rsid w:val="00281AE2"/>
    <w:rsid w:val="00281C1B"/>
    <w:rsid w:val="00281DC5"/>
    <w:rsid w:val="00281FA8"/>
    <w:rsid w:val="00281FB7"/>
    <w:rsid w:val="00282020"/>
    <w:rsid w:val="00282021"/>
    <w:rsid w:val="0028218E"/>
    <w:rsid w:val="0028219F"/>
    <w:rsid w:val="0028250C"/>
    <w:rsid w:val="002825AD"/>
    <w:rsid w:val="00282695"/>
    <w:rsid w:val="0028279D"/>
    <w:rsid w:val="00282878"/>
    <w:rsid w:val="00282894"/>
    <w:rsid w:val="00282933"/>
    <w:rsid w:val="00282ACC"/>
    <w:rsid w:val="00282B3E"/>
    <w:rsid w:val="00282B4E"/>
    <w:rsid w:val="00282DBF"/>
    <w:rsid w:val="0028307D"/>
    <w:rsid w:val="0028323B"/>
    <w:rsid w:val="00283319"/>
    <w:rsid w:val="00283348"/>
    <w:rsid w:val="002834A4"/>
    <w:rsid w:val="002835A2"/>
    <w:rsid w:val="00283629"/>
    <w:rsid w:val="0028369A"/>
    <w:rsid w:val="002836E4"/>
    <w:rsid w:val="002838AA"/>
    <w:rsid w:val="00283A49"/>
    <w:rsid w:val="00283A4C"/>
    <w:rsid w:val="00283A81"/>
    <w:rsid w:val="00283BA9"/>
    <w:rsid w:val="00283C1F"/>
    <w:rsid w:val="00283F7A"/>
    <w:rsid w:val="002841B8"/>
    <w:rsid w:val="0028424C"/>
    <w:rsid w:val="00284347"/>
    <w:rsid w:val="00284455"/>
    <w:rsid w:val="00284486"/>
    <w:rsid w:val="00284564"/>
    <w:rsid w:val="0028467C"/>
    <w:rsid w:val="002846A6"/>
    <w:rsid w:val="00284750"/>
    <w:rsid w:val="00284ADB"/>
    <w:rsid w:val="00284E54"/>
    <w:rsid w:val="00284F0F"/>
    <w:rsid w:val="00284F18"/>
    <w:rsid w:val="00285170"/>
    <w:rsid w:val="00285456"/>
    <w:rsid w:val="0028571C"/>
    <w:rsid w:val="002858EE"/>
    <w:rsid w:val="00285908"/>
    <w:rsid w:val="00285960"/>
    <w:rsid w:val="002859F3"/>
    <w:rsid w:val="00285A35"/>
    <w:rsid w:val="00285B29"/>
    <w:rsid w:val="00285CBB"/>
    <w:rsid w:val="00285D04"/>
    <w:rsid w:val="00285F1A"/>
    <w:rsid w:val="00285FD5"/>
    <w:rsid w:val="00285FDF"/>
    <w:rsid w:val="00286248"/>
    <w:rsid w:val="0028642B"/>
    <w:rsid w:val="0028674C"/>
    <w:rsid w:val="00286847"/>
    <w:rsid w:val="002868E2"/>
    <w:rsid w:val="00286A44"/>
    <w:rsid w:val="00286B71"/>
    <w:rsid w:val="00286D4D"/>
    <w:rsid w:val="00286F74"/>
    <w:rsid w:val="00286FA6"/>
    <w:rsid w:val="002875A7"/>
    <w:rsid w:val="002879B9"/>
    <w:rsid w:val="00287A3E"/>
    <w:rsid w:val="00287BDE"/>
    <w:rsid w:val="00287C68"/>
    <w:rsid w:val="00287CE5"/>
    <w:rsid w:val="00287D30"/>
    <w:rsid w:val="00287D3E"/>
    <w:rsid w:val="00287F55"/>
    <w:rsid w:val="00287FB9"/>
    <w:rsid w:val="00290365"/>
    <w:rsid w:val="002903AD"/>
    <w:rsid w:val="0029067C"/>
    <w:rsid w:val="002909CC"/>
    <w:rsid w:val="00290ACE"/>
    <w:rsid w:val="00290B1C"/>
    <w:rsid w:val="00290BD4"/>
    <w:rsid w:val="00290C19"/>
    <w:rsid w:val="00290C39"/>
    <w:rsid w:val="00290E2D"/>
    <w:rsid w:val="00290F78"/>
    <w:rsid w:val="0029131D"/>
    <w:rsid w:val="00291741"/>
    <w:rsid w:val="00291968"/>
    <w:rsid w:val="002919EE"/>
    <w:rsid w:val="00291B51"/>
    <w:rsid w:val="00291B59"/>
    <w:rsid w:val="00291B96"/>
    <w:rsid w:val="00291CD5"/>
    <w:rsid w:val="00291E41"/>
    <w:rsid w:val="00291EFA"/>
    <w:rsid w:val="00291F20"/>
    <w:rsid w:val="00291FA9"/>
    <w:rsid w:val="00292246"/>
    <w:rsid w:val="002925BE"/>
    <w:rsid w:val="00292866"/>
    <w:rsid w:val="00292932"/>
    <w:rsid w:val="0029296B"/>
    <w:rsid w:val="00292B17"/>
    <w:rsid w:val="0029302E"/>
    <w:rsid w:val="0029312B"/>
    <w:rsid w:val="00293176"/>
    <w:rsid w:val="0029334A"/>
    <w:rsid w:val="00293443"/>
    <w:rsid w:val="0029358D"/>
    <w:rsid w:val="002935B9"/>
    <w:rsid w:val="002935DE"/>
    <w:rsid w:val="002935E9"/>
    <w:rsid w:val="002935F7"/>
    <w:rsid w:val="00293640"/>
    <w:rsid w:val="0029384A"/>
    <w:rsid w:val="00293AD0"/>
    <w:rsid w:val="00293BD6"/>
    <w:rsid w:val="00293D36"/>
    <w:rsid w:val="00293DE5"/>
    <w:rsid w:val="00293F3D"/>
    <w:rsid w:val="00294097"/>
    <w:rsid w:val="002940C9"/>
    <w:rsid w:val="00294217"/>
    <w:rsid w:val="00294270"/>
    <w:rsid w:val="00294C1C"/>
    <w:rsid w:val="00294D8B"/>
    <w:rsid w:val="00294DC0"/>
    <w:rsid w:val="00294DDC"/>
    <w:rsid w:val="00294E44"/>
    <w:rsid w:val="00294EF8"/>
    <w:rsid w:val="002951FC"/>
    <w:rsid w:val="00295247"/>
    <w:rsid w:val="002952C0"/>
    <w:rsid w:val="0029558A"/>
    <w:rsid w:val="002959F5"/>
    <w:rsid w:val="00295A64"/>
    <w:rsid w:val="00295AF4"/>
    <w:rsid w:val="00295C55"/>
    <w:rsid w:val="00295D42"/>
    <w:rsid w:val="00295DEB"/>
    <w:rsid w:val="00295E9B"/>
    <w:rsid w:val="00295FEF"/>
    <w:rsid w:val="00296561"/>
    <w:rsid w:val="00296A67"/>
    <w:rsid w:val="00296BE8"/>
    <w:rsid w:val="00296BF5"/>
    <w:rsid w:val="00296DEE"/>
    <w:rsid w:val="00296E24"/>
    <w:rsid w:val="00296E57"/>
    <w:rsid w:val="00296ED6"/>
    <w:rsid w:val="00296FD8"/>
    <w:rsid w:val="00297006"/>
    <w:rsid w:val="002970C4"/>
    <w:rsid w:val="002970E9"/>
    <w:rsid w:val="00297327"/>
    <w:rsid w:val="0029740E"/>
    <w:rsid w:val="002978EA"/>
    <w:rsid w:val="00297951"/>
    <w:rsid w:val="00297A73"/>
    <w:rsid w:val="00297D38"/>
    <w:rsid w:val="00297E4D"/>
    <w:rsid w:val="00297E86"/>
    <w:rsid w:val="00297F67"/>
    <w:rsid w:val="002A0186"/>
    <w:rsid w:val="002A03A3"/>
    <w:rsid w:val="002A03EB"/>
    <w:rsid w:val="002A047D"/>
    <w:rsid w:val="002A0536"/>
    <w:rsid w:val="002A086E"/>
    <w:rsid w:val="002A0BFE"/>
    <w:rsid w:val="002A113D"/>
    <w:rsid w:val="002A131B"/>
    <w:rsid w:val="002A13B8"/>
    <w:rsid w:val="002A13F7"/>
    <w:rsid w:val="002A1427"/>
    <w:rsid w:val="002A14BA"/>
    <w:rsid w:val="002A1581"/>
    <w:rsid w:val="002A15EF"/>
    <w:rsid w:val="002A1650"/>
    <w:rsid w:val="002A1913"/>
    <w:rsid w:val="002A19D5"/>
    <w:rsid w:val="002A1B46"/>
    <w:rsid w:val="002A1B52"/>
    <w:rsid w:val="002A1BE5"/>
    <w:rsid w:val="002A1E7B"/>
    <w:rsid w:val="002A1E91"/>
    <w:rsid w:val="002A20D0"/>
    <w:rsid w:val="002A222E"/>
    <w:rsid w:val="002A229A"/>
    <w:rsid w:val="002A2477"/>
    <w:rsid w:val="002A272F"/>
    <w:rsid w:val="002A2787"/>
    <w:rsid w:val="002A28B9"/>
    <w:rsid w:val="002A2B36"/>
    <w:rsid w:val="002A2E60"/>
    <w:rsid w:val="002A312E"/>
    <w:rsid w:val="002A31A2"/>
    <w:rsid w:val="002A32DB"/>
    <w:rsid w:val="002A3625"/>
    <w:rsid w:val="002A362E"/>
    <w:rsid w:val="002A36E8"/>
    <w:rsid w:val="002A389A"/>
    <w:rsid w:val="002A38EC"/>
    <w:rsid w:val="002A3918"/>
    <w:rsid w:val="002A398D"/>
    <w:rsid w:val="002A3B84"/>
    <w:rsid w:val="002A3D6A"/>
    <w:rsid w:val="002A409D"/>
    <w:rsid w:val="002A43E0"/>
    <w:rsid w:val="002A458C"/>
    <w:rsid w:val="002A463E"/>
    <w:rsid w:val="002A47ED"/>
    <w:rsid w:val="002A48CD"/>
    <w:rsid w:val="002A4966"/>
    <w:rsid w:val="002A4B7B"/>
    <w:rsid w:val="002A4D89"/>
    <w:rsid w:val="002A5535"/>
    <w:rsid w:val="002A55A6"/>
    <w:rsid w:val="002A574A"/>
    <w:rsid w:val="002A57C0"/>
    <w:rsid w:val="002A59F6"/>
    <w:rsid w:val="002A5A98"/>
    <w:rsid w:val="002A5CA5"/>
    <w:rsid w:val="002A5F0F"/>
    <w:rsid w:val="002A5FFB"/>
    <w:rsid w:val="002A646B"/>
    <w:rsid w:val="002A6507"/>
    <w:rsid w:val="002A6610"/>
    <w:rsid w:val="002A6669"/>
    <w:rsid w:val="002A6750"/>
    <w:rsid w:val="002A67B6"/>
    <w:rsid w:val="002A680E"/>
    <w:rsid w:val="002A6A59"/>
    <w:rsid w:val="002A6C1B"/>
    <w:rsid w:val="002A6FB5"/>
    <w:rsid w:val="002A71A2"/>
    <w:rsid w:val="002A72E3"/>
    <w:rsid w:val="002A72F6"/>
    <w:rsid w:val="002A7498"/>
    <w:rsid w:val="002A779B"/>
    <w:rsid w:val="002A7860"/>
    <w:rsid w:val="002A78E4"/>
    <w:rsid w:val="002A7E9E"/>
    <w:rsid w:val="002AB5B2"/>
    <w:rsid w:val="002B017C"/>
    <w:rsid w:val="002B01E1"/>
    <w:rsid w:val="002B01E7"/>
    <w:rsid w:val="002B034B"/>
    <w:rsid w:val="002B03F6"/>
    <w:rsid w:val="002B086B"/>
    <w:rsid w:val="002B08A9"/>
    <w:rsid w:val="002B09CD"/>
    <w:rsid w:val="002B0FA4"/>
    <w:rsid w:val="002B150D"/>
    <w:rsid w:val="002B1641"/>
    <w:rsid w:val="002B1A9B"/>
    <w:rsid w:val="002B1C27"/>
    <w:rsid w:val="002B1C8D"/>
    <w:rsid w:val="002B204C"/>
    <w:rsid w:val="002B211F"/>
    <w:rsid w:val="002B2262"/>
    <w:rsid w:val="002B2594"/>
    <w:rsid w:val="002B2622"/>
    <w:rsid w:val="002B26AB"/>
    <w:rsid w:val="002B284F"/>
    <w:rsid w:val="002B2A41"/>
    <w:rsid w:val="002B2C85"/>
    <w:rsid w:val="002B2E78"/>
    <w:rsid w:val="002B2EBD"/>
    <w:rsid w:val="002B3167"/>
    <w:rsid w:val="002B31E9"/>
    <w:rsid w:val="002B3281"/>
    <w:rsid w:val="002B3650"/>
    <w:rsid w:val="002B39E3"/>
    <w:rsid w:val="002B3E93"/>
    <w:rsid w:val="002B3F1B"/>
    <w:rsid w:val="002B43A0"/>
    <w:rsid w:val="002B46B7"/>
    <w:rsid w:val="002B47ED"/>
    <w:rsid w:val="002B4890"/>
    <w:rsid w:val="002B48D3"/>
    <w:rsid w:val="002B4B3D"/>
    <w:rsid w:val="002B4C25"/>
    <w:rsid w:val="002B4EDC"/>
    <w:rsid w:val="002B4FF9"/>
    <w:rsid w:val="002B5009"/>
    <w:rsid w:val="002B50A5"/>
    <w:rsid w:val="002B53CE"/>
    <w:rsid w:val="002B541E"/>
    <w:rsid w:val="002B554B"/>
    <w:rsid w:val="002B5670"/>
    <w:rsid w:val="002B5821"/>
    <w:rsid w:val="002B59BD"/>
    <w:rsid w:val="002B5AF0"/>
    <w:rsid w:val="002B5B7E"/>
    <w:rsid w:val="002B5C19"/>
    <w:rsid w:val="002B5DCE"/>
    <w:rsid w:val="002B5E2E"/>
    <w:rsid w:val="002B5E5D"/>
    <w:rsid w:val="002B5E96"/>
    <w:rsid w:val="002B5EED"/>
    <w:rsid w:val="002B5F50"/>
    <w:rsid w:val="002B5FE0"/>
    <w:rsid w:val="002B61FF"/>
    <w:rsid w:val="002B65B2"/>
    <w:rsid w:val="002B6631"/>
    <w:rsid w:val="002B6665"/>
    <w:rsid w:val="002B6673"/>
    <w:rsid w:val="002B66A0"/>
    <w:rsid w:val="002B67A2"/>
    <w:rsid w:val="002B692F"/>
    <w:rsid w:val="002B6BC9"/>
    <w:rsid w:val="002B6ED6"/>
    <w:rsid w:val="002B6FA2"/>
    <w:rsid w:val="002B7221"/>
    <w:rsid w:val="002B7903"/>
    <w:rsid w:val="002B7DA2"/>
    <w:rsid w:val="002B7E08"/>
    <w:rsid w:val="002B7E6E"/>
    <w:rsid w:val="002B7EDE"/>
    <w:rsid w:val="002C0083"/>
    <w:rsid w:val="002C015F"/>
    <w:rsid w:val="002C0394"/>
    <w:rsid w:val="002C05C2"/>
    <w:rsid w:val="002C06B9"/>
    <w:rsid w:val="002C07E0"/>
    <w:rsid w:val="002C087A"/>
    <w:rsid w:val="002C0ACB"/>
    <w:rsid w:val="002C0B4C"/>
    <w:rsid w:val="002C0C38"/>
    <w:rsid w:val="002C0EE2"/>
    <w:rsid w:val="002C0FEB"/>
    <w:rsid w:val="002C1439"/>
    <w:rsid w:val="002C1470"/>
    <w:rsid w:val="002C154C"/>
    <w:rsid w:val="002C15DA"/>
    <w:rsid w:val="002C1663"/>
    <w:rsid w:val="002C19CD"/>
    <w:rsid w:val="002C19EF"/>
    <w:rsid w:val="002C1CE2"/>
    <w:rsid w:val="002C22CD"/>
    <w:rsid w:val="002C2362"/>
    <w:rsid w:val="002C23EB"/>
    <w:rsid w:val="002C2508"/>
    <w:rsid w:val="002C27A7"/>
    <w:rsid w:val="002C2DEA"/>
    <w:rsid w:val="002C2EDD"/>
    <w:rsid w:val="002C30C4"/>
    <w:rsid w:val="002C343E"/>
    <w:rsid w:val="002C36B2"/>
    <w:rsid w:val="002C3B5A"/>
    <w:rsid w:val="002C4026"/>
    <w:rsid w:val="002C40BB"/>
    <w:rsid w:val="002C4126"/>
    <w:rsid w:val="002C41AA"/>
    <w:rsid w:val="002C484D"/>
    <w:rsid w:val="002C49F8"/>
    <w:rsid w:val="002C4C7E"/>
    <w:rsid w:val="002C4D11"/>
    <w:rsid w:val="002C4E4B"/>
    <w:rsid w:val="002C4F69"/>
    <w:rsid w:val="002C4FAB"/>
    <w:rsid w:val="002C5213"/>
    <w:rsid w:val="002C52BA"/>
    <w:rsid w:val="002C56BA"/>
    <w:rsid w:val="002C5953"/>
    <w:rsid w:val="002C59A6"/>
    <w:rsid w:val="002C5A0F"/>
    <w:rsid w:val="002C5B39"/>
    <w:rsid w:val="002C5D5F"/>
    <w:rsid w:val="002C5DED"/>
    <w:rsid w:val="002C5FB0"/>
    <w:rsid w:val="002C63BE"/>
    <w:rsid w:val="002C6764"/>
    <w:rsid w:val="002C69A3"/>
    <w:rsid w:val="002C6A0A"/>
    <w:rsid w:val="002C6B36"/>
    <w:rsid w:val="002C6C1D"/>
    <w:rsid w:val="002C6CB7"/>
    <w:rsid w:val="002C6CFE"/>
    <w:rsid w:val="002C6D2A"/>
    <w:rsid w:val="002C6EA9"/>
    <w:rsid w:val="002C6F5D"/>
    <w:rsid w:val="002C71BC"/>
    <w:rsid w:val="002C71F8"/>
    <w:rsid w:val="002C7360"/>
    <w:rsid w:val="002C73A3"/>
    <w:rsid w:val="002C7474"/>
    <w:rsid w:val="002C765F"/>
    <w:rsid w:val="002C76B1"/>
    <w:rsid w:val="002C791A"/>
    <w:rsid w:val="002C794D"/>
    <w:rsid w:val="002C7978"/>
    <w:rsid w:val="002C7B4D"/>
    <w:rsid w:val="002C7BA4"/>
    <w:rsid w:val="002C7C3B"/>
    <w:rsid w:val="002C7C49"/>
    <w:rsid w:val="002C7C72"/>
    <w:rsid w:val="002C7E7D"/>
    <w:rsid w:val="002C9919"/>
    <w:rsid w:val="002D0414"/>
    <w:rsid w:val="002D04B1"/>
    <w:rsid w:val="002D067C"/>
    <w:rsid w:val="002D06B6"/>
    <w:rsid w:val="002D0A67"/>
    <w:rsid w:val="002D0C7B"/>
    <w:rsid w:val="002D0E9D"/>
    <w:rsid w:val="002D11D0"/>
    <w:rsid w:val="002D12CD"/>
    <w:rsid w:val="002D1376"/>
    <w:rsid w:val="002D14D7"/>
    <w:rsid w:val="002D14EB"/>
    <w:rsid w:val="002D18E7"/>
    <w:rsid w:val="002D1A79"/>
    <w:rsid w:val="002D1B66"/>
    <w:rsid w:val="002D1D98"/>
    <w:rsid w:val="002D1EB2"/>
    <w:rsid w:val="002D1F05"/>
    <w:rsid w:val="002D1F6A"/>
    <w:rsid w:val="002D2038"/>
    <w:rsid w:val="002D20D6"/>
    <w:rsid w:val="002D211B"/>
    <w:rsid w:val="002D2135"/>
    <w:rsid w:val="002D2425"/>
    <w:rsid w:val="002D247A"/>
    <w:rsid w:val="002D25CF"/>
    <w:rsid w:val="002D2676"/>
    <w:rsid w:val="002D27D6"/>
    <w:rsid w:val="002D29F3"/>
    <w:rsid w:val="002D2D73"/>
    <w:rsid w:val="002D30B3"/>
    <w:rsid w:val="002D31A5"/>
    <w:rsid w:val="002D31AE"/>
    <w:rsid w:val="002D36DB"/>
    <w:rsid w:val="002D39A8"/>
    <w:rsid w:val="002D3B32"/>
    <w:rsid w:val="002D3B5F"/>
    <w:rsid w:val="002D3E75"/>
    <w:rsid w:val="002D3EB8"/>
    <w:rsid w:val="002D4033"/>
    <w:rsid w:val="002D450B"/>
    <w:rsid w:val="002D49A4"/>
    <w:rsid w:val="002D4ADD"/>
    <w:rsid w:val="002D4ADE"/>
    <w:rsid w:val="002D4BD0"/>
    <w:rsid w:val="002D4CAD"/>
    <w:rsid w:val="002D4F77"/>
    <w:rsid w:val="002D50B9"/>
    <w:rsid w:val="002D5380"/>
    <w:rsid w:val="002D5415"/>
    <w:rsid w:val="002D54BE"/>
    <w:rsid w:val="002D54DE"/>
    <w:rsid w:val="002D5738"/>
    <w:rsid w:val="002D590B"/>
    <w:rsid w:val="002D592C"/>
    <w:rsid w:val="002D595A"/>
    <w:rsid w:val="002D5CB8"/>
    <w:rsid w:val="002D5DBC"/>
    <w:rsid w:val="002D5F68"/>
    <w:rsid w:val="002D61DA"/>
    <w:rsid w:val="002D6349"/>
    <w:rsid w:val="002D64A7"/>
    <w:rsid w:val="002D6600"/>
    <w:rsid w:val="002D66B0"/>
    <w:rsid w:val="002D66FC"/>
    <w:rsid w:val="002D67F7"/>
    <w:rsid w:val="002D682A"/>
    <w:rsid w:val="002D68D4"/>
    <w:rsid w:val="002D6A73"/>
    <w:rsid w:val="002D6ABA"/>
    <w:rsid w:val="002D6B97"/>
    <w:rsid w:val="002D6CBC"/>
    <w:rsid w:val="002D6D34"/>
    <w:rsid w:val="002D6E23"/>
    <w:rsid w:val="002D6F50"/>
    <w:rsid w:val="002D6F7C"/>
    <w:rsid w:val="002D6FE0"/>
    <w:rsid w:val="002D70FD"/>
    <w:rsid w:val="002D73CD"/>
    <w:rsid w:val="002D7564"/>
    <w:rsid w:val="002D7611"/>
    <w:rsid w:val="002D7676"/>
    <w:rsid w:val="002D76AC"/>
    <w:rsid w:val="002D76E9"/>
    <w:rsid w:val="002D7A3A"/>
    <w:rsid w:val="002E016C"/>
    <w:rsid w:val="002E0172"/>
    <w:rsid w:val="002E0258"/>
    <w:rsid w:val="002E0338"/>
    <w:rsid w:val="002E0398"/>
    <w:rsid w:val="002E09F8"/>
    <w:rsid w:val="002E0A23"/>
    <w:rsid w:val="002E0A6E"/>
    <w:rsid w:val="002E0B03"/>
    <w:rsid w:val="002E0DB1"/>
    <w:rsid w:val="002E0DFB"/>
    <w:rsid w:val="002E0E0B"/>
    <w:rsid w:val="002E0EBA"/>
    <w:rsid w:val="002E0EEB"/>
    <w:rsid w:val="002E0FCF"/>
    <w:rsid w:val="002E1085"/>
    <w:rsid w:val="002E1425"/>
    <w:rsid w:val="002E1494"/>
    <w:rsid w:val="002E1570"/>
    <w:rsid w:val="002E1683"/>
    <w:rsid w:val="002E1933"/>
    <w:rsid w:val="002E1956"/>
    <w:rsid w:val="002E1B20"/>
    <w:rsid w:val="002E1C99"/>
    <w:rsid w:val="002E1E52"/>
    <w:rsid w:val="002E1F6F"/>
    <w:rsid w:val="002E215A"/>
    <w:rsid w:val="002E2234"/>
    <w:rsid w:val="002E23AF"/>
    <w:rsid w:val="002E250F"/>
    <w:rsid w:val="002E25DA"/>
    <w:rsid w:val="002E2949"/>
    <w:rsid w:val="002E2A9F"/>
    <w:rsid w:val="002E2C12"/>
    <w:rsid w:val="002E2C3A"/>
    <w:rsid w:val="002E2F00"/>
    <w:rsid w:val="002E2FBC"/>
    <w:rsid w:val="002E317B"/>
    <w:rsid w:val="002E3389"/>
    <w:rsid w:val="002E33F3"/>
    <w:rsid w:val="002E364C"/>
    <w:rsid w:val="002E36DE"/>
    <w:rsid w:val="002E37FF"/>
    <w:rsid w:val="002E3A21"/>
    <w:rsid w:val="002E3C44"/>
    <w:rsid w:val="002E3FDD"/>
    <w:rsid w:val="002E40BF"/>
    <w:rsid w:val="002E419D"/>
    <w:rsid w:val="002E41DA"/>
    <w:rsid w:val="002E4318"/>
    <w:rsid w:val="002E4389"/>
    <w:rsid w:val="002E4394"/>
    <w:rsid w:val="002E45B9"/>
    <w:rsid w:val="002E483C"/>
    <w:rsid w:val="002E495C"/>
    <w:rsid w:val="002E49D5"/>
    <w:rsid w:val="002E49D7"/>
    <w:rsid w:val="002E4A22"/>
    <w:rsid w:val="002E5011"/>
    <w:rsid w:val="002E5078"/>
    <w:rsid w:val="002E517D"/>
    <w:rsid w:val="002E528C"/>
    <w:rsid w:val="002E5359"/>
    <w:rsid w:val="002E53AA"/>
    <w:rsid w:val="002E53E5"/>
    <w:rsid w:val="002E54F9"/>
    <w:rsid w:val="002E5663"/>
    <w:rsid w:val="002E588C"/>
    <w:rsid w:val="002E59A3"/>
    <w:rsid w:val="002E59FD"/>
    <w:rsid w:val="002E5D5C"/>
    <w:rsid w:val="002E604E"/>
    <w:rsid w:val="002E60F6"/>
    <w:rsid w:val="002E6103"/>
    <w:rsid w:val="002E611B"/>
    <w:rsid w:val="002E6214"/>
    <w:rsid w:val="002E646C"/>
    <w:rsid w:val="002E65A7"/>
    <w:rsid w:val="002E6610"/>
    <w:rsid w:val="002E6612"/>
    <w:rsid w:val="002E6681"/>
    <w:rsid w:val="002E6685"/>
    <w:rsid w:val="002E68DE"/>
    <w:rsid w:val="002E6926"/>
    <w:rsid w:val="002E6A8E"/>
    <w:rsid w:val="002E6B1B"/>
    <w:rsid w:val="002E6B65"/>
    <w:rsid w:val="002E6BF3"/>
    <w:rsid w:val="002E6C89"/>
    <w:rsid w:val="002E6CB2"/>
    <w:rsid w:val="002E6D24"/>
    <w:rsid w:val="002E6D43"/>
    <w:rsid w:val="002E6D89"/>
    <w:rsid w:val="002E7390"/>
    <w:rsid w:val="002E7491"/>
    <w:rsid w:val="002E767D"/>
    <w:rsid w:val="002E797E"/>
    <w:rsid w:val="002E7A5E"/>
    <w:rsid w:val="002E7AA7"/>
    <w:rsid w:val="002E7ABB"/>
    <w:rsid w:val="002E7EFD"/>
    <w:rsid w:val="002F02FC"/>
    <w:rsid w:val="002F06FC"/>
    <w:rsid w:val="002F0D47"/>
    <w:rsid w:val="002F0F2A"/>
    <w:rsid w:val="002F108D"/>
    <w:rsid w:val="002F1288"/>
    <w:rsid w:val="002F1799"/>
    <w:rsid w:val="002F1B9A"/>
    <w:rsid w:val="002F1DF5"/>
    <w:rsid w:val="002F205B"/>
    <w:rsid w:val="002F206C"/>
    <w:rsid w:val="002F21A0"/>
    <w:rsid w:val="002F22BB"/>
    <w:rsid w:val="002F2406"/>
    <w:rsid w:val="002F270E"/>
    <w:rsid w:val="002F27B6"/>
    <w:rsid w:val="002F27D5"/>
    <w:rsid w:val="002F2A11"/>
    <w:rsid w:val="002F2CB7"/>
    <w:rsid w:val="002F2DED"/>
    <w:rsid w:val="002F2F6D"/>
    <w:rsid w:val="002F2FC0"/>
    <w:rsid w:val="002F3359"/>
    <w:rsid w:val="002F3672"/>
    <w:rsid w:val="002F37E8"/>
    <w:rsid w:val="002F39AD"/>
    <w:rsid w:val="002F39B6"/>
    <w:rsid w:val="002F3B91"/>
    <w:rsid w:val="002F3BC1"/>
    <w:rsid w:val="002F3D2D"/>
    <w:rsid w:val="002F3F5D"/>
    <w:rsid w:val="002F414B"/>
    <w:rsid w:val="002F4454"/>
    <w:rsid w:val="002F448C"/>
    <w:rsid w:val="002F4824"/>
    <w:rsid w:val="002F491F"/>
    <w:rsid w:val="002F492A"/>
    <w:rsid w:val="002F4A8D"/>
    <w:rsid w:val="002F4B3E"/>
    <w:rsid w:val="002F4C6D"/>
    <w:rsid w:val="002F4E0D"/>
    <w:rsid w:val="002F4E55"/>
    <w:rsid w:val="002F510B"/>
    <w:rsid w:val="002F5868"/>
    <w:rsid w:val="002F5879"/>
    <w:rsid w:val="002F5BF0"/>
    <w:rsid w:val="002F5EC0"/>
    <w:rsid w:val="002F6089"/>
    <w:rsid w:val="002F64CC"/>
    <w:rsid w:val="002F67E1"/>
    <w:rsid w:val="002F6AD3"/>
    <w:rsid w:val="002F6BD7"/>
    <w:rsid w:val="002F6DE3"/>
    <w:rsid w:val="002F6F80"/>
    <w:rsid w:val="002F7066"/>
    <w:rsid w:val="002F7068"/>
    <w:rsid w:val="002F71A0"/>
    <w:rsid w:val="002F76A9"/>
    <w:rsid w:val="002F7804"/>
    <w:rsid w:val="002F78DC"/>
    <w:rsid w:val="002F7961"/>
    <w:rsid w:val="002F7BED"/>
    <w:rsid w:val="002F7C00"/>
    <w:rsid w:val="002F7C75"/>
    <w:rsid w:val="002F7CAD"/>
    <w:rsid w:val="002F7CD0"/>
    <w:rsid w:val="002F7CEA"/>
    <w:rsid w:val="002F7D97"/>
    <w:rsid w:val="002F7E2A"/>
    <w:rsid w:val="002F7E5F"/>
    <w:rsid w:val="00300261"/>
    <w:rsid w:val="0030040C"/>
    <w:rsid w:val="00300414"/>
    <w:rsid w:val="00300521"/>
    <w:rsid w:val="00300809"/>
    <w:rsid w:val="00300997"/>
    <w:rsid w:val="00300A89"/>
    <w:rsid w:val="00300C1A"/>
    <w:rsid w:val="00300CFC"/>
    <w:rsid w:val="00300EE4"/>
    <w:rsid w:val="00300F11"/>
    <w:rsid w:val="00300F7B"/>
    <w:rsid w:val="00301030"/>
    <w:rsid w:val="00301286"/>
    <w:rsid w:val="0030176E"/>
    <w:rsid w:val="00301804"/>
    <w:rsid w:val="00301898"/>
    <w:rsid w:val="00301911"/>
    <w:rsid w:val="00301A9C"/>
    <w:rsid w:val="00301AB2"/>
    <w:rsid w:val="00301B4D"/>
    <w:rsid w:val="00301ED1"/>
    <w:rsid w:val="00301F41"/>
    <w:rsid w:val="00302216"/>
    <w:rsid w:val="00302297"/>
    <w:rsid w:val="003023C9"/>
    <w:rsid w:val="003026C2"/>
    <w:rsid w:val="003026E7"/>
    <w:rsid w:val="0030270B"/>
    <w:rsid w:val="00302786"/>
    <w:rsid w:val="00302886"/>
    <w:rsid w:val="00302A07"/>
    <w:rsid w:val="00302C06"/>
    <w:rsid w:val="00302CC4"/>
    <w:rsid w:val="003030AC"/>
    <w:rsid w:val="003032FC"/>
    <w:rsid w:val="00303812"/>
    <w:rsid w:val="00303932"/>
    <w:rsid w:val="0030394C"/>
    <w:rsid w:val="00303C2B"/>
    <w:rsid w:val="003041C6"/>
    <w:rsid w:val="00304389"/>
    <w:rsid w:val="0030451F"/>
    <w:rsid w:val="00304C12"/>
    <w:rsid w:val="00304D51"/>
    <w:rsid w:val="00304E26"/>
    <w:rsid w:val="00304E97"/>
    <w:rsid w:val="00304EEB"/>
    <w:rsid w:val="0030557F"/>
    <w:rsid w:val="003055D6"/>
    <w:rsid w:val="00305629"/>
    <w:rsid w:val="003058F9"/>
    <w:rsid w:val="00305AD6"/>
    <w:rsid w:val="00305F35"/>
    <w:rsid w:val="003066BE"/>
    <w:rsid w:val="0030671D"/>
    <w:rsid w:val="003069C2"/>
    <w:rsid w:val="00306AA9"/>
    <w:rsid w:val="00306B25"/>
    <w:rsid w:val="00306BE3"/>
    <w:rsid w:val="00306C14"/>
    <w:rsid w:val="00306D4E"/>
    <w:rsid w:val="00306D8D"/>
    <w:rsid w:val="00306ECC"/>
    <w:rsid w:val="00306EE5"/>
    <w:rsid w:val="00306FA4"/>
    <w:rsid w:val="003071C7"/>
    <w:rsid w:val="0030728B"/>
    <w:rsid w:val="0030733E"/>
    <w:rsid w:val="003076FA"/>
    <w:rsid w:val="00307791"/>
    <w:rsid w:val="0030799E"/>
    <w:rsid w:val="00307A44"/>
    <w:rsid w:val="00307AF5"/>
    <w:rsid w:val="00307C09"/>
    <w:rsid w:val="00307D27"/>
    <w:rsid w:val="00307E6A"/>
    <w:rsid w:val="00307FA0"/>
    <w:rsid w:val="0030B1AD"/>
    <w:rsid w:val="00310178"/>
    <w:rsid w:val="003102FB"/>
    <w:rsid w:val="0031030F"/>
    <w:rsid w:val="003106C1"/>
    <w:rsid w:val="0031085F"/>
    <w:rsid w:val="00310868"/>
    <w:rsid w:val="003109BF"/>
    <w:rsid w:val="00310A3F"/>
    <w:rsid w:val="00310AE2"/>
    <w:rsid w:val="00310C00"/>
    <w:rsid w:val="00310CEC"/>
    <w:rsid w:val="00310D48"/>
    <w:rsid w:val="00310ED5"/>
    <w:rsid w:val="0031138E"/>
    <w:rsid w:val="003113B4"/>
    <w:rsid w:val="003114DF"/>
    <w:rsid w:val="0031157B"/>
    <w:rsid w:val="003116D4"/>
    <w:rsid w:val="003117AD"/>
    <w:rsid w:val="003118BD"/>
    <w:rsid w:val="003118C8"/>
    <w:rsid w:val="003119C8"/>
    <w:rsid w:val="00312243"/>
    <w:rsid w:val="003124B1"/>
    <w:rsid w:val="003124D9"/>
    <w:rsid w:val="00312651"/>
    <w:rsid w:val="003126C5"/>
    <w:rsid w:val="003126CB"/>
    <w:rsid w:val="003129E3"/>
    <w:rsid w:val="00312AED"/>
    <w:rsid w:val="00312B46"/>
    <w:rsid w:val="00312CE8"/>
    <w:rsid w:val="00312CFC"/>
    <w:rsid w:val="00312D64"/>
    <w:rsid w:val="00312E12"/>
    <w:rsid w:val="00312E62"/>
    <w:rsid w:val="00313101"/>
    <w:rsid w:val="00313114"/>
    <w:rsid w:val="00313419"/>
    <w:rsid w:val="00313458"/>
    <w:rsid w:val="003134D1"/>
    <w:rsid w:val="00313688"/>
    <w:rsid w:val="003137D4"/>
    <w:rsid w:val="0031382D"/>
    <w:rsid w:val="0031387D"/>
    <w:rsid w:val="003138D4"/>
    <w:rsid w:val="003139D4"/>
    <w:rsid w:val="00313AF8"/>
    <w:rsid w:val="00313B64"/>
    <w:rsid w:val="00313C1F"/>
    <w:rsid w:val="00313DE6"/>
    <w:rsid w:val="003140C9"/>
    <w:rsid w:val="003140D0"/>
    <w:rsid w:val="0031412E"/>
    <w:rsid w:val="00314191"/>
    <w:rsid w:val="0031419F"/>
    <w:rsid w:val="00314255"/>
    <w:rsid w:val="003142B3"/>
    <w:rsid w:val="003142E7"/>
    <w:rsid w:val="00314595"/>
    <w:rsid w:val="003145A7"/>
    <w:rsid w:val="003145BB"/>
    <w:rsid w:val="0031487A"/>
    <w:rsid w:val="00314EFE"/>
    <w:rsid w:val="0031506F"/>
    <w:rsid w:val="003152B6"/>
    <w:rsid w:val="003152B8"/>
    <w:rsid w:val="00315408"/>
    <w:rsid w:val="0031567F"/>
    <w:rsid w:val="003156FF"/>
    <w:rsid w:val="00315714"/>
    <w:rsid w:val="00315960"/>
    <w:rsid w:val="00315BBD"/>
    <w:rsid w:val="0031603A"/>
    <w:rsid w:val="0031606C"/>
    <w:rsid w:val="0031607D"/>
    <w:rsid w:val="0031609C"/>
    <w:rsid w:val="00316128"/>
    <w:rsid w:val="003161E9"/>
    <w:rsid w:val="003163C3"/>
    <w:rsid w:val="0031646A"/>
    <w:rsid w:val="00316518"/>
    <w:rsid w:val="0031678C"/>
    <w:rsid w:val="00316823"/>
    <w:rsid w:val="00316827"/>
    <w:rsid w:val="003168C7"/>
    <w:rsid w:val="003169EF"/>
    <w:rsid w:val="00316B06"/>
    <w:rsid w:val="00316C64"/>
    <w:rsid w:val="00316EDC"/>
    <w:rsid w:val="00316FE0"/>
    <w:rsid w:val="003174A7"/>
    <w:rsid w:val="003175B2"/>
    <w:rsid w:val="00317615"/>
    <w:rsid w:val="00317674"/>
    <w:rsid w:val="00317800"/>
    <w:rsid w:val="003178F6"/>
    <w:rsid w:val="0031793E"/>
    <w:rsid w:val="003179B5"/>
    <w:rsid w:val="00317A30"/>
    <w:rsid w:val="00317B3F"/>
    <w:rsid w:val="00317B9D"/>
    <w:rsid w:val="00317E22"/>
    <w:rsid w:val="00317F9C"/>
    <w:rsid w:val="003201C4"/>
    <w:rsid w:val="00320339"/>
    <w:rsid w:val="003203D7"/>
    <w:rsid w:val="003204D3"/>
    <w:rsid w:val="00320664"/>
    <w:rsid w:val="0032085D"/>
    <w:rsid w:val="00320934"/>
    <w:rsid w:val="00320A13"/>
    <w:rsid w:val="00320C8F"/>
    <w:rsid w:val="00320ED1"/>
    <w:rsid w:val="0032119B"/>
    <w:rsid w:val="00321321"/>
    <w:rsid w:val="0032136A"/>
    <w:rsid w:val="00321372"/>
    <w:rsid w:val="003213F4"/>
    <w:rsid w:val="00321405"/>
    <w:rsid w:val="00321646"/>
    <w:rsid w:val="00321982"/>
    <w:rsid w:val="00321AD4"/>
    <w:rsid w:val="00321BB4"/>
    <w:rsid w:val="00321CCC"/>
    <w:rsid w:val="00321E23"/>
    <w:rsid w:val="00322892"/>
    <w:rsid w:val="00322BB7"/>
    <w:rsid w:val="00322BBB"/>
    <w:rsid w:val="00323225"/>
    <w:rsid w:val="003232C2"/>
    <w:rsid w:val="0032377E"/>
    <w:rsid w:val="00323896"/>
    <w:rsid w:val="00323AC1"/>
    <w:rsid w:val="00323E1F"/>
    <w:rsid w:val="00324069"/>
    <w:rsid w:val="0032439A"/>
    <w:rsid w:val="00324640"/>
    <w:rsid w:val="00324677"/>
    <w:rsid w:val="00324977"/>
    <w:rsid w:val="00324D19"/>
    <w:rsid w:val="00324D1D"/>
    <w:rsid w:val="00324D9F"/>
    <w:rsid w:val="00324F45"/>
    <w:rsid w:val="00325028"/>
    <w:rsid w:val="003253C6"/>
    <w:rsid w:val="003253EB"/>
    <w:rsid w:val="003253F9"/>
    <w:rsid w:val="00325438"/>
    <w:rsid w:val="003255ED"/>
    <w:rsid w:val="00325D67"/>
    <w:rsid w:val="00325DB7"/>
    <w:rsid w:val="00325E82"/>
    <w:rsid w:val="00325F1C"/>
    <w:rsid w:val="0032649F"/>
    <w:rsid w:val="003266F5"/>
    <w:rsid w:val="00326906"/>
    <w:rsid w:val="00326952"/>
    <w:rsid w:val="00326A92"/>
    <w:rsid w:val="00326B7A"/>
    <w:rsid w:val="00326C5C"/>
    <w:rsid w:val="00326D44"/>
    <w:rsid w:val="003270A4"/>
    <w:rsid w:val="0032712A"/>
    <w:rsid w:val="003274B7"/>
    <w:rsid w:val="003274F8"/>
    <w:rsid w:val="0032753C"/>
    <w:rsid w:val="00327820"/>
    <w:rsid w:val="003278AB"/>
    <w:rsid w:val="00327AAC"/>
    <w:rsid w:val="00327AB5"/>
    <w:rsid w:val="00327C7B"/>
    <w:rsid w:val="00327C8C"/>
    <w:rsid w:val="00327D63"/>
    <w:rsid w:val="00327D73"/>
    <w:rsid w:val="00327E69"/>
    <w:rsid w:val="003301FA"/>
    <w:rsid w:val="00330341"/>
    <w:rsid w:val="00330375"/>
    <w:rsid w:val="003304FB"/>
    <w:rsid w:val="00330689"/>
    <w:rsid w:val="00330773"/>
    <w:rsid w:val="00330829"/>
    <w:rsid w:val="00330E51"/>
    <w:rsid w:val="00330ECB"/>
    <w:rsid w:val="00330F4F"/>
    <w:rsid w:val="0033120A"/>
    <w:rsid w:val="003312A3"/>
    <w:rsid w:val="003312B9"/>
    <w:rsid w:val="0033154D"/>
    <w:rsid w:val="00331633"/>
    <w:rsid w:val="003316E9"/>
    <w:rsid w:val="0033171F"/>
    <w:rsid w:val="00331787"/>
    <w:rsid w:val="003317E7"/>
    <w:rsid w:val="0033187C"/>
    <w:rsid w:val="00331E19"/>
    <w:rsid w:val="00331EDD"/>
    <w:rsid w:val="0033209D"/>
    <w:rsid w:val="0033219F"/>
    <w:rsid w:val="00332265"/>
    <w:rsid w:val="00332391"/>
    <w:rsid w:val="003326EC"/>
    <w:rsid w:val="003329A3"/>
    <w:rsid w:val="00332C69"/>
    <w:rsid w:val="00332C6D"/>
    <w:rsid w:val="00332CEF"/>
    <w:rsid w:val="00332CFC"/>
    <w:rsid w:val="00332D87"/>
    <w:rsid w:val="00332E0D"/>
    <w:rsid w:val="00332E6E"/>
    <w:rsid w:val="00332ED7"/>
    <w:rsid w:val="00332EE5"/>
    <w:rsid w:val="00332F88"/>
    <w:rsid w:val="003330D3"/>
    <w:rsid w:val="003334B2"/>
    <w:rsid w:val="0033361A"/>
    <w:rsid w:val="0033361F"/>
    <w:rsid w:val="00333916"/>
    <w:rsid w:val="0033410F"/>
    <w:rsid w:val="00334224"/>
    <w:rsid w:val="003342AC"/>
    <w:rsid w:val="003342F1"/>
    <w:rsid w:val="00334502"/>
    <w:rsid w:val="003345C7"/>
    <w:rsid w:val="0033463C"/>
    <w:rsid w:val="00334B89"/>
    <w:rsid w:val="00334C96"/>
    <w:rsid w:val="00334CAB"/>
    <w:rsid w:val="00335194"/>
    <w:rsid w:val="003352FB"/>
    <w:rsid w:val="00335428"/>
    <w:rsid w:val="0033552F"/>
    <w:rsid w:val="00335861"/>
    <w:rsid w:val="003358F8"/>
    <w:rsid w:val="00335A48"/>
    <w:rsid w:val="00335AC0"/>
    <w:rsid w:val="00335CF3"/>
    <w:rsid w:val="00335D08"/>
    <w:rsid w:val="00336171"/>
    <w:rsid w:val="003361D4"/>
    <w:rsid w:val="00336498"/>
    <w:rsid w:val="003365D7"/>
    <w:rsid w:val="00336615"/>
    <w:rsid w:val="00336724"/>
    <w:rsid w:val="0033683D"/>
    <w:rsid w:val="003368B9"/>
    <w:rsid w:val="00336C5D"/>
    <w:rsid w:val="00336DA0"/>
    <w:rsid w:val="00336F7B"/>
    <w:rsid w:val="00337056"/>
    <w:rsid w:val="00337153"/>
    <w:rsid w:val="003371F5"/>
    <w:rsid w:val="003374E0"/>
    <w:rsid w:val="0033752A"/>
    <w:rsid w:val="003376F0"/>
    <w:rsid w:val="0033799C"/>
    <w:rsid w:val="00337A7B"/>
    <w:rsid w:val="00337D02"/>
    <w:rsid w:val="00337DFA"/>
    <w:rsid w:val="00337E79"/>
    <w:rsid w:val="0034010F"/>
    <w:rsid w:val="003401A3"/>
    <w:rsid w:val="003401B8"/>
    <w:rsid w:val="0034022B"/>
    <w:rsid w:val="0034036D"/>
    <w:rsid w:val="0034039D"/>
    <w:rsid w:val="0034058F"/>
    <w:rsid w:val="003406FA"/>
    <w:rsid w:val="00340A1E"/>
    <w:rsid w:val="00340B14"/>
    <w:rsid w:val="00340B40"/>
    <w:rsid w:val="00340C5A"/>
    <w:rsid w:val="00340CBC"/>
    <w:rsid w:val="00340D16"/>
    <w:rsid w:val="00341055"/>
    <w:rsid w:val="003411EA"/>
    <w:rsid w:val="003412B0"/>
    <w:rsid w:val="00341313"/>
    <w:rsid w:val="003414D5"/>
    <w:rsid w:val="00341551"/>
    <w:rsid w:val="0034181E"/>
    <w:rsid w:val="0034182E"/>
    <w:rsid w:val="003418F3"/>
    <w:rsid w:val="00341C4C"/>
    <w:rsid w:val="00341C6E"/>
    <w:rsid w:val="00341E33"/>
    <w:rsid w:val="0034202C"/>
    <w:rsid w:val="0034221B"/>
    <w:rsid w:val="00342736"/>
    <w:rsid w:val="00342806"/>
    <w:rsid w:val="00342CF5"/>
    <w:rsid w:val="00342D50"/>
    <w:rsid w:val="00342D7E"/>
    <w:rsid w:val="00342DFD"/>
    <w:rsid w:val="00342E49"/>
    <w:rsid w:val="00342EB8"/>
    <w:rsid w:val="00342F23"/>
    <w:rsid w:val="00343316"/>
    <w:rsid w:val="003433A1"/>
    <w:rsid w:val="00343483"/>
    <w:rsid w:val="00343554"/>
    <w:rsid w:val="00343825"/>
    <w:rsid w:val="0034382F"/>
    <w:rsid w:val="00343AB2"/>
    <w:rsid w:val="00343D80"/>
    <w:rsid w:val="00343F1E"/>
    <w:rsid w:val="00344176"/>
    <w:rsid w:val="003444FC"/>
    <w:rsid w:val="00344576"/>
    <w:rsid w:val="00344689"/>
    <w:rsid w:val="00344707"/>
    <w:rsid w:val="003447A7"/>
    <w:rsid w:val="00344880"/>
    <w:rsid w:val="00344AAB"/>
    <w:rsid w:val="00344B69"/>
    <w:rsid w:val="00344C1E"/>
    <w:rsid w:val="00344CAD"/>
    <w:rsid w:val="00344D5E"/>
    <w:rsid w:val="00344F88"/>
    <w:rsid w:val="00345174"/>
    <w:rsid w:val="0034540E"/>
    <w:rsid w:val="0034562E"/>
    <w:rsid w:val="00345681"/>
    <w:rsid w:val="0034587F"/>
    <w:rsid w:val="00345A7F"/>
    <w:rsid w:val="00345C97"/>
    <w:rsid w:val="00345D1A"/>
    <w:rsid w:val="0034619A"/>
    <w:rsid w:val="003461EC"/>
    <w:rsid w:val="003463D4"/>
    <w:rsid w:val="003463DA"/>
    <w:rsid w:val="00346580"/>
    <w:rsid w:val="0034680D"/>
    <w:rsid w:val="0034684A"/>
    <w:rsid w:val="0034686B"/>
    <w:rsid w:val="00346A18"/>
    <w:rsid w:val="00346A91"/>
    <w:rsid w:val="00346ABA"/>
    <w:rsid w:val="00346B5E"/>
    <w:rsid w:val="00346EC9"/>
    <w:rsid w:val="00346EFD"/>
    <w:rsid w:val="00347139"/>
    <w:rsid w:val="00347181"/>
    <w:rsid w:val="003471E9"/>
    <w:rsid w:val="003472E1"/>
    <w:rsid w:val="00347311"/>
    <w:rsid w:val="00347627"/>
    <w:rsid w:val="00347686"/>
    <w:rsid w:val="00347957"/>
    <w:rsid w:val="00347B18"/>
    <w:rsid w:val="00347D9C"/>
    <w:rsid w:val="003500B1"/>
    <w:rsid w:val="003501BB"/>
    <w:rsid w:val="003501F6"/>
    <w:rsid w:val="0035023D"/>
    <w:rsid w:val="003503E7"/>
    <w:rsid w:val="0035065A"/>
    <w:rsid w:val="003508B3"/>
    <w:rsid w:val="00350BD6"/>
    <w:rsid w:val="00350C04"/>
    <w:rsid w:val="00350D3C"/>
    <w:rsid w:val="00350ED1"/>
    <w:rsid w:val="003510C4"/>
    <w:rsid w:val="0035121F"/>
    <w:rsid w:val="0035140C"/>
    <w:rsid w:val="003515B2"/>
    <w:rsid w:val="0035161F"/>
    <w:rsid w:val="003519CA"/>
    <w:rsid w:val="00351A56"/>
    <w:rsid w:val="00351B1B"/>
    <w:rsid w:val="00351BC9"/>
    <w:rsid w:val="00351BE9"/>
    <w:rsid w:val="00351D26"/>
    <w:rsid w:val="00351DA8"/>
    <w:rsid w:val="00351E66"/>
    <w:rsid w:val="00351ECA"/>
    <w:rsid w:val="00351FA3"/>
    <w:rsid w:val="00352450"/>
    <w:rsid w:val="0035250A"/>
    <w:rsid w:val="0035251F"/>
    <w:rsid w:val="00352564"/>
    <w:rsid w:val="003525DF"/>
    <w:rsid w:val="0035283F"/>
    <w:rsid w:val="00352870"/>
    <w:rsid w:val="00352987"/>
    <w:rsid w:val="00352D81"/>
    <w:rsid w:val="003530A9"/>
    <w:rsid w:val="00353294"/>
    <w:rsid w:val="00353370"/>
    <w:rsid w:val="0035345E"/>
    <w:rsid w:val="003534C4"/>
    <w:rsid w:val="00353752"/>
    <w:rsid w:val="003539A0"/>
    <w:rsid w:val="00353A2E"/>
    <w:rsid w:val="00353A47"/>
    <w:rsid w:val="00353E91"/>
    <w:rsid w:val="00353F11"/>
    <w:rsid w:val="00353F7E"/>
    <w:rsid w:val="00353F97"/>
    <w:rsid w:val="00354043"/>
    <w:rsid w:val="0035409A"/>
    <w:rsid w:val="00354410"/>
    <w:rsid w:val="003547B0"/>
    <w:rsid w:val="0035489E"/>
    <w:rsid w:val="00354B78"/>
    <w:rsid w:val="00354C86"/>
    <w:rsid w:val="00354E9F"/>
    <w:rsid w:val="00354ED0"/>
    <w:rsid w:val="003551A6"/>
    <w:rsid w:val="003552A8"/>
    <w:rsid w:val="003554B0"/>
    <w:rsid w:val="00355584"/>
    <w:rsid w:val="00355A2A"/>
    <w:rsid w:val="00355D03"/>
    <w:rsid w:val="00355F33"/>
    <w:rsid w:val="0035616B"/>
    <w:rsid w:val="00356261"/>
    <w:rsid w:val="0035626A"/>
    <w:rsid w:val="00356361"/>
    <w:rsid w:val="003563E0"/>
    <w:rsid w:val="00356607"/>
    <w:rsid w:val="00356828"/>
    <w:rsid w:val="0035698E"/>
    <w:rsid w:val="00356B3C"/>
    <w:rsid w:val="00357424"/>
    <w:rsid w:val="0035747F"/>
    <w:rsid w:val="0035771B"/>
    <w:rsid w:val="00357AD9"/>
    <w:rsid w:val="00357CD2"/>
    <w:rsid w:val="00357D99"/>
    <w:rsid w:val="00357FAF"/>
    <w:rsid w:val="003600D9"/>
    <w:rsid w:val="003601E5"/>
    <w:rsid w:val="003603FE"/>
    <w:rsid w:val="0036053F"/>
    <w:rsid w:val="0036067D"/>
    <w:rsid w:val="003606AD"/>
    <w:rsid w:val="00360772"/>
    <w:rsid w:val="003607BD"/>
    <w:rsid w:val="003607DA"/>
    <w:rsid w:val="00360A5C"/>
    <w:rsid w:val="00360AE2"/>
    <w:rsid w:val="00360B32"/>
    <w:rsid w:val="00360CBC"/>
    <w:rsid w:val="00360D51"/>
    <w:rsid w:val="003615A7"/>
    <w:rsid w:val="003616D2"/>
    <w:rsid w:val="003617F9"/>
    <w:rsid w:val="0036185E"/>
    <w:rsid w:val="003619F8"/>
    <w:rsid w:val="00361D40"/>
    <w:rsid w:val="00361D60"/>
    <w:rsid w:val="00361FF4"/>
    <w:rsid w:val="00362729"/>
    <w:rsid w:val="00362A4C"/>
    <w:rsid w:val="00363496"/>
    <w:rsid w:val="003637FB"/>
    <w:rsid w:val="003638E9"/>
    <w:rsid w:val="0036394A"/>
    <w:rsid w:val="00363979"/>
    <w:rsid w:val="00363ACE"/>
    <w:rsid w:val="00363D4A"/>
    <w:rsid w:val="00363EF8"/>
    <w:rsid w:val="00364378"/>
    <w:rsid w:val="003645B5"/>
    <w:rsid w:val="003649ED"/>
    <w:rsid w:val="00364A37"/>
    <w:rsid w:val="00364B53"/>
    <w:rsid w:val="00364DB1"/>
    <w:rsid w:val="00364E05"/>
    <w:rsid w:val="00364E94"/>
    <w:rsid w:val="00364EC9"/>
    <w:rsid w:val="00365138"/>
    <w:rsid w:val="0036533A"/>
    <w:rsid w:val="003654E7"/>
    <w:rsid w:val="0036572F"/>
    <w:rsid w:val="00365784"/>
    <w:rsid w:val="003658DA"/>
    <w:rsid w:val="00365942"/>
    <w:rsid w:val="00365995"/>
    <w:rsid w:val="003659D1"/>
    <w:rsid w:val="003659EA"/>
    <w:rsid w:val="00365DE9"/>
    <w:rsid w:val="00365E6F"/>
    <w:rsid w:val="00365F56"/>
    <w:rsid w:val="00365F5B"/>
    <w:rsid w:val="003660AD"/>
    <w:rsid w:val="0036610A"/>
    <w:rsid w:val="003661A5"/>
    <w:rsid w:val="00366598"/>
    <w:rsid w:val="00366862"/>
    <w:rsid w:val="0036696B"/>
    <w:rsid w:val="00366B1F"/>
    <w:rsid w:val="00367030"/>
    <w:rsid w:val="003670AC"/>
    <w:rsid w:val="00367517"/>
    <w:rsid w:val="0036759D"/>
    <w:rsid w:val="003675C3"/>
    <w:rsid w:val="00367623"/>
    <w:rsid w:val="00367835"/>
    <w:rsid w:val="00367DDA"/>
    <w:rsid w:val="00367E24"/>
    <w:rsid w:val="0037007B"/>
    <w:rsid w:val="0037021E"/>
    <w:rsid w:val="003703EE"/>
    <w:rsid w:val="00370482"/>
    <w:rsid w:val="00370738"/>
    <w:rsid w:val="00370C16"/>
    <w:rsid w:val="00370D2A"/>
    <w:rsid w:val="00370D3A"/>
    <w:rsid w:val="00370FE4"/>
    <w:rsid w:val="00370FEB"/>
    <w:rsid w:val="00371364"/>
    <w:rsid w:val="00371663"/>
    <w:rsid w:val="0037181D"/>
    <w:rsid w:val="00371973"/>
    <w:rsid w:val="00371B25"/>
    <w:rsid w:val="00371E45"/>
    <w:rsid w:val="003722C5"/>
    <w:rsid w:val="0037239A"/>
    <w:rsid w:val="003723CE"/>
    <w:rsid w:val="0037241C"/>
    <w:rsid w:val="00372521"/>
    <w:rsid w:val="00372ADC"/>
    <w:rsid w:val="00372CE0"/>
    <w:rsid w:val="00372DE5"/>
    <w:rsid w:val="00372E60"/>
    <w:rsid w:val="00372F44"/>
    <w:rsid w:val="003731C7"/>
    <w:rsid w:val="003732DC"/>
    <w:rsid w:val="003732F9"/>
    <w:rsid w:val="00373300"/>
    <w:rsid w:val="00373721"/>
    <w:rsid w:val="00373A55"/>
    <w:rsid w:val="00373C5F"/>
    <w:rsid w:val="00373E86"/>
    <w:rsid w:val="00373EAF"/>
    <w:rsid w:val="00374051"/>
    <w:rsid w:val="00374173"/>
    <w:rsid w:val="00374213"/>
    <w:rsid w:val="003743E3"/>
    <w:rsid w:val="003744D7"/>
    <w:rsid w:val="003746F6"/>
    <w:rsid w:val="0037473E"/>
    <w:rsid w:val="0037488A"/>
    <w:rsid w:val="0037496A"/>
    <w:rsid w:val="00374F34"/>
    <w:rsid w:val="003754BD"/>
    <w:rsid w:val="003757EC"/>
    <w:rsid w:val="003758C8"/>
    <w:rsid w:val="003758DB"/>
    <w:rsid w:val="00375FD8"/>
    <w:rsid w:val="0037607B"/>
    <w:rsid w:val="0037663F"/>
    <w:rsid w:val="0037668C"/>
    <w:rsid w:val="0037677B"/>
    <w:rsid w:val="00376A31"/>
    <w:rsid w:val="00376C1E"/>
    <w:rsid w:val="00376C49"/>
    <w:rsid w:val="00376C9B"/>
    <w:rsid w:val="00376D9D"/>
    <w:rsid w:val="00376DF3"/>
    <w:rsid w:val="00376E73"/>
    <w:rsid w:val="00376F05"/>
    <w:rsid w:val="00377145"/>
    <w:rsid w:val="003772B5"/>
    <w:rsid w:val="003774F5"/>
    <w:rsid w:val="0037752C"/>
    <w:rsid w:val="0037757E"/>
    <w:rsid w:val="0037768C"/>
    <w:rsid w:val="00377723"/>
    <w:rsid w:val="003778FE"/>
    <w:rsid w:val="00377910"/>
    <w:rsid w:val="00377BF9"/>
    <w:rsid w:val="00377BFB"/>
    <w:rsid w:val="00377E04"/>
    <w:rsid w:val="00377E8A"/>
    <w:rsid w:val="00380062"/>
    <w:rsid w:val="003803C4"/>
    <w:rsid w:val="003804E6"/>
    <w:rsid w:val="00380524"/>
    <w:rsid w:val="003806D2"/>
    <w:rsid w:val="003807D2"/>
    <w:rsid w:val="00380B06"/>
    <w:rsid w:val="00380C08"/>
    <w:rsid w:val="00380CAA"/>
    <w:rsid w:val="00381023"/>
    <w:rsid w:val="003810ED"/>
    <w:rsid w:val="00381158"/>
    <w:rsid w:val="003813A1"/>
    <w:rsid w:val="0038159E"/>
    <w:rsid w:val="003816C4"/>
    <w:rsid w:val="0038186F"/>
    <w:rsid w:val="00381B32"/>
    <w:rsid w:val="00381BD1"/>
    <w:rsid w:val="00381D93"/>
    <w:rsid w:val="003820F6"/>
    <w:rsid w:val="00382348"/>
    <w:rsid w:val="003824E0"/>
    <w:rsid w:val="00382705"/>
    <w:rsid w:val="003827BD"/>
    <w:rsid w:val="003827D1"/>
    <w:rsid w:val="00382827"/>
    <w:rsid w:val="003829BF"/>
    <w:rsid w:val="00382A40"/>
    <w:rsid w:val="00382D63"/>
    <w:rsid w:val="00382D9C"/>
    <w:rsid w:val="00382E9F"/>
    <w:rsid w:val="00382FBD"/>
    <w:rsid w:val="003831B8"/>
    <w:rsid w:val="00383486"/>
    <w:rsid w:val="003837AF"/>
    <w:rsid w:val="003838E7"/>
    <w:rsid w:val="00383A62"/>
    <w:rsid w:val="00383BB0"/>
    <w:rsid w:val="00383BE3"/>
    <w:rsid w:val="00383C8E"/>
    <w:rsid w:val="00383D69"/>
    <w:rsid w:val="00383D78"/>
    <w:rsid w:val="00383E64"/>
    <w:rsid w:val="00384095"/>
    <w:rsid w:val="003840C3"/>
    <w:rsid w:val="00384261"/>
    <w:rsid w:val="003842B2"/>
    <w:rsid w:val="003842B8"/>
    <w:rsid w:val="003846BD"/>
    <w:rsid w:val="0038488D"/>
    <w:rsid w:val="003848D7"/>
    <w:rsid w:val="00384929"/>
    <w:rsid w:val="00384A6B"/>
    <w:rsid w:val="00384E4D"/>
    <w:rsid w:val="003852AA"/>
    <w:rsid w:val="00385481"/>
    <w:rsid w:val="003854B5"/>
    <w:rsid w:val="0038589D"/>
    <w:rsid w:val="00385A7D"/>
    <w:rsid w:val="00385ADD"/>
    <w:rsid w:val="00385C90"/>
    <w:rsid w:val="00385D63"/>
    <w:rsid w:val="00385D93"/>
    <w:rsid w:val="00385DE2"/>
    <w:rsid w:val="00386145"/>
    <w:rsid w:val="00386320"/>
    <w:rsid w:val="00386350"/>
    <w:rsid w:val="0038643F"/>
    <w:rsid w:val="00386529"/>
    <w:rsid w:val="003866A2"/>
    <w:rsid w:val="0038687E"/>
    <w:rsid w:val="00386885"/>
    <w:rsid w:val="00386BAF"/>
    <w:rsid w:val="00386EC8"/>
    <w:rsid w:val="00386EFF"/>
    <w:rsid w:val="0038703A"/>
    <w:rsid w:val="00387298"/>
    <w:rsid w:val="003873C2"/>
    <w:rsid w:val="003876E8"/>
    <w:rsid w:val="00387736"/>
    <w:rsid w:val="003878CD"/>
    <w:rsid w:val="00387A54"/>
    <w:rsid w:val="00387A72"/>
    <w:rsid w:val="00387B94"/>
    <w:rsid w:val="00387C5D"/>
    <w:rsid w:val="00387EEF"/>
    <w:rsid w:val="0039016E"/>
    <w:rsid w:val="00390365"/>
    <w:rsid w:val="00390478"/>
    <w:rsid w:val="0039050C"/>
    <w:rsid w:val="0039060D"/>
    <w:rsid w:val="00390F16"/>
    <w:rsid w:val="003910A1"/>
    <w:rsid w:val="00391121"/>
    <w:rsid w:val="00391282"/>
    <w:rsid w:val="003917CE"/>
    <w:rsid w:val="003917F1"/>
    <w:rsid w:val="0039180E"/>
    <w:rsid w:val="00391D88"/>
    <w:rsid w:val="00391D99"/>
    <w:rsid w:val="00391E6C"/>
    <w:rsid w:val="00391FB5"/>
    <w:rsid w:val="0039232E"/>
    <w:rsid w:val="00392379"/>
    <w:rsid w:val="00392752"/>
    <w:rsid w:val="0039291A"/>
    <w:rsid w:val="00392B71"/>
    <w:rsid w:val="00392BD7"/>
    <w:rsid w:val="00392F52"/>
    <w:rsid w:val="00393218"/>
    <w:rsid w:val="0039334D"/>
    <w:rsid w:val="00393379"/>
    <w:rsid w:val="00393386"/>
    <w:rsid w:val="00393848"/>
    <w:rsid w:val="003938E2"/>
    <w:rsid w:val="00393E55"/>
    <w:rsid w:val="00394019"/>
    <w:rsid w:val="00394151"/>
    <w:rsid w:val="003941D8"/>
    <w:rsid w:val="00394255"/>
    <w:rsid w:val="00394325"/>
    <w:rsid w:val="0039454F"/>
    <w:rsid w:val="003945D0"/>
    <w:rsid w:val="00394C79"/>
    <w:rsid w:val="00394D36"/>
    <w:rsid w:val="00394FF8"/>
    <w:rsid w:val="00394FFB"/>
    <w:rsid w:val="00395285"/>
    <w:rsid w:val="0039533B"/>
    <w:rsid w:val="003956C2"/>
    <w:rsid w:val="00395752"/>
    <w:rsid w:val="00395873"/>
    <w:rsid w:val="003958FA"/>
    <w:rsid w:val="00395957"/>
    <w:rsid w:val="00395E37"/>
    <w:rsid w:val="003965EC"/>
    <w:rsid w:val="00396B05"/>
    <w:rsid w:val="00396B78"/>
    <w:rsid w:val="00397131"/>
    <w:rsid w:val="003972A9"/>
    <w:rsid w:val="003972D3"/>
    <w:rsid w:val="0039733D"/>
    <w:rsid w:val="003974AA"/>
    <w:rsid w:val="00397882"/>
    <w:rsid w:val="00397A4E"/>
    <w:rsid w:val="00397ACA"/>
    <w:rsid w:val="00397BDE"/>
    <w:rsid w:val="00397C91"/>
    <w:rsid w:val="00397CFC"/>
    <w:rsid w:val="00397E73"/>
    <w:rsid w:val="003A0233"/>
    <w:rsid w:val="003A0390"/>
    <w:rsid w:val="003A0598"/>
    <w:rsid w:val="003A06D3"/>
    <w:rsid w:val="003A0987"/>
    <w:rsid w:val="003A0A5C"/>
    <w:rsid w:val="003A0C14"/>
    <w:rsid w:val="003A0CB9"/>
    <w:rsid w:val="003A0FE2"/>
    <w:rsid w:val="003A134E"/>
    <w:rsid w:val="003A150A"/>
    <w:rsid w:val="003A167C"/>
    <w:rsid w:val="003A1703"/>
    <w:rsid w:val="003A191A"/>
    <w:rsid w:val="003A1B20"/>
    <w:rsid w:val="003A1CCE"/>
    <w:rsid w:val="003A1F43"/>
    <w:rsid w:val="003A203C"/>
    <w:rsid w:val="003A2123"/>
    <w:rsid w:val="003A2150"/>
    <w:rsid w:val="003A22BC"/>
    <w:rsid w:val="003A2445"/>
    <w:rsid w:val="003A2499"/>
    <w:rsid w:val="003A258E"/>
    <w:rsid w:val="003A2605"/>
    <w:rsid w:val="003A26C4"/>
    <w:rsid w:val="003A29A0"/>
    <w:rsid w:val="003A2A62"/>
    <w:rsid w:val="003A2ADD"/>
    <w:rsid w:val="003A2CAB"/>
    <w:rsid w:val="003A2DCD"/>
    <w:rsid w:val="003A3072"/>
    <w:rsid w:val="003A3663"/>
    <w:rsid w:val="003A36FF"/>
    <w:rsid w:val="003A375E"/>
    <w:rsid w:val="003A37C6"/>
    <w:rsid w:val="003A38F5"/>
    <w:rsid w:val="003A39DB"/>
    <w:rsid w:val="003A3C71"/>
    <w:rsid w:val="003A3D1D"/>
    <w:rsid w:val="003A3E52"/>
    <w:rsid w:val="003A3E91"/>
    <w:rsid w:val="003A422C"/>
    <w:rsid w:val="003A45DE"/>
    <w:rsid w:val="003A4737"/>
    <w:rsid w:val="003A4B42"/>
    <w:rsid w:val="003A4BF1"/>
    <w:rsid w:val="003A4E2C"/>
    <w:rsid w:val="003A4F9F"/>
    <w:rsid w:val="003A51C2"/>
    <w:rsid w:val="003A51D3"/>
    <w:rsid w:val="003A5364"/>
    <w:rsid w:val="003A5487"/>
    <w:rsid w:val="003A5567"/>
    <w:rsid w:val="003A5C31"/>
    <w:rsid w:val="003A5CA5"/>
    <w:rsid w:val="003A5D17"/>
    <w:rsid w:val="003A5EBF"/>
    <w:rsid w:val="003A5ED7"/>
    <w:rsid w:val="003A6000"/>
    <w:rsid w:val="003A6022"/>
    <w:rsid w:val="003A6241"/>
    <w:rsid w:val="003A6430"/>
    <w:rsid w:val="003A6749"/>
    <w:rsid w:val="003A69FD"/>
    <w:rsid w:val="003A6C9C"/>
    <w:rsid w:val="003A6C9E"/>
    <w:rsid w:val="003A6CDA"/>
    <w:rsid w:val="003A6D02"/>
    <w:rsid w:val="003A6EA8"/>
    <w:rsid w:val="003A6F99"/>
    <w:rsid w:val="003A715E"/>
    <w:rsid w:val="003A71C1"/>
    <w:rsid w:val="003A7385"/>
    <w:rsid w:val="003A75A9"/>
    <w:rsid w:val="003A75D9"/>
    <w:rsid w:val="003A7647"/>
    <w:rsid w:val="003A7772"/>
    <w:rsid w:val="003A7E12"/>
    <w:rsid w:val="003A7EA5"/>
    <w:rsid w:val="003A7EEE"/>
    <w:rsid w:val="003B0476"/>
    <w:rsid w:val="003B062B"/>
    <w:rsid w:val="003B075D"/>
    <w:rsid w:val="003B0C09"/>
    <w:rsid w:val="003B0EE1"/>
    <w:rsid w:val="003B0FC3"/>
    <w:rsid w:val="003B105A"/>
    <w:rsid w:val="003B1461"/>
    <w:rsid w:val="003B14B1"/>
    <w:rsid w:val="003B15BC"/>
    <w:rsid w:val="003B164D"/>
    <w:rsid w:val="003B16B1"/>
    <w:rsid w:val="003B1704"/>
    <w:rsid w:val="003B19CC"/>
    <w:rsid w:val="003B1DE8"/>
    <w:rsid w:val="003B1DF0"/>
    <w:rsid w:val="003B20A0"/>
    <w:rsid w:val="003B20BD"/>
    <w:rsid w:val="003B2301"/>
    <w:rsid w:val="003B23B9"/>
    <w:rsid w:val="003B2404"/>
    <w:rsid w:val="003B24D6"/>
    <w:rsid w:val="003B274E"/>
    <w:rsid w:val="003B27DC"/>
    <w:rsid w:val="003B28F9"/>
    <w:rsid w:val="003B2C6B"/>
    <w:rsid w:val="003B2DB8"/>
    <w:rsid w:val="003B2EB1"/>
    <w:rsid w:val="003B2EE5"/>
    <w:rsid w:val="003B30BE"/>
    <w:rsid w:val="003B3161"/>
    <w:rsid w:val="003B317B"/>
    <w:rsid w:val="003B335D"/>
    <w:rsid w:val="003B35B2"/>
    <w:rsid w:val="003B3731"/>
    <w:rsid w:val="003B37A5"/>
    <w:rsid w:val="003B3BB6"/>
    <w:rsid w:val="003B3E2D"/>
    <w:rsid w:val="003B3E9C"/>
    <w:rsid w:val="003B41B1"/>
    <w:rsid w:val="003B41D4"/>
    <w:rsid w:val="003B427F"/>
    <w:rsid w:val="003B42AF"/>
    <w:rsid w:val="003B43E2"/>
    <w:rsid w:val="003B4554"/>
    <w:rsid w:val="003B49F3"/>
    <w:rsid w:val="003B4A31"/>
    <w:rsid w:val="003B4AA9"/>
    <w:rsid w:val="003B4B05"/>
    <w:rsid w:val="003B5026"/>
    <w:rsid w:val="003B50DD"/>
    <w:rsid w:val="003B5246"/>
    <w:rsid w:val="003B534A"/>
    <w:rsid w:val="003B53DB"/>
    <w:rsid w:val="003B57B9"/>
    <w:rsid w:val="003B587E"/>
    <w:rsid w:val="003B5936"/>
    <w:rsid w:val="003B5BFE"/>
    <w:rsid w:val="003B5CB9"/>
    <w:rsid w:val="003B5E00"/>
    <w:rsid w:val="003B5E0B"/>
    <w:rsid w:val="003B6179"/>
    <w:rsid w:val="003B61AB"/>
    <w:rsid w:val="003B61EB"/>
    <w:rsid w:val="003B6582"/>
    <w:rsid w:val="003B676A"/>
    <w:rsid w:val="003B67BE"/>
    <w:rsid w:val="003B695B"/>
    <w:rsid w:val="003B69B9"/>
    <w:rsid w:val="003B6B1A"/>
    <w:rsid w:val="003B7076"/>
    <w:rsid w:val="003B72E5"/>
    <w:rsid w:val="003B7525"/>
    <w:rsid w:val="003B7677"/>
    <w:rsid w:val="003B76CE"/>
    <w:rsid w:val="003B7801"/>
    <w:rsid w:val="003B7A1B"/>
    <w:rsid w:val="003C02E3"/>
    <w:rsid w:val="003C035E"/>
    <w:rsid w:val="003C0691"/>
    <w:rsid w:val="003C06F0"/>
    <w:rsid w:val="003C0765"/>
    <w:rsid w:val="003C0D77"/>
    <w:rsid w:val="003C0F6D"/>
    <w:rsid w:val="003C10F9"/>
    <w:rsid w:val="003C12DF"/>
    <w:rsid w:val="003C154E"/>
    <w:rsid w:val="003C15DC"/>
    <w:rsid w:val="003C15F8"/>
    <w:rsid w:val="003C1804"/>
    <w:rsid w:val="003C1826"/>
    <w:rsid w:val="003C1900"/>
    <w:rsid w:val="003C1985"/>
    <w:rsid w:val="003C1A00"/>
    <w:rsid w:val="003C1A42"/>
    <w:rsid w:val="003C1C4A"/>
    <w:rsid w:val="003C1CCB"/>
    <w:rsid w:val="003C1D94"/>
    <w:rsid w:val="003C1E5D"/>
    <w:rsid w:val="003C2248"/>
    <w:rsid w:val="003C2485"/>
    <w:rsid w:val="003C25EC"/>
    <w:rsid w:val="003C29D9"/>
    <w:rsid w:val="003C2BAF"/>
    <w:rsid w:val="003C2BC8"/>
    <w:rsid w:val="003C2C47"/>
    <w:rsid w:val="003C2E93"/>
    <w:rsid w:val="003C2EF2"/>
    <w:rsid w:val="003C3024"/>
    <w:rsid w:val="003C3095"/>
    <w:rsid w:val="003C322F"/>
    <w:rsid w:val="003C3463"/>
    <w:rsid w:val="003C3480"/>
    <w:rsid w:val="003C36D6"/>
    <w:rsid w:val="003C37FC"/>
    <w:rsid w:val="003C38E4"/>
    <w:rsid w:val="003C3A8B"/>
    <w:rsid w:val="003C3CFD"/>
    <w:rsid w:val="003C3F59"/>
    <w:rsid w:val="003C3F8C"/>
    <w:rsid w:val="003C3FC9"/>
    <w:rsid w:val="003C40D4"/>
    <w:rsid w:val="003C445C"/>
    <w:rsid w:val="003C45E9"/>
    <w:rsid w:val="003C46B5"/>
    <w:rsid w:val="003C4871"/>
    <w:rsid w:val="003C493E"/>
    <w:rsid w:val="003C4966"/>
    <w:rsid w:val="003C4BED"/>
    <w:rsid w:val="003C4DC2"/>
    <w:rsid w:val="003C5044"/>
    <w:rsid w:val="003C52EF"/>
    <w:rsid w:val="003C5509"/>
    <w:rsid w:val="003C55A7"/>
    <w:rsid w:val="003C56CA"/>
    <w:rsid w:val="003C5875"/>
    <w:rsid w:val="003C58A4"/>
    <w:rsid w:val="003C5948"/>
    <w:rsid w:val="003C59ED"/>
    <w:rsid w:val="003C5AAD"/>
    <w:rsid w:val="003C5E36"/>
    <w:rsid w:val="003C5ED5"/>
    <w:rsid w:val="003C5F5E"/>
    <w:rsid w:val="003C5FA1"/>
    <w:rsid w:val="003C6369"/>
    <w:rsid w:val="003C6526"/>
    <w:rsid w:val="003C662B"/>
    <w:rsid w:val="003C688C"/>
    <w:rsid w:val="003C68B6"/>
    <w:rsid w:val="003C68D2"/>
    <w:rsid w:val="003C6A5E"/>
    <w:rsid w:val="003C6E0D"/>
    <w:rsid w:val="003C6ECE"/>
    <w:rsid w:val="003C6F7B"/>
    <w:rsid w:val="003C763E"/>
    <w:rsid w:val="003C770A"/>
    <w:rsid w:val="003C785E"/>
    <w:rsid w:val="003C799B"/>
    <w:rsid w:val="003C79CC"/>
    <w:rsid w:val="003C7AEB"/>
    <w:rsid w:val="003C7EC4"/>
    <w:rsid w:val="003D0112"/>
    <w:rsid w:val="003D017B"/>
    <w:rsid w:val="003D0341"/>
    <w:rsid w:val="003D0673"/>
    <w:rsid w:val="003D06FB"/>
    <w:rsid w:val="003D0702"/>
    <w:rsid w:val="003D079C"/>
    <w:rsid w:val="003D0A47"/>
    <w:rsid w:val="003D0B2A"/>
    <w:rsid w:val="003D0B6F"/>
    <w:rsid w:val="003D0C18"/>
    <w:rsid w:val="003D0E70"/>
    <w:rsid w:val="003D106F"/>
    <w:rsid w:val="003D1088"/>
    <w:rsid w:val="003D1214"/>
    <w:rsid w:val="003D1493"/>
    <w:rsid w:val="003D1511"/>
    <w:rsid w:val="003D157D"/>
    <w:rsid w:val="003D178A"/>
    <w:rsid w:val="003D17CE"/>
    <w:rsid w:val="003D17DD"/>
    <w:rsid w:val="003D18A9"/>
    <w:rsid w:val="003D1B25"/>
    <w:rsid w:val="003D1B5B"/>
    <w:rsid w:val="003D1C8C"/>
    <w:rsid w:val="003D1E8C"/>
    <w:rsid w:val="003D2026"/>
    <w:rsid w:val="003D2049"/>
    <w:rsid w:val="003D204A"/>
    <w:rsid w:val="003D2338"/>
    <w:rsid w:val="003D248B"/>
    <w:rsid w:val="003D25E8"/>
    <w:rsid w:val="003D2683"/>
    <w:rsid w:val="003D2725"/>
    <w:rsid w:val="003D28FA"/>
    <w:rsid w:val="003D29E8"/>
    <w:rsid w:val="003D2B8E"/>
    <w:rsid w:val="003D2DFB"/>
    <w:rsid w:val="003D2E3E"/>
    <w:rsid w:val="003D32F5"/>
    <w:rsid w:val="003D3436"/>
    <w:rsid w:val="003D3480"/>
    <w:rsid w:val="003D3574"/>
    <w:rsid w:val="003D377C"/>
    <w:rsid w:val="003D38C5"/>
    <w:rsid w:val="003D38EB"/>
    <w:rsid w:val="003D3A9E"/>
    <w:rsid w:val="003D3AAA"/>
    <w:rsid w:val="003D3E07"/>
    <w:rsid w:val="003D3F43"/>
    <w:rsid w:val="003D3F57"/>
    <w:rsid w:val="003D401A"/>
    <w:rsid w:val="003D407F"/>
    <w:rsid w:val="003D40A0"/>
    <w:rsid w:val="003D4154"/>
    <w:rsid w:val="003D4257"/>
    <w:rsid w:val="003D42FB"/>
    <w:rsid w:val="003D434A"/>
    <w:rsid w:val="003D465C"/>
    <w:rsid w:val="003D46E2"/>
    <w:rsid w:val="003D47D4"/>
    <w:rsid w:val="003D4C90"/>
    <w:rsid w:val="003D4E37"/>
    <w:rsid w:val="003D4E77"/>
    <w:rsid w:val="003D5067"/>
    <w:rsid w:val="003D51D5"/>
    <w:rsid w:val="003D52FB"/>
    <w:rsid w:val="003D54CD"/>
    <w:rsid w:val="003D5620"/>
    <w:rsid w:val="003D5679"/>
    <w:rsid w:val="003D5782"/>
    <w:rsid w:val="003D584D"/>
    <w:rsid w:val="003D58D9"/>
    <w:rsid w:val="003D5A5C"/>
    <w:rsid w:val="003D5C9B"/>
    <w:rsid w:val="003D5F57"/>
    <w:rsid w:val="003D617F"/>
    <w:rsid w:val="003D62D4"/>
    <w:rsid w:val="003D632A"/>
    <w:rsid w:val="003D636E"/>
    <w:rsid w:val="003D6800"/>
    <w:rsid w:val="003D6A02"/>
    <w:rsid w:val="003D6A69"/>
    <w:rsid w:val="003D6B7F"/>
    <w:rsid w:val="003D6BC5"/>
    <w:rsid w:val="003D6D9B"/>
    <w:rsid w:val="003D6F50"/>
    <w:rsid w:val="003D714D"/>
    <w:rsid w:val="003D72C6"/>
    <w:rsid w:val="003D7910"/>
    <w:rsid w:val="003D79DD"/>
    <w:rsid w:val="003D7A26"/>
    <w:rsid w:val="003D7BED"/>
    <w:rsid w:val="003D7C00"/>
    <w:rsid w:val="003D7C56"/>
    <w:rsid w:val="003D7D71"/>
    <w:rsid w:val="003E0300"/>
    <w:rsid w:val="003E061C"/>
    <w:rsid w:val="003E0670"/>
    <w:rsid w:val="003E06C5"/>
    <w:rsid w:val="003E0928"/>
    <w:rsid w:val="003E09DE"/>
    <w:rsid w:val="003E0B24"/>
    <w:rsid w:val="003E0D7B"/>
    <w:rsid w:val="003E0EB9"/>
    <w:rsid w:val="003E0F49"/>
    <w:rsid w:val="003E0FD1"/>
    <w:rsid w:val="003E13DF"/>
    <w:rsid w:val="003E142B"/>
    <w:rsid w:val="003E16A9"/>
    <w:rsid w:val="003E1730"/>
    <w:rsid w:val="003E17D5"/>
    <w:rsid w:val="003E1951"/>
    <w:rsid w:val="003E19C9"/>
    <w:rsid w:val="003E1A37"/>
    <w:rsid w:val="003E1B36"/>
    <w:rsid w:val="003E1CC1"/>
    <w:rsid w:val="003E1CFA"/>
    <w:rsid w:val="003E1DFC"/>
    <w:rsid w:val="003E1E5B"/>
    <w:rsid w:val="003E2157"/>
    <w:rsid w:val="003E22D6"/>
    <w:rsid w:val="003E26C2"/>
    <w:rsid w:val="003E27BD"/>
    <w:rsid w:val="003E27DF"/>
    <w:rsid w:val="003E2EA2"/>
    <w:rsid w:val="003E30CB"/>
    <w:rsid w:val="003E30CE"/>
    <w:rsid w:val="003E3222"/>
    <w:rsid w:val="003E3224"/>
    <w:rsid w:val="003E329B"/>
    <w:rsid w:val="003E32DB"/>
    <w:rsid w:val="003E3307"/>
    <w:rsid w:val="003E330A"/>
    <w:rsid w:val="003E34BC"/>
    <w:rsid w:val="003E3522"/>
    <w:rsid w:val="003E37B1"/>
    <w:rsid w:val="003E37C8"/>
    <w:rsid w:val="003E397C"/>
    <w:rsid w:val="003E3992"/>
    <w:rsid w:val="003E39F1"/>
    <w:rsid w:val="003E3ACD"/>
    <w:rsid w:val="003E3C65"/>
    <w:rsid w:val="003E3D46"/>
    <w:rsid w:val="003E3D53"/>
    <w:rsid w:val="003E3FE4"/>
    <w:rsid w:val="003E4086"/>
    <w:rsid w:val="003E4507"/>
    <w:rsid w:val="003E4619"/>
    <w:rsid w:val="003E46ED"/>
    <w:rsid w:val="003E4AE3"/>
    <w:rsid w:val="003E4AE6"/>
    <w:rsid w:val="003E4CC0"/>
    <w:rsid w:val="003E4D2B"/>
    <w:rsid w:val="003E4DFE"/>
    <w:rsid w:val="003E517E"/>
    <w:rsid w:val="003E52FD"/>
    <w:rsid w:val="003E53EA"/>
    <w:rsid w:val="003E5415"/>
    <w:rsid w:val="003E595F"/>
    <w:rsid w:val="003E5AEC"/>
    <w:rsid w:val="003E5B8B"/>
    <w:rsid w:val="003E6019"/>
    <w:rsid w:val="003E61F6"/>
    <w:rsid w:val="003E640D"/>
    <w:rsid w:val="003E655F"/>
    <w:rsid w:val="003E65F8"/>
    <w:rsid w:val="003E67A5"/>
    <w:rsid w:val="003E67DB"/>
    <w:rsid w:val="003E68B0"/>
    <w:rsid w:val="003E6A71"/>
    <w:rsid w:val="003E6A97"/>
    <w:rsid w:val="003E6DE8"/>
    <w:rsid w:val="003E6E6E"/>
    <w:rsid w:val="003E6FDB"/>
    <w:rsid w:val="003E7305"/>
    <w:rsid w:val="003E7357"/>
    <w:rsid w:val="003E7376"/>
    <w:rsid w:val="003E76A4"/>
    <w:rsid w:val="003E775B"/>
    <w:rsid w:val="003E7958"/>
    <w:rsid w:val="003E7BBB"/>
    <w:rsid w:val="003E7BF7"/>
    <w:rsid w:val="003E7C2B"/>
    <w:rsid w:val="003E7E81"/>
    <w:rsid w:val="003E7FB2"/>
    <w:rsid w:val="003F013E"/>
    <w:rsid w:val="003F01C5"/>
    <w:rsid w:val="003F02EF"/>
    <w:rsid w:val="003F045E"/>
    <w:rsid w:val="003F05DA"/>
    <w:rsid w:val="003F05EB"/>
    <w:rsid w:val="003F0613"/>
    <w:rsid w:val="003F0951"/>
    <w:rsid w:val="003F0D54"/>
    <w:rsid w:val="003F0E7E"/>
    <w:rsid w:val="003F110B"/>
    <w:rsid w:val="003F1492"/>
    <w:rsid w:val="003F16D3"/>
    <w:rsid w:val="003F1786"/>
    <w:rsid w:val="003F189B"/>
    <w:rsid w:val="003F1964"/>
    <w:rsid w:val="003F20FD"/>
    <w:rsid w:val="003F2272"/>
    <w:rsid w:val="003F2813"/>
    <w:rsid w:val="003F296C"/>
    <w:rsid w:val="003F2BAD"/>
    <w:rsid w:val="003F2F4A"/>
    <w:rsid w:val="003F30C3"/>
    <w:rsid w:val="003F3239"/>
    <w:rsid w:val="003F3377"/>
    <w:rsid w:val="003F3585"/>
    <w:rsid w:val="003F359B"/>
    <w:rsid w:val="003F3B15"/>
    <w:rsid w:val="003F3BD2"/>
    <w:rsid w:val="003F3D60"/>
    <w:rsid w:val="003F4268"/>
    <w:rsid w:val="003F472F"/>
    <w:rsid w:val="003F4743"/>
    <w:rsid w:val="003F4874"/>
    <w:rsid w:val="003F491C"/>
    <w:rsid w:val="003F4F63"/>
    <w:rsid w:val="003F503C"/>
    <w:rsid w:val="003F534B"/>
    <w:rsid w:val="003F5521"/>
    <w:rsid w:val="003F5897"/>
    <w:rsid w:val="003F58F5"/>
    <w:rsid w:val="003F5A0F"/>
    <w:rsid w:val="003F5B40"/>
    <w:rsid w:val="003F606C"/>
    <w:rsid w:val="003F606F"/>
    <w:rsid w:val="003F610F"/>
    <w:rsid w:val="003F6123"/>
    <w:rsid w:val="003F6228"/>
    <w:rsid w:val="003F63E5"/>
    <w:rsid w:val="003F6570"/>
    <w:rsid w:val="003F6581"/>
    <w:rsid w:val="003F6BCD"/>
    <w:rsid w:val="003F6BED"/>
    <w:rsid w:val="003F6C3F"/>
    <w:rsid w:val="003F6D3B"/>
    <w:rsid w:val="003F6D61"/>
    <w:rsid w:val="003F72A3"/>
    <w:rsid w:val="003F72AF"/>
    <w:rsid w:val="003F7335"/>
    <w:rsid w:val="003F7495"/>
    <w:rsid w:val="003F76BD"/>
    <w:rsid w:val="003F7D6F"/>
    <w:rsid w:val="003F7DE1"/>
    <w:rsid w:val="003F7E8D"/>
    <w:rsid w:val="003F7F5E"/>
    <w:rsid w:val="003F7FB1"/>
    <w:rsid w:val="004001C4"/>
    <w:rsid w:val="0040022A"/>
    <w:rsid w:val="00400267"/>
    <w:rsid w:val="004004DB"/>
    <w:rsid w:val="0040050E"/>
    <w:rsid w:val="004005A9"/>
    <w:rsid w:val="00400644"/>
    <w:rsid w:val="004007CF"/>
    <w:rsid w:val="004007EA"/>
    <w:rsid w:val="0040081E"/>
    <w:rsid w:val="00400821"/>
    <w:rsid w:val="004008BB"/>
    <w:rsid w:val="004008D0"/>
    <w:rsid w:val="004009D9"/>
    <w:rsid w:val="00400A9E"/>
    <w:rsid w:val="00400D22"/>
    <w:rsid w:val="004010FD"/>
    <w:rsid w:val="0040146F"/>
    <w:rsid w:val="00401584"/>
    <w:rsid w:val="004015AD"/>
    <w:rsid w:val="00401625"/>
    <w:rsid w:val="0040173C"/>
    <w:rsid w:val="004017A1"/>
    <w:rsid w:val="00401C67"/>
    <w:rsid w:val="004020BA"/>
    <w:rsid w:val="0040223F"/>
    <w:rsid w:val="004025F2"/>
    <w:rsid w:val="00402695"/>
    <w:rsid w:val="00402845"/>
    <w:rsid w:val="00402955"/>
    <w:rsid w:val="00402DE5"/>
    <w:rsid w:val="00402E61"/>
    <w:rsid w:val="00402E81"/>
    <w:rsid w:val="00402F1F"/>
    <w:rsid w:val="00403229"/>
    <w:rsid w:val="004034C2"/>
    <w:rsid w:val="004036C9"/>
    <w:rsid w:val="0040383B"/>
    <w:rsid w:val="0040386D"/>
    <w:rsid w:val="00403908"/>
    <w:rsid w:val="00403A32"/>
    <w:rsid w:val="00403A3E"/>
    <w:rsid w:val="00403B38"/>
    <w:rsid w:val="00403B90"/>
    <w:rsid w:val="00403D66"/>
    <w:rsid w:val="0040409A"/>
    <w:rsid w:val="004041A8"/>
    <w:rsid w:val="004041B7"/>
    <w:rsid w:val="004044AC"/>
    <w:rsid w:val="00404746"/>
    <w:rsid w:val="00404A84"/>
    <w:rsid w:val="00404AD1"/>
    <w:rsid w:val="00404D82"/>
    <w:rsid w:val="00404DAD"/>
    <w:rsid w:val="00404E8B"/>
    <w:rsid w:val="00404F9C"/>
    <w:rsid w:val="00405404"/>
    <w:rsid w:val="00405437"/>
    <w:rsid w:val="004054E8"/>
    <w:rsid w:val="00405768"/>
    <w:rsid w:val="00405797"/>
    <w:rsid w:val="004057B4"/>
    <w:rsid w:val="0040591D"/>
    <w:rsid w:val="004059DC"/>
    <w:rsid w:val="00405C57"/>
    <w:rsid w:val="00405DD5"/>
    <w:rsid w:val="00405E3C"/>
    <w:rsid w:val="00405ECB"/>
    <w:rsid w:val="00406068"/>
    <w:rsid w:val="0040619D"/>
    <w:rsid w:val="00406450"/>
    <w:rsid w:val="00406529"/>
    <w:rsid w:val="004065AC"/>
    <w:rsid w:val="004065B0"/>
    <w:rsid w:val="00406612"/>
    <w:rsid w:val="00406CF4"/>
    <w:rsid w:val="00406DC3"/>
    <w:rsid w:val="00406EDB"/>
    <w:rsid w:val="00406F27"/>
    <w:rsid w:val="004072D0"/>
    <w:rsid w:val="004073E9"/>
    <w:rsid w:val="00407600"/>
    <w:rsid w:val="0040761D"/>
    <w:rsid w:val="00407725"/>
    <w:rsid w:val="00407974"/>
    <w:rsid w:val="00407AE1"/>
    <w:rsid w:val="00407C99"/>
    <w:rsid w:val="00407DF8"/>
    <w:rsid w:val="00407E36"/>
    <w:rsid w:val="00407ED6"/>
    <w:rsid w:val="00407EFE"/>
    <w:rsid w:val="00407FD2"/>
    <w:rsid w:val="00410050"/>
    <w:rsid w:val="004100A0"/>
    <w:rsid w:val="00410123"/>
    <w:rsid w:val="0041065D"/>
    <w:rsid w:val="004106B1"/>
    <w:rsid w:val="004106CA"/>
    <w:rsid w:val="00410841"/>
    <w:rsid w:val="004108F0"/>
    <w:rsid w:val="004109B0"/>
    <w:rsid w:val="00410B8F"/>
    <w:rsid w:val="00410D4E"/>
    <w:rsid w:val="004111DE"/>
    <w:rsid w:val="00411213"/>
    <w:rsid w:val="00411233"/>
    <w:rsid w:val="004113ED"/>
    <w:rsid w:val="004119F6"/>
    <w:rsid w:val="00411A31"/>
    <w:rsid w:val="00411F65"/>
    <w:rsid w:val="004120C0"/>
    <w:rsid w:val="0041213C"/>
    <w:rsid w:val="004121D3"/>
    <w:rsid w:val="004122F1"/>
    <w:rsid w:val="00412306"/>
    <w:rsid w:val="0041241B"/>
    <w:rsid w:val="00412642"/>
    <w:rsid w:val="0041274D"/>
    <w:rsid w:val="00412772"/>
    <w:rsid w:val="00412A5A"/>
    <w:rsid w:val="00412BF3"/>
    <w:rsid w:val="00412D13"/>
    <w:rsid w:val="00412E0C"/>
    <w:rsid w:val="0041315A"/>
    <w:rsid w:val="004134E7"/>
    <w:rsid w:val="0041356C"/>
    <w:rsid w:val="00413A75"/>
    <w:rsid w:val="00413C8B"/>
    <w:rsid w:val="004143FF"/>
    <w:rsid w:val="004144EA"/>
    <w:rsid w:val="00414644"/>
    <w:rsid w:val="00414785"/>
    <w:rsid w:val="004148C2"/>
    <w:rsid w:val="00414E05"/>
    <w:rsid w:val="00414F65"/>
    <w:rsid w:val="0041500B"/>
    <w:rsid w:val="004151C0"/>
    <w:rsid w:val="004155E6"/>
    <w:rsid w:val="00415769"/>
    <w:rsid w:val="00415821"/>
    <w:rsid w:val="0041598B"/>
    <w:rsid w:val="00415BAD"/>
    <w:rsid w:val="00415CF4"/>
    <w:rsid w:val="00415D07"/>
    <w:rsid w:val="00415F74"/>
    <w:rsid w:val="00415F77"/>
    <w:rsid w:val="004160AC"/>
    <w:rsid w:val="004163B8"/>
    <w:rsid w:val="004164F8"/>
    <w:rsid w:val="00416977"/>
    <w:rsid w:val="004169CC"/>
    <w:rsid w:val="00416AED"/>
    <w:rsid w:val="00416D2E"/>
    <w:rsid w:val="00417044"/>
    <w:rsid w:val="00417138"/>
    <w:rsid w:val="004171BA"/>
    <w:rsid w:val="0041738B"/>
    <w:rsid w:val="00417738"/>
    <w:rsid w:val="004177AF"/>
    <w:rsid w:val="004177F6"/>
    <w:rsid w:val="0041792F"/>
    <w:rsid w:val="004179CB"/>
    <w:rsid w:val="00417AFB"/>
    <w:rsid w:val="00417C1F"/>
    <w:rsid w:val="00417D67"/>
    <w:rsid w:val="00417F03"/>
    <w:rsid w:val="004200ED"/>
    <w:rsid w:val="00420184"/>
    <w:rsid w:val="00420241"/>
    <w:rsid w:val="00420530"/>
    <w:rsid w:val="00420805"/>
    <w:rsid w:val="004208E0"/>
    <w:rsid w:val="004209B9"/>
    <w:rsid w:val="004209E2"/>
    <w:rsid w:val="00420A57"/>
    <w:rsid w:val="00421908"/>
    <w:rsid w:val="004219DD"/>
    <w:rsid w:val="00421B23"/>
    <w:rsid w:val="00421BD9"/>
    <w:rsid w:val="00421C5C"/>
    <w:rsid w:val="00421FE9"/>
    <w:rsid w:val="004220FA"/>
    <w:rsid w:val="0042232C"/>
    <w:rsid w:val="004225AC"/>
    <w:rsid w:val="0042261E"/>
    <w:rsid w:val="00422789"/>
    <w:rsid w:val="00422B1B"/>
    <w:rsid w:val="00422E7F"/>
    <w:rsid w:val="00422F46"/>
    <w:rsid w:val="00422F86"/>
    <w:rsid w:val="004232E2"/>
    <w:rsid w:val="00423444"/>
    <w:rsid w:val="0042345D"/>
    <w:rsid w:val="00423539"/>
    <w:rsid w:val="004235FE"/>
    <w:rsid w:val="004237E8"/>
    <w:rsid w:val="00423CDC"/>
    <w:rsid w:val="00423D2C"/>
    <w:rsid w:val="00423F2B"/>
    <w:rsid w:val="00423F9C"/>
    <w:rsid w:val="0042406D"/>
    <w:rsid w:val="004240A9"/>
    <w:rsid w:val="00424130"/>
    <w:rsid w:val="004241A9"/>
    <w:rsid w:val="00424229"/>
    <w:rsid w:val="0042422B"/>
    <w:rsid w:val="0042429F"/>
    <w:rsid w:val="00424568"/>
    <w:rsid w:val="004245FF"/>
    <w:rsid w:val="00424654"/>
    <w:rsid w:val="004246F8"/>
    <w:rsid w:val="0042480A"/>
    <w:rsid w:val="00424B38"/>
    <w:rsid w:val="00424B6F"/>
    <w:rsid w:val="00424BC4"/>
    <w:rsid w:val="00424C8A"/>
    <w:rsid w:val="00424D8B"/>
    <w:rsid w:val="00424DA6"/>
    <w:rsid w:val="00424F47"/>
    <w:rsid w:val="00425093"/>
    <w:rsid w:val="004251B4"/>
    <w:rsid w:val="004251B7"/>
    <w:rsid w:val="00425684"/>
    <w:rsid w:val="00425746"/>
    <w:rsid w:val="00425944"/>
    <w:rsid w:val="00425989"/>
    <w:rsid w:val="004260FF"/>
    <w:rsid w:val="0042663F"/>
    <w:rsid w:val="00426749"/>
    <w:rsid w:val="00426A10"/>
    <w:rsid w:val="00426AAC"/>
    <w:rsid w:val="00426E34"/>
    <w:rsid w:val="00427244"/>
    <w:rsid w:val="0042743D"/>
    <w:rsid w:val="0042786B"/>
    <w:rsid w:val="004278E5"/>
    <w:rsid w:val="00427934"/>
    <w:rsid w:val="0042793A"/>
    <w:rsid w:val="00427A73"/>
    <w:rsid w:val="00427EB2"/>
    <w:rsid w:val="00427EDC"/>
    <w:rsid w:val="00427F94"/>
    <w:rsid w:val="004300C9"/>
    <w:rsid w:val="004300FB"/>
    <w:rsid w:val="00430137"/>
    <w:rsid w:val="0043013F"/>
    <w:rsid w:val="0043019B"/>
    <w:rsid w:val="00430404"/>
    <w:rsid w:val="0043042C"/>
    <w:rsid w:val="0043047B"/>
    <w:rsid w:val="00430577"/>
    <w:rsid w:val="004307DB"/>
    <w:rsid w:val="00430823"/>
    <w:rsid w:val="004309B7"/>
    <w:rsid w:val="00430A1B"/>
    <w:rsid w:val="00430FB4"/>
    <w:rsid w:val="00431526"/>
    <w:rsid w:val="004315C6"/>
    <w:rsid w:val="00431B3B"/>
    <w:rsid w:val="00431CC5"/>
    <w:rsid w:val="00431D07"/>
    <w:rsid w:val="00431D9B"/>
    <w:rsid w:val="00431F3C"/>
    <w:rsid w:val="00431F51"/>
    <w:rsid w:val="00431FCF"/>
    <w:rsid w:val="0043202B"/>
    <w:rsid w:val="0043214D"/>
    <w:rsid w:val="00432368"/>
    <w:rsid w:val="00432556"/>
    <w:rsid w:val="00432557"/>
    <w:rsid w:val="004325DE"/>
    <w:rsid w:val="00432629"/>
    <w:rsid w:val="004326C1"/>
    <w:rsid w:val="00432806"/>
    <w:rsid w:val="00432915"/>
    <w:rsid w:val="004329AF"/>
    <w:rsid w:val="004329BB"/>
    <w:rsid w:val="004329E5"/>
    <w:rsid w:val="00432B3B"/>
    <w:rsid w:val="00432B90"/>
    <w:rsid w:val="00432BD0"/>
    <w:rsid w:val="00433034"/>
    <w:rsid w:val="00433055"/>
    <w:rsid w:val="00433249"/>
    <w:rsid w:val="00433478"/>
    <w:rsid w:val="0043359B"/>
    <w:rsid w:val="00433693"/>
    <w:rsid w:val="0043399F"/>
    <w:rsid w:val="004339F9"/>
    <w:rsid w:val="00433A1F"/>
    <w:rsid w:val="00433B20"/>
    <w:rsid w:val="00433CD5"/>
    <w:rsid w:val="00433DB2"/>
    <w:rsid w:val="004342B1"/>
    <w:rsid w:val="004344D4"/>
    <w:rsid w:val="00434536"/>
    <w:rsid w:val="00434561"/>
    <w:rsid w:val="00434667"/>
    <w:rsid w:val="004346B9"/>
    <w:rsid w:val="0043478A"/>
    <w:rsid w:val="004349A5"/>
    <w:rsid w:val="00434D33"/>
    <w:rsid w:val="00434F7B"/>
    <w:rsid w:val="004350BD"/>
    <w:rsid w:val="00435184"/>
    <w:rsid w:val="004351FA"/>
    <w:rsid w:val="00435200"/>
    <w:rsid w:val="00435360"/>
    <w:rsid w:val="0043573E"/>
    <w:rsid w:val="00435947"/>
    <w:rsid w:val="00435A4C"/>
    <w:rsid w:val="00435B2E"/>
    <w:rsid w:val="00435DD4"/>
    <w:rsid w:val="004360FC"/>
    <w:rsid w:val="004362A1"/>
    <w:rsid w:val="00436367"/>
    <w:rsid w:val="004363AF"/>
    <w:rsid w:val="004363B2"/>
    <w:rsid w:val="004365F5"/>
    <w:rsid w:val="004366ED"/>
    <w:rsid w:val="0043670B"/>
    <w:rsid w:val="004367F6"/>
    <w:rsid w:val="00436816"/>
    <w:rsid w:val="0043684A"/>
    <w:rsid w:val="004369AC"/>
    <w:rsid w:val="00436AAE"/>
    <w:rsid w:val="00436BFC"/>
    <w:rsid w:val="00436DBE"/>
    <w:rsid w:val="00436E43"/>
    <w:rsid w:val="00436FA7"/>
    <w:rsid w:val="00436FEE"/>
    <w:rsid w:val="00437291"/>
    <w:rsid w:val="004373DE"/>
    <w:rsid w:val="00437455"/>
    <w:rsid w:val="00437470"/>
    <w:rsid w:val="004376C2"/>
    <w:rsid w:val="004378E2"/>
    <w:rsid w:val="004378E9"/>
    <w:rsid w:val="00437BA5"/>
    <w:rsid w:val="00437BFD"/>
    <w:rsid w:val="00437C10"/>
    <w:rsid w:val="00437DF9"/>
    <w:rsid w:val="00437F66"/>
    <w:rsid w:val="0043BC96"/>
    <w:rsid w:val="00440005"/>
    <w:rsid w:val="00440095"/>
    <w:rsid w:val="00440098"/>
    <w:rsid w:val="0044031A"/>
    <w:rsid w:val="004403A8"/>
    <w:rsid w:val="004404B6"/>
    <w:rsid w:val="004407B3"/>
    <w:rsid w:val="00440A11"/>
    <w:rsid w:val="00440AA3"/>
    <w:rsid w:val="00440C33"/>
    <w:rsid w:val="00440E41"/>
    <w:rsid w:val="00440EC2"/>
    <w:rsid w:val="0044112E"/>
    <w:rsid w:val="004414F2"/>
    <w:rsid w:val="0044157C"/>
    <w:rsid w:val="00441646"/>
    <w:rsid w:val="0044165B"/>
    <w:rsid w:val="0044168B"/>
    <w:rsid w:val="004416F4"/>
    <w:rsid w:val="00442020"/>
    <w:rsid w:val="0044251E"/>
    <w:rsid w:val="00442642"/>
    <w:rsid w:val="004426DB"/>
    <w:rsid w:val="00442720"/>
    <w:rsid w:val="004428A9"/>
    <w:rsid w:val="004428B1"/>
    <w:rsid w:val="00442958"/>
    <w:rsid w:val="004429CB"/>
    <w:rsid w:val="004429D3"/>
    <w:rsid w:val="00442B13"/>
    <w:rsid w:val="00442C62"/>
    <w:rsid w:val="00442D34"/>
    <w:rsid w:val="00442D58"/>
    <w:rsid w:val="00442DA1"/>
    <w:rsid w:val="00442DAC"/>
    <w:rsid w:val="00442DEF"/>
    <w:rsid w:val="00442F8F"/>
    <w:rsid w:val="00442FC4"/>
    <w:rsid w:val="00443025"/>
    <w:rsid w:val="004432E9"/>
    <w:rsid w:val="00443357"/>
    <w:rsid w:val="0044340A"/>
    <w:rsid w:val="00443510"/>
    <w:rsid w:val="004435E5"/>
    <w:rsid w:val="00443657"/>
    <w:rsid w:val="004437DE"/>
    <w:rsid w:val="00443CF3"/>
    <w:rsid w:val="00443D06"/>
    <w:rsid w:val="00443FB3"/>
    <w:rsid w:val="0044426A"/>
    <w:rsid w:val="004444E8"/>
    <w:rsid w:val="00444678"/>
    <w:rsid w:val="00444B7A"/>
    <w:rsid w:val="00444D0E"/>
    <w:rsid w:val="0044503E"/>
    <w:rsid w:val="0044525C"/>
    <w:rsid w:val="004452DD"/>
    <w:rsid w:val="00445318"/>
    <w:rsid w:val="004453E4"/>
    <w:rsid w:val="0044561F"/>
    <w:rsid w:val="0044592F"/>
    <w:rsid w:val="00445D5D"/>
    <w:rsid w:val="00446179"/>
    <w:rsid w:val="0044634A"/>
    <w:rsid w:val="00446437"/>
    <w:rsid w:val="004464B7"/>
    <w:rsid w:val="00446569"/>
    <w:rsid w:val="004469E3"/>
    <w:rsid w:val="00446DDC"/>
    <w:rsid w:val="004471FA"/>
    <w:rsid w:val="00447525"/>
    <w:rsid w:val="004475C2"/>
    <w:rsid w:val="004476A0"/>
    <w:rsid w:val="004476F3"/>
    <w:rsid w:val="00447A6A"/>
    <w:rsid w:val="00447DEE"/>
    <w:rsid w:val="00447E26"/>
    <w:rsid w:val="00447E36"/>
    <w:rsid w:val="00447EE4"/>
    <w:rsid w:val="00447FBA"/>
    <w:rsid w:val="0044996B"/>
    <w:rsid w:val="00450008"/>
    <w:rsid w:val="0045000B"/>
    <w:rsid w:val="004500BA"/>
    <w:rsid w:val="00450347"/>
    <w:rsid w:val="0045049A"/>
    <w:rsid w:val="004504C8"/>
    <w:rsid w:val="004504F2"/>
    <w:rsid w:val="00450781"/>
    <w:rsid w:val="0045090F"/>
    <w:rsid w:val="00450D7E"/>
    <w:rsid w:val="00450E69"/>
    <w:rsid w:val="00450E9D"/>
    <w:rsid w:val="00450FEB"/>
    <w:rsid w:val="0045100C"/>
    <w:rsid w:val="0045117E"/>
    <w:rsid w:val="0045141D"/>
    <w:rsid w:val="0045155E"/>
    <w:rsid w:val="004515C0"/>
    <w:rsid w:val="00451817"/>
    <w:rsid w:val="00451929"/>
    <w:rsid w:val="00451949"/>
    <w:rsid w:val="00451AB0"/>
    <w:rsid w:val="00451B94"/>
    <w:rsid w:val="00451B9B"/>
    <w:rsid w:val="00451C20"/>
    <w:rsid w:val="00451DAF"/>
    <w:rsid w:val="00452337"/>
    <w:rsid w:val="00452364"/>
    <w:rsid w:val="00452378"/>
    <w:rsid w:val="0045238B"/>
    <w:rsid w:val="004528FD"/>
    <w:rsid w:val="00452917"/>
    <w:rsid w:val="00452979"/>
    <w:rsid w:val="00452A93"/>
    <w:rsid w:val="00452C30"/>
    <w:rsid w:val="00452EAF"/>
    <w:rsid w:val="00452EEC"/>
    <w:rsid w:val="00452EF2"/>
    <w:rsid w:val="00452FCF"/>
    <w:rsid w:val="00453099"/>
    <w:rsid w:val="004530A9"/>
    <w:rsid w:val="0045335E"/>
    <w:rsid w:val="00453377"/>
    <w:rsid w:val="0045340C"/>
    <w:rsid w:val="00453659"/>
    <w:rsid w:val="0045369A"/>
    <w:rsid w:val="004536CF"/>
    <w:rsid w:val="00453A44"/>
    <w:rsid w:val="00453AEF"/>
    <w:rsid w:val="00453C4D"/>
    <w:rsid w:val="00453D6D"/>
    <w:rsid w:val="00453F64"/>
    <w:rsid w:val="004540CA"/>
    <w:rsid w:val="0045414A"/>
    <w:rsid w:val="0045417C"/>
    <w:rsid w:val="004548BD"/>
    <w:rsid w:val="00454ACD"/>
    <w:rsid w:val="00454D28"/>
    <w:rsid w:val="00454E91"/>
    <w:rsid w:val="00454F69"/>
    <w:rsid w:val="00454FA4"/>
    <w:rsid w:val="0045523A"/>
    <w:rsid w:val="0045552A"/>
    <w:rsid w:val="00455562"/>
    <w:rsid w:val="004555DC"/>
    <w:rsid w:val="004557A7"/>
    <w:rsid w:val="004559A0"/>
    <w:rsid w:val="00455DF5"/>
    <w:rsid w:val="00455E59"/>
    <w:rsid w:val="00456027"/>
    <w:rsid w:val="0045604B"/>
    <w:rsid w:val="00456EEA"/>
    <w:rsid w:val="00456F0D"/>
    <w:rsid w:val="00456FAD"/>
    <w:rsid w:val="0045738C"/>
    <w:rsid w:val="0045739E"/>
    <w:rsid w:val="004573F9"/>
    <w:rsid w:val="004574C6"/>
    <w:rsid w:val="00457730"/>
    <w:rsid w:val="00457755"/>
    <w:rsid w:val="004577C6"/>
    <w:rsid w:val="00457AF0"/>
    <w:rsid w:val="00457C87"/>
    <w:rsid w:val="00457DDE"/>
    <w:rsid w:val="0046009E"/>
    <w:rsid w:val="0046020C"/>
    <w:rsid w:val="004604A0"/>
    <w:rsid w:val="0046059A"/>
    <w:rsid w:val="00460940"/>
    <w:rsid w:val="00460E67"/>
    <w:rsid w:val="00460F26"/>
    <w:rsid w:val="00460FD4"/>
    <w:rsid w:val="00461057"/>
    <w:rsid w:val="00461090"/>
    <w:rsid w:val="004611C5"/>
    <w:rsid w:val="004612CC"/>
    <w:rsid w:val="00461446"/>
    <w:rsid w:val="004615E0"/>
    <w:rsid w:val="00461855"/>
    <w:rsid w:val="00461938"/>
    <w:rsid w:val="00461AA3"/>
    <w:rsid w:val="00461AAC"/>
    <w:rsid w:val="00461B3F"/>
    <w:rsid w:val="00461E96"/>
    <w:rsid w:val="00461EB6"/>
    <w:rsid w:val="004625EB"/>
    <w:rsid w:val="0046275F"/>
    <w:rsid w:val="00462834"/>
    <w:rsid w:val="00462A6A"/>
    <w:rsid w:val="00462CC6"/>
    <w:rsid w:val="00462E5E"/>
    <w:rsid w:val="00462E99"/>
    <w:rsid w:val="00462EB2"/>
    <w:rsid w:val="00462EFB"/>
    <w:rsid w:val="00462FEC"/>
    <w:rsid w:val="0046300C"/>
    <w:rsid w:val="00463114"/>
    <w:rsid w:val="0046327A"/>
    <w:rsid w:val="004632A4"/>
    <w:rsid w:val="004632B6"/>
    <w:rsid w:val="00463480"/>
    <w:rsid w:val="004634A7"/>
    <w:rsid w:val="0046354C"/>
    <w:rsid w:val="0046359F"/>
    <w:rsid w:val="00463796"/>
    <w:rsid w:val="00463AA9"/>
    <w:rsid w:val="00463E8C"/>
    <w:rsid w:val="00463F1D"/>
    <w:rsid w:val="00463FD9"/>
    <w:rsid w:val="00464019"/>
    <w:rsid w:val="004641C9"/>
    <w:rsid w:val="00464425"/>
    <w:rsid w:val="00464438"/>
    <w:rsid w:val="004647B9"/>
    <w:rsid w:val="00464A21"/>
    <w:rsid w:val="00464CE0"/>
    <w:rsid w:val="00464E34"/>
    <w:rsid w:val="00464FC0"/>
    <w:rsid w:val="00465029"/>
    <w:rsid w:val="004651CB"/>
    <w:rsid w:val="0046522D"/>
    <w:rsid w:val="004652C0"/>
    <w:rsid w:val="0046544C"/>
    <w:rsid w:val="00465646"/>
    <w:rsid w:val="004656B0"/>
    <w:rsid w:val="00465776"/>
    <w:rsid w:val="00465847"/>
    <w:rsid w:val="00465AA4"/>
    <w:rsid w:val="00465C10"/>
    <w:rsid w:val="00465D18"/>
    <w:rsid w:val="00465D4A"/>
    <w:rsid w:val="00465F2D"/>
    <w:rsid w:val="00466058"/>
    <w:rsid w:val="00466363"/>
    <w:rsid w:val="004664C3"/>
    <w:rsid w:val="00466616"/>
    <w:rsid w:val="00466678"/>
    <w:rsid w:val="00466723"/>
    <w:rsid w:val="004669B1"/>
    <w:rsid w:val="00466A2C"/>
    <w:rsid w:val="00466A45"/>
    <w:rsid w:val="00466C6C"/>
    <w:rsid w:val="00466CE8"/>
    <w:rsid w:val="00466E65"/>
    <w:rsid w:val="00467065"/>
    <w:rsid w:val="004674A9"/>
    <w:rsid w:val="00467793"/>
    <w:rsid w:val="0046786C"/>
    <w:rsid w:val="004678AF"/>
    <w:rsid w:val="00467C7F"/>
    <w:rsid w:val="00467D12"/>
    <w:rsid w:val="00467D29"/>
    <w:rsid w:val="00467DA1"/>
    <w:rsid w:val="00467E28"/>
    <w:rsid w:val="00470077"/>
    <w:rsid w:val="0047018D"/>
    <w:rsid w:val="00470476"/>
    <w:rsid w:val="00470594"/>
    <w:rsid w:val="0047079B"/>
    <w:rsid w:val="0047084B"/>
    <w:rsid w:val="0047099C"/>
    <w:rsid w:val="004709C1"/>
    <w:rsid w:val="00470A11"/>
    <w:rsid w:val="00470B55"/>
    <w:rsid w:val="00470C9A"/>
    <w:rsid w:val="00471069"/>
    <w:rsid w:val="00471229"/>
    <w:rsid w:val="00471460"/>
    <w:rsid w:val="00471694"/>
    <w:rsid w:val="004716DE"/>
    <w:rsid w:val="0047184D"/>
    <w:rsid w:val="00471971"/>
    <w:rsid w:val="004719EE"/>
    <w:rsid w:val="00471AFC"/>
    <w:rsid w:val="00471B69"/>
    <w:rsid w:val="00471F54"/>
    <w:rsid w:val="00472293"/>
    <w:rsid w:val="0047255A"/>
    <w:rsid w:val="00472565"/>
    <w:rsid w:val="004725F3"/>
    <w:rsid w:val="00472A39"/>
    <w:rsid w:val="00472AC5"/>
    <w:rsid w:val="00472CBB"/>
    <w:rsid w:val="00472CFB"/>
    <w:rsid w:val="00472DD2"/>
    <w:rsid w:val="00472F45"/>
    <w:rsid w:val="00472F82"/>
    <w:rsid w:val="00473018"/>
    <w:rsid w:val="0047321D"/>
    <w:rsid w:val="0047333F"/>
    <w:rsid w:val="00473512"/>
    <w:rsid w:val="00473526"/>
    <w:rsid w:val="004737AA"/>
    <w:rsid w:val="004738BE"/>
    <w:rsid w:val="00473AB5"/>
    <w:rsid w:val="00473BE8"/>
    <w:rsid w:val="00473CC2"/>
    <w:rsid w:val="00473DB7"/>
    <w:rsid w:val="00473DED"/>
    <w:rsid w:val="0047411E"/>
    <w:rsid w:val="004741D6"/>
    <w:rsid w:val="004742EE"/>
    <w:rsid w:val="004745D2"/>
    <w:rsid w:val="00474904"/>
    <w:rsid w:val="0047497D"/>
    <w:rsid w:val="00474A24"/>
    <w:rsid w:val="00474AD2"/>
    <w:rsid w:val="00474BF3"/>
    <w:rsid w:val="00474C2F"/>
    <w:rsid w:val="0047517A"/>
    <w:rsid w:val="0047519A"/>
    <w:rsid w:val="00475223"/>
    <w:rsid w:val="004754E6"/>
    <w:rsid w:val="00475565"/>
    <w:rsid w:val="004755FE"/>
    <w:rsid w:val="00475795"/>
    <w:rsid w:val="004758E7"/>
    <w:rsid w:val="00475A4F"/>
    <w:rsid w:val="00475A67"/>
    <w:rsid w:val="00475B84"/>
    <w:rsid w:val="00475E9F"/>
    <w:rsid w:val="00475EC2"/>
    <w:rsid w:val="00476052"/>
    <w:rsid w:val="004762F7"/>
    <w:rsid w:val="00476500"/>
    <w:rsid w:val="00476567"/>
    <w:rsid w:val="0047682C"/>
    <w:rsid w:val="004768FF"/>
    <w:rsid w:val="00476B1E"/>
    <w:rsid w:val="00476B47"/>
    <w:rsid w:val="00476E36"/>
    <w:rsid w:val="00476F4A"/>
    <w:rsid w:val="004773FD"/>
    <w:rsid w:val="00477461"/>
    <w:rsid w:val="00477944"/>
    <w:rsid w:val="00477CB3"/>
    <w:rsid w:val="0048008C"/>
    <w:rsid w:val="0048053D"/>
    <w:rsid w:val="00480587"/>
    <w:rsid w:val="0048063D"/>
    <w:rsid w:val="004806F3"/>
    <w:rsid w:val="00480BB9"/>
    <w:rsid w:val="00480C70"/>
    <w:rsid w:val="00480E94"/>
    <w:rsid w:val="00480EB9"/>
    <w:rsid w:val="00480EC0"/>
    <w:rsid w:val="00480ED9"/>
    <w:rsid w:val="00480F50"/>
    <w:rsid w:val="00480F7E"/>
    <w:rsid w:val="004811A1"/>
    <w:rsid w:val="004811A4"/>
    <w:rsid w:val="004811D6"/>
    <w:rsid w:val="00481237"/>
    <w:rsid w:val="00481A79"/>
    <w:rsid w:val="00481A9C"/>
    <w:rsid w:val="00481B71"/>
    <w:rsid w:val="00481F87"/>
    <w:rsid w:val="00482001"/>
    <w:rsid w:val="0048215F"/>
    <w:rsid w:val="0048229D"/>
    <w:rsid w:val="0048246D"/>
    <w:rsid w:val="004824DF"/>
    <w:rsid w:val="00482551"/>
    <w:rsid w:val="00482558"/>
    <w:rsid w:val="004825E8"/>
    <w:rsid w:val="00482618"/>
    <w:rsid w:val="0048280A"/>
    <w:rsid w:val="00482EFB"/>
    <w:rsid w:val="00483001"/>
    <w:rsid w:val="004830F2"/>
    <w:rsid w:val="0048311C"/>
    <w:rsid w:val="00483182"/>
    <w:rsid w:val="0048331A"/>
    <w:rsid w:val="0048357A"/>
    <w:rsid w:val="00483C26"/>
    <w:rsid w:val="00483C28"/>
    <w:rsid w:val="00483E3A"/>
    <w:rsid w:val="00483F5A"/>
    <w:rsid w:val="0048457A"/>
    <w:rsid w:val="0048457B"/>
    <w:rsid w:val="00484944"/>
    <w:rsid w:val="004849B3"/>
    <w:rsid w:val="00484B64"/>
    <w:rsid w:val="00484C44"/>
    <w:rsid w:val="00484D26"/>
    <w:rsid w:val="00484DBA"/>
    <w:rsid w:val="00484F9C"/>
    <w:rsid w:val="00485217"/>
    <w:rsid w:val="00485571"/>
    <w:rsid w:val="004855AC"/>
    <w:rsid w:val="0048566E"/>
    <w:rsid w:val="004856FF"/>
    <w:rsid w:val="0048572C"/>
    <w:rsid w:val="00485864"/>
    <w:rsid w:val="00485A18"/>
    <w:rsid w:val="00485BA6"/>
    <w:rsid w:val="00485C98"/>
    <w:rsid w:val="00485DCE"/>
    <w:rsid w:val="00485E51"/>
    <w:rsid w:val="00486215"/>
    <w:rsid w:val="00486295"/>
    <w:rsid w:val="004863BD"/>
    <w:rsid w:val="0048693F"/>
    <w:rsid w:val="00486B41"/>
    <w:rsid w:val="00486D7D"/>
    <w:rsid w:val="00486E42"/>
    <w:rsid w:val="00486FFE"/>
    <w:rsid w:val="00487122"/>
    <w:rsid w:val="00487388"/>
    <w:rsid w:val="00487DD8"/>
    <w:rsid w:val="00487ECA"/>
    <w:rsid w:val="00487F85"/>
    <w:rsid w:val="00490239"/>
    <w:rsid w:val="00490317"/>
    <w:rsid w:val="004904AC"/>
    <w:rsid w:val="004905C3"/>
    <w:rsid w:val="004905C6"/>
    <w:rsid w:val="004906FA"/>
    <w:rsid w:val="00490ADC"/>
    <w:rsid w:val="00490B24"/>
    <w:rsid w:val="00490B62"/>
    <w:rsid w:val="00490FBF"/>
    <w:rsid w:val="00491364"/>
    <w:rsid w:val="00491791"/>
    <w:rsid w:val="00491D2F"/>
    <w:rsid w:val="00491E85"/>
    <w:rsid w:val="004921AD"/>
    <w:rsid w:val="0049224B"/>
    <w:rsid w:val="004924BC"/>
    <w:rsid w:val="0049255D"/>
    <w:rsid w:val="00492881"/>
    <w:rsid w:val="004928F9"/>
    <w:rsid w:val="0049297E"/>
    <w:rsid w:val="00492A19"/>
    <w:rsid w:val="00492A45"/>
    <w:rsid w:val="00492B07"/>
    <w:rsid w:val="00492BE5"/>
    <w:rsid w:val="00492BFD"/>
    <w:rsid w:val="00492C86"/>
    <w:rsid w:val="00493099"/>
    <w:rsid w:val="004930F1"/>
    <w:rsid w:val="004930F4"/>
    <w:rsid w:val="004934E0"/>
    <w:rsid w:val="004937F6"/>
    <w:rsid w:val="00493CC3"/>
    <w:rsid w:val="00493EDC"/>
    <w:rsid w:val="00493FF5"/>
    <w:rsid w:val="0049405C"/>
    <w:rsid w:val="004940AF"/>
    <w:rsid w:val="004940D3"/>
    <w:rsid w:val="00494A6F"/>
    <w:rsid w:val="00494A7C"/>
    <w:rsid w:val="00494CFE"/>
    <w:rsid w:val="00494D6F"/>
    <w:rsid w:val="00494E2D"/>
    <w:rsid w:val="00494E55"/>
    <w:rsid w:val="00494F89"/>
    <w:rsid w:val="0049524A"/>
    <w:rsid w:val="004952A2"/>
    <w:rsid w:val="004953E5"/>
    <w:rsid w:val="00495402"/>
    <w:rsid w:val="004955BD"/>
    <w:rsid w:val="004955D9"/>
    <w:rsid w:val="004956B6"/>
    <w:rsid w:val="00495909"/>
    <w:rsid w:val="00495BD4"/>
    <w:rsid w:val="00495BF9"/>
    <w:rsid w:val="00495E45"/>
    <w:rsid w:val="00495FCE"/>
    <w:rsid w:val="0049624F"/>
    <w:rsid w:val="00496261"/>
    <w:rsid w:val="0049626A"/>
    <w:rsid w:val="00496312"/>
    <w:rsid w:val="00496393"/>
    <w:rsid w:val="004966D7"/>
    <w:rsid w:val="00497151"/>
    <w:rsid w:val="00497189"/>
    <w:rsid w:val="004971A2"/>
    <w:rsid w:val="004972E8"/>
    <w:rsid w:val="00497591"/>
    <w:rsid w:val="0049770C"/>
    <w:rsid w:val="004977CB"/>
    <w:rsid w:val="00497A26"/>
    <w:rsid w:val="00497B12"/>
    <w:rsid w:val="00497C0F"/>
    <w:rsid w:val="00497C98"/>
    <w:rsid w:val="00497EB6"/>
    <w:rsid w:val="00497FBC"/>
    <w:rsid w:val="004A04DF"/>
    <w:rsid w:val="004A074C"/>
    <w:rsid w:val="004A0AC0"/>
    <w:rsid w:val="004A0C03"/>
    <w:rsid w:val="004A0C15"/>
    <w:rsid w:val="004A0F6F"/>
    <w:rsid w:val="004A13B9"/>
    <w:rsid w:val="004A1456"/>
    <w:rsid w:val="004A1592"/>
    <w:rsid w:val="004A16C9"/>
    <w:rsid w:val="004A170C"/>
    <w:rsid w:val="004A17BE"/>
    <w:rsid w:val="004A1962"/>
    <w:rsid w:val="004A1970"/>
    <w:rsid w:val="004A1A73"/>
    <w:rsid w:val="004A1AB1"/>
    <w:rsid w:val="004A1C53"/>
    <w:rsid w:val="004A21D0"/>
    <w:rsid w:val="004A22F1"/>
    <w:rsid w:val="004A2395"/>
    <w:rsid w:val="004A2487"/>
    <w:rsid w:val="004A2495"/>
    <w:rsid w:val="004A2633"/>
    <w:rsid w:val="004A269B"/>
    <w:rsid w:val="004A26D8"/>
    <w:rsid w:val="004A2715"/>
    <w:rsid w:val="004A27D3"/>
    <w:rsid w:val="004A2A87"/>
    <w:rsid w:val="004A2B2B"/>
    <w:rsid w:val="004A2D30"/>
    <w:rsid w:val="004A2DBC"/>
    <w:rsid w:val="004A2FE8"/>
    <w:rsid w:val="004A3207"/>
    <w:rsid w:val="004A348F"/>
    <w:rsid w:val="004A34B2"/>
    <w:rsid w:val="004A36A3"/>
    <w:rsid w:val="004A38D1"/>
    <w:rsid w:val="004A3943"/>
    <w:rsid w:val="004A3A3E"/>
    <w:rsid w:val="004A3BA9"/>
    <w:rsid w:val="004A3E9D"/>
    <w:rsid w:val="004A41DC"/>
    <w:rsid w:val="004A42A8"/>
    <w:rsid w:val="004A45BF"/>
    <w:rsid w:val="004A46B8"/>
    <w:rsid w:val="004A46E8"/>
    <w:rsid w:val="004A476A"/>
    <w:rsid w:val="004A47C1"/>
    <w:rsid w:val="004A5022"/>
    <w:rsid w:val="004A5138"/>
    <w:rsid w:val="004A522F"/>
    <w:rsid w:val="004A5231"/>
    <w:rsid w:val="004A52E8"/>
    <w:rsid w:val="004A52F2"/>
    <w:rsid w:val="004A56BD"/>
    <w:rsid w:val="004A5B95"/>
    <w:rsid w:val="004A5BBE"/>
    <w:rsid w:val="004A5C76"/>
    <w:rsid w:val="004A5D63"/>
    <w:rsid w:val="004A609E"/>
    <w:rsid w:val="004A623A"/>
    <w:rsid w:val="004A6359"/>
    <w:rsid w:val="004A6383"/>
    <w:rsid w:val="004A63A3"/>
    <w:rsid w:val="004A64AB"/>
    <w:rsid w:val="004A6A85"/>
    <w:rsid w:val="004A6C47"/>
    <w:rsid w:val="004A7574"/>
    <w:rsid w:val="004A77A4"/>
    <w:rsid w:val="004A7884"/>
    <w:rsid w:val="004A7A15"/>
    <w:rsid w:val="004A7B0B"/>
    <w:rsid w:val="004A7C1C"/>
    <w:rsid w:val="004A7E8B"/>
    <w:rsid w:val="004A7ED2"/>
    <w:rsid w:val="004A7FB1"/>
    <w:rsid w:val="004B047F"/>
    <w:rsid w:val="004B052D"/>
    <w:rsid w:val="004B0AC4"/>
    <w:rsid w:val="004B0C89"/>
    <w:rsid w:val="004B10B7"/>
    <w:rsid w:val="004B10C1"/>
    <w:rsid w:val="004B1225"/>
    <w:rsid w:val="004B125C"/>
    <w:rsid w:val="004B14F7"/>
    <w:rsid w:val="004B1512"/>
    <w:rsid w:val="004B1BFD"/>
    <w:rsid w:val="004B1C7A"/>
    <w:rsid w:val="004B1D21"/>
    <w:rsid w:val="004B1DAE"/>
    <w:rsid w:val="004B1E82"/>
    <w:rsid w:val="004B2016"/>
    <w:rsid w:val="004B20D5"/>
    <w:rsid w:val="004B2183"/>
    <w:rsid w:val="004B21B7"/>
    <w:rsid w:val="004B25B9"/>
    <w:rsid w:val="004B26A8"/>
    <w:rsid w:val="004B28A6"/>
    <w:rsid w:val="004B28E8"/>
    <w:rsid w:val="004B2A28"/>
    <w:rsid w:val="004B2A4F"/>
    <w:rsid w:val="004B2C91"/>
    <w:rsid w:val="004B2E52"/>
    <w:rsid w:val="004B2EC6"/>
    <w:rsid w:val="004B2FD1"/>
    <w:rsid w:val="004B3048"/>
    <w:rsid w:val="004B33B4"/>
    <w:rsid w:val="004B3418"/>
    <w:rsid w:val="004B3460"/>
    <w:rsid w:val="004B3615"/>
    <w:rsid w:val="004B3629"/>
    <w:rsid w:val="004B378B"/>
    <w:rsid w:val="004B3873"/>
    <w:rsid w:val="004B3A42"/>
    <w:rsid w:val="004B3B5E"/>
    <w:rsid w:val="004B3D23"/>
    <w:rsid w:val="004B3D31"/>
    <w:rsid w:val="004B3E8F"/>
    <w:rsid w:val="004B4090"/>
    <w:rsid w:val="004B40EA"/>
    <w:rsid w:val="004B444E"/>
    <w:rsid w:val="004B4752"/>
    <w:rsid w:val="004B4786"/>
    <w:rsid w:val="004B478A"/>
    <w:rsid w:val="004B4ABD"/>
    <w:rsid w:val="004B4B16"/>
    <w:rsid w:val="004B4B8C"/>
    <w:rsid w:val="004B4CF8"/>
    <w:rsid w:val="004B4DA6"/>
    <w:rsid w:val="004B4E60"/>
    <w:rsid w:val="004B4F2E"/>
    <w:rsid w:val="004B4F34"/>
    <w:rsid w:val="004B5060"/>
    <w:rsid w:val="004B5218"/>
    <w:rsid w:val="004B53B1"/>
    <w:rsid w:val="004B57C1"/>
    <w:rsid w:val="004B586B"/>
    <w:rsid w:val="004B588F"/>
    <w:rsid w:val="004B594F"/>
    <w:rsid w:val="004B5955"/>
    <w:rsid w:val="004B5A8D"/>
    <w:rsid w:val="004B5C70"/>
    <w:rsid w:val="004B5C76"/>
    <w:rsid w:val="004B5D29"/>
    <w:rsid w:val="004B5E27"/>
    <w:rsid w:val="004B609E"/>
    <w:rsid w:val="004B6199"/>
    <w:rsid w:val="004B654D"/>
    <w:rsid w:val="004B66A2"/>
    <w:rsid w:val="004B6791"/>
    <w:rsid w:val="004B68F6"/>
    <w:rsid w:val="004B6983"/>
    <w:rsid w:val="004B6BAB"/>
    <w:rsid w:val="004B6C14"/>
    <w:rsid w:val="004B6DB2"/>
    <w:rsid w:val="004B6E98"/>
    <w:rsid w:val="004B705F"/>
    <w:rsid w:val="004B709D"/>
    <w:rsid w:val="004B720B"/>
    <w:rsid w:val="004B72F1"/>
    <w:rsid w:val="004B7303"/>
    <w:rsid w:val="004B7398"/>
    <w:rsid w:val="004B74D5"/>
    <w:rsid w:val="004B7570"/>
    <w:rsid w:val="004B7587"/>
    <w:rsid w:val="004B7652"/>
    <w:rsid w:val="004B7A6E"/>
    <w:rsid w:val="004B7E76"/>
    <w:rsid w:val="004B7F64"/>
    <w:rsid w:val="004C0023"/>
    <w:rsid w:val="004C0221"/>
    <w:rsid w:val="004C0270"/>
    <w:rsid w:val="004C0332"/>
    <w:rsid w:val="004C03B1"/>
    <w:rsid w:val="004C0489"/>
    <w:rsid w:val="004C054F"/>
    <w:rsid w:val="004C08DE"/>
    <w:rsid w:val="004C0920"/>
    <w:rsid w:val="004C0BAE"/>
    <w:rsid w:val="004C0C3B"/>
    <w:rsid w:val="004C0D06"/>
    <w:rsid w:val="004C0F44"/>
    <w:rsid w:val="004C108C"/>
    <w:rsid w:val="004C1183"/>
    <w:rsid w:val="004C1260"/>
    <w:rsid w:val="004C12D0"/>
    <w:rsid w:val="004C14B2"/>
    <w:rsid w:val="004C1590"/>
    <w:rsid w:val="004C19DC"/>
    <w:rsid w:val="004C1A40"/>
    <w:rsid w:val="004C1B80"/>
    <w:rsid w:val="004C1B9A"/>
    <w:rsid w:val="004C1BB7"/>
    <w:rsid w:val="004C1C69"/>
    <w:rsid w:val="004C1DB9"/>
    <w:rsid w:val="004C1E9D"/>
    <w:rsid w:val="004C1F5F"/>
    <w:rsid w:val="004C210B"/>
    <w:rsid w:val="004C212D"/>
    <w:rsid w:val="004C21AD"/>
    <w:rsid w:val="004C2355"/>
    <w:rsid w:val="004C2376"/>
    <w:rsid w:val="004C23BF"/>
    <w:rsid w:val="004C2998"/>
    <w:rsid w:val="004C2A06"/>
    <w:rsid w:val="004C2C2E"/>
    <w:rsid w:val="004C2D9E"/>
    <w:rsid w:val="004C2DBC"/>
    <w:rsid w:val="004C2E4A"/>
    <w:rsid w:val="004C2E7B"/>
    <w:rsid w:val="004C2E83"/>
    <w:rsid w:val="004C3165"/>
    <w:rsid w:val="004C31D9"/>
    <w:rsid w:val="004C33AA"/>
    <w:rsid w:val="004C3489"/>
    <w:rsid w:val="004C36C3"/>
    <w:rsid w:val="004C36DD"/>
    <w:rsid w:val="004C3D0B"/>
    <w:rsid w:val="004C3EEB"/>
    <w:rsid w:val="004C4609"/>
    <w:rsid w:val="004C46CD"/>
    <w:rsid w:val="004C47B7"/>
    <w:rsid w:val="004C4866"/>
    <w:rsid w:val="004C4A9A"/>
    <w:rsid w:val="004C4C06"/>
    <w:rsid w:val="004C4C17"/>
    <w:rsid w:val="004C4C29"/>
    <w:rsid w:val="004C4C3E"/>
    <w:rsid w:val="004C4D32"/>
    <w:rsid w:val="004C4E69"/>
    <w:rsid w:val="004C4F36"/>
    <w:rsid w:val="004C4FFA"/>
    <w:rsid w:val="004C5151"/>
    <w:rsid w:val="004C53BF"/>
    <w:rsid w:val="004C5516"/>
    <w:rsid w:val="004C592A"/>
    <w:rsid w:val="004C5973"/>
    <w:rsid w:val="004C5E8C"/>
    <w:rsid w:val="004C5F36"/>
    <w:rsid w:val="004C600F"/>
    <w:rsid w:val="004C61F9"/>
    <w:rsid w:val="004C6224"/>
    <w:rsid w:val="004C6410"/>
    <w:rsid w:val="004C6431"/>
    <w:rsid w:val="004C65EB"/>
    <w:rsid w:val="004C6756"/>
    <w:rsid w:val="004C6761"/>
    <w:rsid w:val="004C67F0"/>
    <w:rsid w:val="004C67F5"/>
    <w:rsid w:val="004C6A78"/>
    <w:rsid w:val="004C6BAF"/>
    <w:rsid w:val="004C6EDC"/>
    <w:rsid w:val="004C712F"/>
    <w:rsid w:val="004C71AE"/>
    <w:rsid w:val="004C72E1"/>
    <w:rsid w:val="004C78DD"/>
    <w:rsid w:val="004C7A29"/>
    <w:rsid w:val="004C7D2D"/>
    <w:rsid w:val="004C7D5B"/>
    <w:rsid w:val="004C7F2C"/>
    <w:rsid w:val="004C7FCB"/>
    <w:rsid w:val="004D016D"/>
    <w:rsid w:val="004D02D5"/>
    <w:rsid w:val="004D03E9"/>
    <w:rsid w:val="004D078C"/>
    <w:rsid w:val="004D07BB"/>
    <w:rsid w:val="004D0875"/>
    <w:rsid w:val="004D08CB"/>
    <w:rsid w:val="004D0A6A"/>
    <w:rsid w:val="004D0AC1"/>
    <w:rsid w:val="004D0EEB"/>
    <w:rsid w:val="004D0F9B"/>
    <w:rsid w:val="004D129D"/>
    <w:rsid w:val="004D142B"/>
    <w:rsid w:val="004D1444"/>
    <w:rsid w:val="004D146B"/>
    <w:rsid w:val="004D1498"/>
    <w:rsid w:val="004D15C2"/>
    <w:rsid w:val="004D1892"/>
    <w:rsid w:val="004D1AB8"/>
    <w:rsid w:val="004D1B14"/>
    <w:rsid w:val="004D1D97"/>
    <w:rsid w:val="004D1EDA"/>
    <w:rsid w:val="004D1F33"/>
    <w:rsid w:val="004D1F70"/>
    <w:rsid w:val="004D1FAA"/>
    <w:rsid w:val="004D1FFD"/>
    <w:rsid w:val="004D21A9"/>
    <w:rsid w:val="004D22C7"/>
    <w:rsid w:val="004D23F4"/>
    <w:rsid w:val="004D2606"/>
    <w:rsid w:val="004D28BE"/>
    <w:rsid w:val="004D320A"/>
    <w:rsid w:val="004D3467"/>
    <w:rsid w:val="004D34CA"/>
    <w:rsid w:val="004D35FA"/>
    <w:rsid w:val="004D362A"/>
    <w:rsid w:val="004D3900"/>
    <w:rsid w:val="004D3A30"/>
    <w:rsid w:val="004D3D6B"/>
    <w:rsid w:val="004D3F0A"/>
    <w:rsid w:val="004D4036"/>
    <w:rsid w:val="004D416F"/>
    <w:rsid w:val="004D424B"/>
    <w:rsid w:val="004D4269"/>
    <w:rsid w:val="004D43B3"/>
    <w:rsid w:val="004D43F9"/>
    <w:rsid w:val="004D447B"/>
    <w:rsid w:val="004D45B1"/>
    <w:rsid w:val="004D4717"/>
    <w:rsid w:val="004D47D0"/>
    <w:rsid w:val="004D497D"/>
    <w:rsid w:val="004D49C7"/>
    <w:rsid w:val="004D4AF5"/>
    <w:rsid w:val="004D4E4B"/>
    <w:rsid w:val="004D4FC1"/>
    <w:rsid w:val="004D4FE2"/>
    <w:rsid w:val="004D5018"/>
    <w:rsid w:val="004D5045"/>
    <w:rsid w:val="004D5054"/>
    <w:rsid w:val="004D518E"/>
    <w:rsid w:val="004D5246"/>
    <w:rsid w:val="004D5321"/>
    <w:rsid w:val="004D55A2"/>
    <w:rsid w:val="004D5954"/>
    <w:rsid w:val="004D59E9"/>
    <w:rsid w:val="004D5AE8"/>
    <w:rsid w:val="004D5D70"/>
    <w:rsid w:val="004D5F3D"/>
    <w:rsid w:val="004D5F53"/>
    <w:rsid w:val="004D636A"/>
    <w:rsid w:val="004D65FE"/>
    <w:rsid w:val="004D670E"/>
    <w:rsid w:val="004D68A2"/>
    <w:rsid w:val="004D6A63"/>
    <w:rsid w:val="004D6B54"/>
    <w:rsid w:val="004D6B97"/>
    <w:rsid w:val="004D6D27"/>
    <w:rsid w:val="004D6D57"/>
    <w:rsid w:val="004D6DD0"/>
    <w:rsid w:val="004D6E18"/>
    <w:rsid w:val="004D6E2A"/>
    <w:rsid w:val="004D6E35"/>
    <w:rsid w:val="004D6FB2"/>
    <w:rsid w:val="004D6FF0"/>
    <w:rsid w:val="004D7402"/>
    <w:rsid w:val="004D74EB"/>
    <w:rsid w:val="004D76CE"/>
    <w:rsid w:val="004D78D8"/>
    <w:rsid w:val="004D7917"/>
    <w:rsid w:val="004D7A43"/>
    <w:rsid w:val="004D7A47"/>
    <w:rsid w:val="004D7BAE"/>
    <w:rsid w:val="004D7D23"/>
    <w:rsid w:val="004D7EDD"/>
    <w:rsid w:val="004E015B"/>
    <w:rsid w:val="004E029D"/>
    <w:rsid w:val="004E03E5"/>
    <w:rsid w:val="004E04E5"/>
    <w:rsid w:val="004E0667"/>
    <w:rsid w:val="004E0AA6"/>
    <w:rsid w:val="004E0B34"/>
    <w:rsid w:val="004E0BF6"/>
    <w:rsid w:val="004E0D07"/>
    <w:rsid w:val="004E11A7"/>
    <w:rsid w:val="004E11F0"/>
    <w:rsid w:val="004E120E"/>
    <w:rsid w:val="004E125A"/>
    <w:rsid w:val="004E1AC4"/>
    <w:rsid w:val="004E1BB8"/>
    <w:rsid w:val="004E1BBC"/>
    <w:rsid w:val="004E1EF4"/>
    <w:rsid w:val="004E22C9"/>
    <w:rsid w:val="004E22EB"/>
    <w:rsid w:val="004E2353"/>
    <w:rsid w:val="004E23A0"/>
    <w:rsid w:val="004E2B43"/>
    <w:rsid w:val="004E2BDB"/>
    <w:rsid w:val="004E303C"/>
    <w:rsid w:val="004E3292"/>
    <w:rsid w:val="004E32F9"/>
    <w:rsid w:val="004E3487"/>
    <w:rsid w:val="004E34A0"/>
    <w:rsid w:val="004E36F0"/>
    <w:rsid w:val="004E3704"/>
    <w:rsid w:val="004E377B"/>
    <w:rsid w:val="004E38E1"/>
    <w:rsid w:val="004E3A15"/>
    <w:rsid w:val="004E3DA2"/>
    <w:rsid w:val="004E3DAD"/>
    <w:rsid w:val="004E3E49"/>
    <w:rsid w:val="004E3E82"/>
    <w:rsid w:val="004E4001"/>
    <w:rsid w:val="004E4060"/>
    <w:rsid w:val="004E4202"/>
    <w:rsid w:val="004E436A"/>
    <w:rsid w:val="004E4606"/>
    <w:rsid w:val="004E4862"/>
    <w:rsid w:val="004E499E"/>
    <w:rsid w:val="004E49D9"/>
    <w:rsid w:val="004E4AB4"/>
    <w:rsid w:val="004E4D3E"/>
    <w:rsid w:val="004E4EC3"/>
    <w:rsid w:val="004E4FDB"/>
    <w:rsid w:val="004E5138"/>
    <w:rsid w:val="004E516E"/>
    <w:rsid w:val="004E5173"/>
    <w:rsid w:val="004E5390"/>
    <w:rsid w:val="004E56D3"/>
    <w:rsid w:val="004E5837"/>
    <w:rsid w:val="004E5934"/>
    <w:rsid w:val="004E596C"/>
    <w:rsid w:val="004E5BE5"/>
    <w:rsid w:val="004E5E45"/>
    <w:rsid w:val="004E5E64"/>
    <w:rsid w:val="004E5EF7"/>
    <w:rsid w:val="004E5EFC"/>
    <w:rsid w:val="004E5F04"/>
    <w:rsid w:val="004E60D9"/>
    <w:rsid w:val="004E64E8"/>
    <w:rsid w:val="004E6506"/>
    <w:rsid w:val="004E6A4B"/>
    <w:rsid w:val="004E6B49"/>
    <w:rsid w:val="004E6BD2"/>
    <w:rsid w:val="004E6C98"/>
    <w:rsid w:val="004E6CC9"/>
    <w:rsid w:val="004E7064"/>
    <w:rsid w:val="004E716D"/>
    <w:rsid w:val="004E72C5"/>
    <w:rsid w:val="004E756F"/>
    <w:rsid w:val="004E75A5"/>
    <w:rsid w:val="004E75F8"/>
    <w:rsid w:val="004E7980"/>
    <w:rsid w:val="004E799E"/>
    <w:rsid w:val="004E79B4"/>
    <w:rsid w:val="004E7A7C"/>
    <w:rsid w:val="004E7AB1"/>
    <w:rsid w:val="004E7ADC"/>
    <w:rsid w:val="004E7B11"/>
    <w:rsid w:val="004E7B41"/>
    <w:rsid w:val="004E7B5A"/>
    <w:rsid w:val="004E7BBB"/>
    <w:rsid w:val="004E7C1D"/>
    <w:rsid w:val="004E7C61"/>
    <w:rsid w:val="004E7F02"/>
    <w:rsid w:val="004F0874"/>
    <w:rsid w:val="004F08FF"/>
    <w:rsid w:val="004F0BA9"/>
    <w:rsid w:val="004F0F77"/>
    <w:rsid w:val="004F108C"/>
    <w:rsid w:val="004F1099"/>
    <w:rsid w:val="004F10D7"/>
    <w:rsid w:val="004F1165"/>
    <w:rsid w:val="004F120A"/>
    <w:rsid w:val="004F142E"/>
    <w:rsid w:val="004F1496"/>
    <w:rsid w:val="004F1499"/>
    <w:rsid w:val="004F1706"/>
    <w:rsid w:val="004F1C64"/>
    <w:rsid w:val="004F1F09"/>
    <w:rsid w:val="004F1FFA"/>
    <w:rsid w:val="004F2205"/>
    <w:rsid w:val="004F2369"/>
    <w:rsid w:val="004F23C3"/>
    <w:rsid w:val="004F250B"/>
    <w:rsid w:val="004F251A"/>
    <w:rsid w:val="004F276B"/>
    <w:rsid w:val="004F2975"/>
    <w:rsid w:val="004F2995"/>
    <w:rsid w:val="004F2AC2"/>
    <w:rsid w:val="004F2B22"/>
    <w:rsid w:val="004F2B28"/>
    <w:rsid w:val="004F2E90"/>
    <w:rsid w:val="004F2EE6"/>
    <w:rsid w:val="004F344E"/>
    <w:rsid w:val="004F36E7"/>
    <w:rsid w:val="004F382D"/>
    <w:rsid w:val="004F38A6"/>
    <w:rsid w:val="004F3BBC"/>
    <w:rsid w:val="004F3DAA"/>
    <w:rsid w:val="004F3DE3"/>
    <w:rsid w:val="004F3E25"/>
    <w:rsid w:val="004F3E2F"/>
    <w:rsid w:val="004F3E4B"/>
    <w:rsid w:val="004F3FE2"/>
    <w:rsid w:val="004F425C"/>
    <w:rsid w:val="004F4260"/>
    <w:rsid w:val="004F4384"/>
    <w:rsid w:val="004F43E7"/>
    <w:rsid w:val="004F44D1"/>
    <w:rsid w:val="004F4A9F"/>
    <w:rsid w:val="004F4AAD"/>
    <w:rsid w:val="004F4CD6"/>
    <w:rsid w:val="004F507B"/>
    <w:rsid w:val="004F5341"/>
    <w:rsid w:val="004F5540"/>
    <w:rsid w:val="004F5748"/>
    <w:rsid w:val="004F57F2"/>
    <w:rsid w:val="004F580F"/>
    <w:rsid w:val="004F5A56"/>
    <w:rsid w:val="004F5B3B"/>
    <w:rsid w:val="004F5E1C"/>
    <w:rsid w:val="004F5EAC"/>
    <w:rsid w:val="004F6025"/>
    <w:rsid w:val="004F6304"/>
    <w:rsid w:val="004F6340"/>
    <w:rsid w:val="004F6429"/>
    <w:rsid w:val="004F650F"/>
    <w:rsid w:val="004F694C"/>
    <w:rsid w:val="004F6A04"/>
    <w:rsid w:val="004F6A14"/>
    <w:rsid w:val="004F6BE1"/>
    <w:rsid w:val="004F6C4A"/>
    <w:rsid w:val="004F6CAA"/>
    <w:rsid w:val="004F6D0C"/>
    <w:rsid w:val="004F6D3F"/>
    <w:rsid w:val="004F6D40"/>
    <w:rsid w:val="004F6DB1"/>
    <w:rsid w:val="004F6E8B"/>
    <w:rsid w:val="004F72B5"/>
    <w:rsid w:val="004F7780"/>
    <w:rsid w:val="004F779C"/>
    <w:rsid w:val="004F78EC"/>
    <w:rsid w:val="004F7B5F"/>
    <w:rsid w:val="004F7C50"/>
    <w:rsid w:val="004F7F41"/>
    <w:rsid w:val="0050015E"/>
    <w:rsid w:val="0050053D"/>
    <w:rsid w:val="00500551"/>
    <w:rsid w:val="005006A5"/>
    <w:rsid w:val="00500AE7"/>
    <w:rsid w:val="0050109B"/>
    <w:rsid w:val="005010CF"/>
    <w:rsid w:val="005010F6"/>
    <w:rsid w:val="005011FD"/>
    <w:rsid w:val="005015DF"/>
    <w:rsid w:val="00501780"/>
    <w:rsid w:val="0050197B"/>
    <w:rsid w:val="00501A61"/>
    <w:rsid w:val="00501ADC"/>
    <w:rsid w:val="00501B7E"/>
    <w:rsid w:val="00501CED"/>
    <w:rsid w:val="00501D5D"/>
    <w:rsid w:val="00501D76"/>
    <w:rsid w:val="00501D7B"/>
    <w:rsid w:val="00501D8D"/>
    <w:rsid w:val="00501F50"/>
    <w:rsid w:val="00501F5F"/>
    <w:rsid w:val="00502052"/>
    <w:rsid w:val="00502419"/>
    <w:rsid w:val="005026CC"/>
    <w:rsid w:val="00502B8A"/>
    <w:rsid w:val="00502CFD"/>
    <w:rsid w:val="0050362E"/>
    <w:rsid w:val="005036C2"/>
    <w:rsid w:val="005037BA"/>
    <w:rsid w:val="00503854"/>
    <w:rsid w:val="00503A17"/>
    <w:rsid w:val="00503E6C"/>
    <w:rsid w:val="00503F23"/>
    <w:rsid w:val="00503FB7"/>
    <w:rsid w:val="005044FE"/>
    <w:rsid w:val="0050461B"/>
    <w:rsid w:val="005049AB"/>
    <w:rsid w:val="00504AD5"/>
    <w:rsid w:val="00504B00"/>
    <w:rsid w:val="00504CA3"/>
    <w:rsid w:val="00504D69"/>
    <w:rsid w:val="00504FCE"/>
    <w:rsid w:val="005050EB"/>
    <w:rsid w:val="00505170"/>
    <w:rsid w:val="005055A2"/>
    <w:rsid w:val="0050569B"/>
    <w:rsid w:val="005056CE"/>
    <w:rsid w:val="005057B3"/>
    <w:rsid w:val="00505C2F"/>
    <w:rsid w:val="00506035"/>
    <w:rsid w:val="005060D3"/>
    <w:rsid w:val="0050628A"/>
    <w:rsid w:val="005064FC"/>
    <w:rsid w:val="0050656D"/>
    <w:rsid w:val="005065E3"/>
    <w:rsid w:val="00506771"/>
    <w:rsid w:val="00506807"/>
    <w:rsid w:val="00506A06"/>
    <w:rsid w:val="00506B09"/>
    <w:rsid w:val="00506C12"/>
    <w:rsid w:val="00506D2F"/>
    <w:rsid w:val="00506D53"/>
    <w:rsid w:val="00506D9A"/>
    <w:rsid w:val="00506F5C"/>
    <w:rsid w:val="005070B7"/>
    <w:rsid w:val="00507191"/>
    <w:rsid w:val="005071BE"/>
    <w:rsid w:val="00507440"/>
    <w:rsid w:val="005076CF"/>
    <w:rsid w:val="005077CE"/>
    <w:rsid w:val="00507933"/>
    <w:rsid w:val="005079E4"/>
    <w:rsid w:val="005079E6"/>
    <w:rsid w:val="00507A26"/>
    <w:rsid w:val="00507A7E"/>
    <w:rsid w:val="00507CAA"/>
    <w:rsid w:val="00507CDB"/>
    <w:rsid w:val="005101AC"/>
    <w:rsid w:val="00510328"/>
    <w:rsid w:val="005105F5"/>
    <w:rsid w:val="00510928"/>
    <w:rsid w:val="00510A9E"/>
    <w:rsid w:val="00510AEE"/>
    <w:rsid w:val="00510E39"/>
    <w:rsid w:val="0051102B"/>
    <w:rsid w:val="005110BD"/>
    <w:rsid w:val="005110FC"/>
    <w:rsid w:val="0051132C"/>
    <w:rsid w:val="005114C9"/>
    <w:rsid w:val="005118F2"/>
    <w:rsid w:val="0051191A"/>
    <w:rsid w:val="0051197D"/>
    <w:rsid w:val="00511BB9"/>
    <w:rsid w:val="00511D1E"/>
    <w:rsid w:val="00511FCF"/>
    <w:rsid w:val="00512703"/>
    <w:rsid w:val="0051288F"/>
    <w:rsid w:val="005129DD"/>
    <w:rsid w:val="00512A6B"/>
    <w:rsid w:val="00512A6F"/>
    <w:rsid w:val="00512AD8"/>
    <w:rsid w:val="00512CC3"/>
    <w:rsid w:val="00512D50"/>
    <w:rsid w:val="00512EED"/>
    <w:rsid w:val="00512EFA"/>
    <w:rsid w:val="00512F13"/>
    <w:rsid w:val="00513081"/>
    <w:rsid w:val="005131DA"/>
    <w:rsid w:val="005137DF"/>
    <w:rsid w:val="00513A4C"/>
    <w:rsid w:val="00513C5E"/>
    <w:rsid w:val="00513D18"/>
    <w:rsid w:val="00513FD0"/>
    <w:rsid w:val="00513FF4"/>
    <w:rsid w:val="0051443A"/>
    <w:rsid w:val="005148F7"/>
    <w:rsid w:val="00514AFF"/>
    <w:rsid w:val="00514E10"/>
    <w:rsid w:val="00514F30"/>
    <w:rsid w:val="005150F6"/>
    <w:rsid w:val="005151C1"/>
    <w:rsid w:val="0051529F"/>
    <w:rsid w:val="00515415"/>
    <w:rsid w:val="00515453"/>
    <w:rsid w:val="005155FF"/>
    <w:rsid w:val="0051592E"/>
    <w:rsid w:val="00515BBD"/>
    <w:rsid w:val="00516033"/>
    <w:rsid w:val="005163B2"/>
    <w:rsid w:val="00516517"/>
    <w:rsid w:val="005165EF"/>
    <w:rsid w:val="00516631"/>
    <w:rsid w:val="0051668A"/>
    <w:rsid w:val="005166C3"/>
    <w:rsid w:val="005167BD"/>
    <w:rsid w:val="00516CFD"/>
    <w:rsid w:val="00516EE9"/>
    <w:rsid w:val="00517024"/>
    <w:rsid w:val="00517642"/>
    <w:rsid w:val="005176E0"/>
    <w:rsid w:val="005178E6"/>
    <w:rsid w:val="0051791E"/>
    <w:rsid w:val="00517935"/>
    <w:rsid w:val="00517AC5"/>
    <w:rsid w:val="00517D6E"/>
    <w:rsid w:val="005201E1"/>
    <w:rsid w:val="005205B2"/>
    <w:rsid w:val="0052068F"/>
    <w:rsid w:val="005209C1"/>
    <w:rsid w:val="00520C04"/>
    <w:rsid w:val="00520D1F"/>
    <w:rsid w:val="00521254"/>
    <w:rsid w:val="0052136E"/>
    <w:rsid w:val="005213AE"/>
    <w:rsid w:val="0052163C"/>
    <w:rsid w:val="00521727"/>
    <w:rsid w:val="0052183C"/>
    <w:rsid w:val="00521991"/>
    <w:rsid w:val="00521B1A"/>
    <w:rsid w:val="00521EAB"/>
    <w:rsid w:val="00522075"/>
    <w:rsid w:val="005221AA"/>
    <w:rsid w:val="005221FC"/>
    <w:rsid w:val="00522248"/>
    <w:rsid w:val="00522250"/>
    <w:rsid w:val="00522471"/>
    <w:rsid w:val="00522554"/>
    <w:rsid w:val="005225D8"/>
    <w:rsid w:val="00522619"/>
    <w:rsid w:val="0052274D"/>
    <w:rsid w:val="00522819"/>
    <w:rsid w:val="0052281C"/>
    <w:rsid w:val="00522EA3"/>
    <w:rsid w:val="00522EC1"/>
    <w:rsid w:val="00522F32"/>
    <w:rsid w:val="00522F52"/>
    <w:rsid w:val="00522F93"/>
    <w:rsid w:val="005232BC"/>
    <w:rsid w:val="0052346E"/>
    <w:rsid w:val="0052358D"/>
    <w:rsid w:val="0052381C"/>
    <w:rsid w:val="005239B6"/>
    <w:rsid w:val="00523BF2"/>
    <w:rsid w:val="00523C86"/>
    <w:rsid w:val="00523C8C"/>
    <w:rsid w:val="00523E86"/>
    <w:rsid w:val="00523E91"/>
    <w:rsid w:val="00523FCC"/>
    <w:rsid w:val="0052400C"/>
    <w:rsid w:val="00524353"/>
    <w:rsid w:val="00524427"/>
    <w:rsid w:val="005245EE"/>
    <w:rsid w:val="00524809"/>
    <w:rsid w:val="00524A1C"/>
    <w:rsid w:val="00524ADB"/>
    <w:rsid w:val="00524F11"/>
    <w:rsid w:val="0052526F"/>
    <w:rsid w:val="00525287"/>
    <w:rsid w:val="0052576C"/>
    <w:rsid w:val="0052583B"/>
    <w:rsid w:val="00525843"/>
    <w:rsid w:val="00525ADB"/>
    <w:rsid w:val="00525CE7"/>
    <w:rsid w:val="00525D63"/>
    <w:rsid w:val="00525E23"/>
    <w:rsid w:val="00525E49"/>
    <w:rsid w:val="00525F04"/>
    <w:rsid w:val="00526157"/>
    <w:rsid w:val="005261B6"/>
    <w:rsid w:val="00526208"/>
    <w:rsid w:val="0052633E"/>
    <w:rsid w:val="005263B6"/>
    <w:rsid w:val="005263D1"/>
    <w:rsid w:val="005264B3"/>
    <w:rsid w:val="00526515"/>
    <w:rsid w:val="00526642"/>
    <w:rsid w:val="00526647"/>
    <w:rsid w:val="005266F5"/>
    <w:rsid w:val="00526963"/>
    <w:rsid w:val="00526D07"/>
    <w:rsid w:val="00527057"/>
    <w:rsid w:val="00527087"/>
    <w:rsid w:val="005270B0"/>
    <w:rsid w:val="0052722B"/>
    <w:rsid w:val="005273CC"/>
    <w:rsid w:val="005276A8"/>
    <w:rsid w:val="00527B86"/>
    <w:rsid w:val="00527F4D"/>
    <w:rsid w:val="00527F64"/>
    <w:rsid w:val="00530094"/>
    <w:rsid w:val="005300F6"/>
    <w:rsid w:val="00530150"/>
    <w:rsid w:val="00530472"/>
    <w:rsid w:val="00530869"/>
    <w:rsid w:val="005308CE"/>
    <w:rsid w:val="00530979"/>
    <w:rsid w:val="00530A87"/>
    <w:rsid w:val="00530C2F"/>
    <w:rsid w:val="00530CC2"/>
    <w:rsid w:val="00531040"/>
    <w:rsid w:val="00531121"/>
    <w:rsid w:val="00531145"/>
    <w:rsid w:val="005311DB"/>
    <w:rsid w:val="005314C2"/>
    <w:rsid w:val="0053151B"/>
    <w:rsid w:val="0053154D"/>
    <w:rsid w:val="0053157D"/>
    <w:rsid w:val="0053184D"/>
    <w:rsid w:val="005318AB"/>
    <w:rsid w:val="00531901"/>
    <w:rsid w:val="00531AEF"/>
    <w:rsid w:val="00531BAD"/>
    <w:rsid w:val="00531F3C"/>
    <w:rsid w:val="00531F95"/>
    <w:rsid w:val="0053208E"/>
    <w:rsid w:val="00532236"/>
    <w:rsid w:val="0053241C"/>
    <w:rsid w:val="00532433"/>
    <w:rsid w:val="005324F2"/>
    <w:rsid w:val="00532573"/>
    <w:rsid w:val="005325AA"/>
    <w:rsid w:val="00532718"/>
    <w:rsid w:val="005328E1"/>
    <w:rsid w:val="0053298E"/>
    <w:rsid w:val="00532C8B"/>
    <w:rsid w:val="00532D22"/>
    <w:rsid w:val="00532D7A"/>
    <w:rsid w:val="00532FEF"/>
    <w:rsid w:val="00533123"/>
    <w:rsid w:val="00533148"/>
    <w:rsid w:val="005334B9"/>
    <w:rsid w:val="005335C6"/>
    <w:rsid w:val="005336D1"/>
    <w:rsid w:val="00533819"/>
    <w:rsid w:val="00533838"/>
    <w:rsid w:val="00533863"/>
    <w:rsid w:val="00533933"/>
    <w:rsid w:val="00533AAD"/>
    <w:rsid w:val="00533F83"/>
    <w:rsid w:val="005340A0"/>
    <w:rsid w:val="00534130"/>
    <w:rsid w:val="005341C3"/>
    <w:rsid w:val="00534273"/>
    <w:rsid w:val="00534471"/>
    <w:rsid w:val="0053454A"/>
    <w:rsid w:val="00534857"/>
    <w:rsid w:val="00534C88"/>
    <w:rsid w:val="00534DC4"/>
    <w:rsid w:val="00534E5A"/>
    <w:rsid w:val="00534EA7"/>
    <w:rsid w:val="00535075"/>
    <w:rsid w:val="00535146"/>
    <w:rsid w:val="0053528B"/>
    <w:rsid w:val="00535985"/>
    <w:rsid w:val="005359A5"/>
    <w:rsid w:val="00535CD3"/>
    <w:rsid w:val="00535F11"/>
    <w:rsid w:val="005367A3"/>
    <w:rsid w:val="00536A4C"/>
    <w:rsid w:val="00536A5D"/>
    <w:rsid w:val="00536B5C"/>
    <w:rsid w:val="00536D7E"/>
    <w:rsid w:val="00536E45"/>
    <w:rsid w:val="00536FE3"/>
    <w:rsid w:val="00536FE7"/>
    <w:rsid w:val="0053716E"/>
    <w:rsid w:val="00537250"/>
    <w:rsid w:val="005374A7"/>
    <w:rsid w:val="005377AA"/>
    <w:rsid w:val="005378E5"/>
    <w:rsid w:val="0053797F"/>
    <w:rsid w:val="00537A26"/>
    <w:rsid w:val="00537C86"/>
    <w:rsid w:val="00537DA7"/>
    <w:rsid w:val="005400D2"/>
    <w:rsid w:val="00540485"/>
    <w:rsid w:val="005408FA"/>
    <w:rsid w:val="00540C05"/>
    <w:rsid w:val="00540CC1"/>
    <w:rsid w:val="00540D31"/>
    <w:rsid w:val="00540D6F"/>
    <w:rsid w:val="00540D7C"/>
    <w:rsid w:val="00540E1F"/>
    <w:rsid w:val="00540E7E"/>
    <w:rsid w:val="00540F3E"/>
    <w:rsid w:val="00540F41"/>
    <w:rsid w:val="005412B2"/>
    <w:rsid w:val="0054137B"/>
    <w:rsid w:val="00541513"/>
    <w:rsid w:val="005418D4"/>
    <w:rsid w:val="00541AC1"/>
    <w:rsid w:val="00541CBE"/>
    <w:rsid w:val="00541F60"/>
    <w:rsid w:val="0054219B"/>
    <w:rsid w:val="00542219"/>
    <w:rsid w:val="00542681"/>
    <w:rsid w:val="00542718"/>
    <w:rsid w:val="0054279A"/>
    <w:rsid w:val="005427A2"/>
    <w:rsid w:val="005429EF"/>
    <w:rsid w:val="00542ABE"/>
    <w:rsid w:val="00542E10"/>
    <w:rsid w:val="00542E47"/>
    <w:rsid w:val="00542EEB"/>
    <w:rsid w:val="00543381"/>
    <w:rsid w:val="00543525"/>
    <w:rsid w:val="00543B6F"/>
    <w:rsid w:val="00543BAB"/>
    <w:rsid w:val="00544124"/>
    <w:rsid w:val="00544429"/>
    <w:rsid w:val="00544593"/>
    <w:rsid w:val="0054490F"/>
    <w:rsid w:val="0054493E"/>
    <w:rsid w:val="00544A67"/>
    <w:rsid w:val="00544A92"/>
    <w:rsid w:val="00544B65"/>
    <w:rsid w:val="00544BD2"/>
    <w:rsid w:val="00544F9C"/>
    <w:rsid w:val="00545117"/>
    <w:rsid w:val="00545121"/>
    <w:rsid w:val="0054560A"/>
    <w:rsid w:val="00545641"/>
    <w:rsid w:val="005457B6"/>
    <w:rsid w:val="005458AE"/>
    <w:rsid w:val="00545B76"/>
    <w:rsid w:val="00545EA4"/>
    <w:rsid w:val="00545EF2"/>
    <w:rsid w:val="00545FDB"/>
    <w:rsid w:val="0054608C"/>
    <w:rsid w:val="005462EB"/>
    <w:rsid w:val="005463BC"/>
    <w:rsid w:val="0054651A"/>
    <w:rsid w:val="005465C8"/>
    <w:rsid w:val="00546636"/>
    <w:rsid w:val="0054672A"/>
    <w:rsid w:val="00546862"/>
    <w:rsid w:val="00546AE9"/>
    <w:rsid w:val="00546B6E"/>
    <w:rsid w:val="00546C9E"/>
    <w:rsid w:val="00546D66"/>
    <w:rsid w:val="0054706C"/>
    <w:rsid w:val="005470D3"/>
    <w:rsid w:val="00547416"/>
    <w:rsid w:val="0054751A"/>
    <w:rsid w:val="00547601"/>
    <w:rsid w:val="005476B9"/>
    <w:rsid w:val="005477D9"/>
    <w:rsid w:val="00547B57"/>
    <w:rsid w:val="00547C4D"/>
    <w:rsid w:val="00547F0C"/>
    <w:rsid w:val="00547FE8"/>
    <w:rsid w:val="00550074"/>
    <w:rsid w:val="00550082"/>
    <w:rsid w:val="00550219"/>
    <w:rsid w:val="00550423"/>
    <w:rsid w:val="0055069A"/>
    <w:rsid w:val="00550767"/>
    <w:rsid w:val="0055099E"/>
    <w:rsid w:val="00550A78"/>
    <w:rsid w:val="00550C68"/>
    <w:rsid w:val="00550DFA"/>
    <w:rsid w:val="00550E43"/>
    <w:rsid w:val="00550E5D"/>
    <w:rsid w:val="00550FB5"/>
    <w:rsid w:val="005510D5"/>
    <w:rsid w:val="005512FB"/>
    <w:rsid w:val="0055168F"/>
    <w:rsid w:val="005518C1"/>
    <w:rsid w:val="005519E9"/>
    <w:rsid w:val="00551A79"/>
    <w:rsid w:val="00551A7F"/>
    <w:rsid w:val="00551ACE"/>
    <w:rsid w:val="00551E74"/>
    <w:rsid w:val="00552074"/>
    <w:rsid w:val="00552302"/>
    <w:rsid w:val="005525DA"/>
    <w:rsid w:val="005526B7"/>
    <w:rsid w:val="0055272E"/>
    <w:rsid w:val="00552980"/>
    <w:rsid w:val="00552B7D"/>
    <w:rsid w:val="00552C4D"/>
    <w:rsid w:val="00552D61"/>
    <w:rsid w:val="00552D78"/>
    <w:rsid w:val="00552DE7"/>
    <w:rsid w:val="00553113"/>
    <w:rsid w:val="0055333D"/>
    <w:rsid w:val="0055375C"/>
    <w:rsid w:val="00553938"/>
    <w:rsid w:val="0055397B"/>
    <w:rsid w:val="00553A48"/>
    <w:rsid w:val="00553ADE"/>
    <w:rsid w:val="00553B1F"/>
    <w:rsid w:val="00553BB7"/>
    <w:rsid w:val="00553BEA"/>
    <w:rsid w:val="00553ED8"/>
    <w:rsid w:val="00553F60"/>
    <w:rsid w:val="00553F61"/>
    <w:rsid w:val="00553FF1"/>
    <w:rsid w:val="00554005"/>
    <w:rsid w:val="00554370"/>
    <w:rsid w:val="005544D3"/>
    <w:rsid w:val="00554592"/>
    <w:rsid w:val="0055479F"/>
    <w:rsid w:val="005549C6"/>
    <w:rsid w:val="00554A03"/>
    <w:rsid w:val="00554A3F"/>
    <w:rsid w:val="00554A8C"/>
    <w:rsid w:val="00554C0C"/>
    <w:rsid w:val="00554C2F"/>
    <w:rsid w:val="00554E28"/>
    <w:rsid w:val="0055513D"/>
    <w:rsid w:val="00555220"/>
    <w:rsid w:val="005553EB"/>
    <w:rsid w:val="00555460"/>
    <w:rsid w:val="00555805"/>
    <w:rsid w:val="00555A67"/>
    <w:rsid w:val="00555CDB"/>
    <w:rsid w:val="00555DDE"/>
    <w:rsid w:val="00555E07"/>
    <w:rsid w:val="0055606B"/>
    <w:rsid w:val="005561B5"/>
    <w:rsid w:val="005562C6"/>
    <w:rsid w:val="0055630C"/>
    <w:rsid w:val="0055633C"/>
    <w:rsid w:val="00556570"/>
    <w:rsid w:val="00556571"/>
    <w:rsid w:val="00556761"/>
    <w:rsid w:val="005568E4"/>
    <w:rsid w:val="00556A7C"/>
    <w:rsid w:val="00556B0B"/>
    <w:rsid w:val="00556C33"/>
    <w:rsid w:val="00556C40"/>
    <w:rsid w:val="00556D7C"/>
    <w:rsid w:val="00556E84"/>
    <w:rsid w:val="00556F13"/>
    <w:rsid w:val="00556F4A"/>
    <w:rsid w:val="00557359"/>
    <w:rsid w:val="005575C4"/>
    <w:rsid w:val="00557724"/>
    <w:rsid w:val="0055772C"/>
    <w:rsid w:val="005578F6"/>
    <w:rsid w:val="00557A5D"/>
    <w:rsid w:val="00557A88"/>
    <w:rsid w:val="00557E2E"/>
    <w:rsid w:val="00560518"/>
    <w:rsid w:val="005608BF"/>
    <w:rsid w:val="00560955"/>
    <w:rsid w:val="00560965"/>
    <w:rsid w:val="00560A28"/>
    <w:rsid w:val="00560CEA"/>
    <w:rsid w:val="00560D5C"/>
    <w:rsid w:val="00560DA0"/>
    <w:rsid w:val="00560F9A"/>
    <w:rsid w:val="00560FFB"/>
    <w:rsid w:val="005611DA"/>
    <w:rsid w:val="0056139B"/>
    <w:rsid w:val="005614FD"/>
    <w:rsid w:val="00561616"/>
    <w:rsid w:val="00561631"/>
    <w:rsid w:val="005618CC"/>
    <w:rsid w:val="00561977"/>
    <w:rsid w:val="005619D4"/>
    <w:rsid w:val="005619D9"/>
    <w:rsid w:val="00561BBC"/>
    <w:rsid w:val="00561DFC"/>
    <w:rsid w:val="00561EB8"/>
    <w:rsid w:val="005620A3"/>
    <w:rsid w:val="0056247D"/>
    <w:rsid w:val="005624AC"/>
    <w:rsid w:val="005625FD"/>
    <w:rsid w:val="0056262C"/>
    <w:rsid w:val="0056289B"/>
    <w:rsid w:val="005628F6"/>
    <w:rsid w:val="00562B74"/>
    <w:rsid w:val="00562C21"/>
    <w:rsid w:val="00562C48"/>
    <w:rsid w:val="00562CAF"/>
    <w:rsid w:val="00563303"/>
    <w:rsid w:val="005634E2"/>
    <w:rsid w:val="00563551"/>
    <w:rsid w:val="005635E1"/>
    <w:rsid w:val="00563682"/>
    <w:rsid w:val="005638FC"/>
    <w:rsid w:val="005639B3"/>
    <w:rsid w:val="00563E1C"/>
    <w:rsid w:val="00563E77"/>
    <w:rsid w:val="00563F47"/>
    <w:rsid w:val="00563F83"/>
    <w:rsid w:val="005642A3"/>
    <w:rsid w:val="00564479"/>
    <w:rsid w:val="0056473F"/>
    <w:rsid w:val="005647C7"/>
    <w:rsid w:val="005647EB"/>
    <w:rsid w:val="00564A66"/>
    <w:rsid w:val="00564A82"/>
    <w:rsid w:val="00564A97"/>
    <w:rsid w:val="00564BBD"/>
    <w:rsid w:val="00564C13"/>
    <w:rsid w:val="00564C8B"/>
    <w:rsid w:val="00564CD5"/>
    <w:rsid w:val="00564E50"/>
    <w:rsid w:val="00564F13"/>
    <w:rsid w:val="0056508E"/>
    <w:rsid w:val="0056554F"/>
    <w:rsid w:val="00565617"/>
    <w:rsid w:val="005656BC"/>
    <w:rsid w:val="00565759"/>
    <w:rsid w:val="00565855"/>
    <w:rsid w:val="00565CCF"/>
    <w:rsid w:val="00565DBE"/>
    <w:rsid w:val="00565F19"/>
    <w:rsid w:val="00566030"/>
    <w:rsid w:val="00566062"/>
    <w:rsid w:val="005661BB"/>
    <w:rsid w:val="00566480"/>
    <w:rsid w:val="00566498"/>
    <w:rsid w:val="005664D3"/>
    <w:rsid w:val="00566689"/>
    <w:rsid w:val="005667FE"/>
    <w:rsid w:val="00566867"/>
    <w:rsid w:val="005668E3"/>
    <w:rsid w:val="00566A1F"/>
    <w:rsid w:val="00566CDC"/>
    <w:rsid w:val="00566CE5"/>
    <w:rsid w:val="00567050"/>
    <w:rsid w:val="005672E7"/>
    <w:rsid w:val="005674DA"/>
    <w:rsid w:val="005676B5"/>
    <w:rsid w:val="005676F7"/>
    <w:rsid w:val="005678BD"/>
    <w:rsid w:val="00567A06"/>
    <w:rsid w:val="00567ADD"/>
    <w:rsid w:val="00567B4B"/>
    <w:rsid w:val="00567CCA"/>
    <w:rsid w:val="0057015F"/>
    <w:rsid w:val="00570224"/>
    <w:rsid w:val="00570410"/>
    <w:rsid w:val="00570420"/>
    <w:rsid w:val="005709E8"/>
    <w:rsid w:val="00570BA2"/>
    <w:rsid w:val="00570DBD"/>
    <w:rsid w:val="00571061"/>
    <w:rsid w:val="005710D6"/>
    <w:rsid w:val="0057117E"/>
    <w:rsid w:val="005712F0"/>
    <w:rsid w:val="00571583"/>
    <w:rsid w:val="005715C7"/>
    <w:rsid w:val="00571665"/>
    <w:rsid w:val="00571857"/>
    <w:rsid w:val="005718B4"/>
    <w:rsid w:val="00571A0D"/>
    <w:rsid w:val="00571AAC"/>
    <w:rsid w:val="00571C16"/>
    <w:rsid w:val="00571D2E"/>
    <w:rsid w:val="00571E59"/>
    <w:rsid w:val="00572068"/>
    <w:rsid w:val="00572100"/>
    <w:rsid w:val="00572155"/>
    <w:rsid w:val="00572314"/>
    <w:rsid w:val="00572327"/>
    <w:rsid w:val="00572401"/>
    <w:rsid w:val="0057251E"/>
    <w:rsid w:val="00572527"/>
    <w:rsid w:val="0057257D"/>
    <w:rsid w:val="00572629"/>
    <w:rsid w:val="005726F4"/>
    <w:rsid w:val="005729A1"/>
    <w:rsid w:val="00572C2B"/>
    <w:rsid w:val="00573008"/>
    <w:rsid w:val="0057302B"/>
    <w:rsid w:val="00573161"/>
    <w:rsid w:val="0057323C"/>
    <w:rsid w:val="005736F4"/>
    <w:rsid w:val="0057374A"/>
    <w:rsid w:val="00573781"/>
    <w:rsid w:val="005737BE"/>
    <w:rsid w:val="005738EF"/>
    <w:rsid w:val="00573B9D"/>
    <w:rsid w:val="00573FBF"/>
    <w:rsid w:val="00574004"/>
    <w:rsid w:val="00574046"/>
    <w:rsid w:val="00574593"/>
    <w:rsid w:val="005747D6"/>
    <w:rsid w:val="0057487F"/>
    <w:rsid w:val="00574B59"/>
    <w:rsid w:val="00574C1E"/>
    <w:rsid w:val="00574CC5"/>
    <w:rsid w:val="00575628"/>
    <w:rsid w:val="00575BEE"/>
    <w:rsid w:val="00575DC0"/>
    <w:rsid w:val="00575DC2"/>
    <w:rsid w:val="0057632D"/>
    <w:rsid w:val="00576406"/>
    <w:rsid w:val="00576863"/>
    <w:rsid w:val="00576A57"/>
    <w:rsid w:val="00576BF5"/>
    <w:rsid w:val="00576DCD"/>
    <w:rsid w:val="00576DFB"/>
    <w:rsid w:val="00576EC9"/>
    <w:rsid w:val="00576FD4"/>
    <w:rsid w:val="00577035"/>
    <w:rsid w:val="00577097"/>
    <w:rsid w:val="005770F1"/>
    <w:rsid w:val="0057715E"/>
    <w:rsid w:val="005771F0"/>
    <w:rsid w:val="005773B9"/>
    <w:rsid w:val="005775B4"/>
    <w:rsid w:val="005776FB"/>
    <w:rsid w:val="00577773"/>
    <w:rsid w:val="005779B5"/>
    <w:rsid w:val="005779C2"/>
    <w:rsid w:val="00577DED"/>
    <w:rsid w:val="0057F9E0"/>
    <w:rsid w:val="005802FD"/>
    <w:rsid w:val="00580560"/>
    <w:rsid w:val="0058072E"/>
    <w:rsid w:val="00580829"/>
    <w:rsid w:val="00580AEC"/>
    <w:rsid w:val="00580C59"/>
    <w:rsid w:val="00580C6A"/>
    <w:rsid w:val="00580C96"/>
    <w:rsid w:val="00580EF0"/>
    <w:rsid w:val="00581055"/>
    <w:rsid w:val="005811D7"/>
    <w:rsid w:val="005812D0"/>
    <w:rsid w:val="00581300"/>
    <w:rsid w:val="005813F8"/>
    <w:rsid w:val="00581459"/>
    <w:rsid w:val="00581628"/>
    <w:rsid w:val="005816DF"/>
    <w:rsid w:val="00581746"/>
    <w:rsid w:val="005817A6"/>
    <w:rsid w:val="00581802"/>
    <w:rsid w:val="00581891"/>
    <w:rsid w:val="00581AD3"/>
    <w:rsid w:val="00581AE9"/>
    <w:rsid w:val="00581B30"/>
    <w:rsid w:val="00582047"/>
    <w:rsid w:val="005820F3"/>
    <w:rsid w:val="0058237F"/>
    <w:rsid w:val="005824D1"/>
    <w:rsid w:val="00582559"/>
    <w:rsid w:val="0058263C"/>
    <w:rsid w:val="00582759"/>
    <w:rsid w:val="005827C1"/>
    <w:rsid w:val="005827DD"/>
    <w:rsid w:val="00582AAE"/>
    <w:rsid w:val="00582AB1"/>
    <w:rsid w:val="00582B59"/>
    <w:rsid w:val="00582BC9"/>
    <w:rsid w:val="00583028"/>
    <w:rsid w:val="00583199"/>
    <w:rsid w:val="0058324C"/>
    <w:rsid w:val="005832B1"/>
    <w:rsid w:val="00583316"/>
    <w:rsid w:val="00583368"/>
    <w:rsid w:val="005834DD"/>
    <w:rsid w:val="005836D1"/>
    <w:rsid w:val="005836E5"/>
    <w:rsid w:val="00583C3D"/>
    <w:rsid w:val="00583D5C"/>
    <w:rsid w:val="00583F62"/>
    <w:rsid w:val="00583F68"/>
    <w:rsid w:val="005840CF"/>
    <w:rsid w:val="005844A6"/>
    <w:rsid w:val="00584829"/>
    <w:rsid w:val="00584866"/>
    <w:rsid w:val="00584A45"/>
    <w:rsid w:val="00584C0B"/>
    <w:rsid w:val="00584D16"/>
    <w:rsid w:val="00584DD8"/>
    <w:rsid w:val="00584E75"/>
    <w:rsid w:val="00584F6E"/>
    <w:rsid w:val="0058531B"/>
    <w:rsid w:val="0058545F"/>
    <w:rsid w:val="0058548A"/>
    <w:rsid w:val="00585527"/>
    <w:rsid w:val="00585581"/>
    <w:rsid w:val="00585819"/>
    <w:rsid w:val="00585886"/>
    <w:rsid w:val="0058598E"/>
    <w:rsid w:val="00585A37"/>
    <w:rsid w:val="00585D01"/>
    <w:rsid w:val="00585D73"/>
    <w:rsid w:val="00585F3F"/>
    <w:rsid w:val="00586225"/>
    <w:rsid w:val="005862F7"/>
    <w:rsid w:val="0058662A"/>
    <w:rsid w:val="005866AD"/>
    <w:rsid w:val="0058679A"/>
    <w:rsid w:val="005867E9"/>
    <w:rsid w:val="005869A5"/>
    <w:rsid w:val="00586C12"/>
    <w:rsid w:val="00586DC4"/>
    <w:rsid w:val="0058735F"/>
    <w:rsid w:val="00587375"/>
    <w:rsid w:val="0058759C"/>
    <w:rsid w:val="00587626"/>
    <w:rsid w:val="005876F3"/>
    <w:rsid w:val="00587B33"/>
    <w:rsid w:val="00590242"/>
    <w:rsid w:val="00590243"/>
    <w:rsid w:val="005903E5"/>
    <w:rsid w:val="00590552"/>
    <w:rsid w:val="00590585"/>
    <w:rsid w:val="0059069E"/>
    <w:rsid w:val="005907CA"/>
    <w:rsid w:val="00590890"/>
    <w:rsid w:val="00590A04"/>
    <w:rsid w:val="00590D28"/>
    <w:rsid w:val="00590D47"/>
    <w:rsid w:val="00590F50"/>
    <w:rsid w:val="005910B2"/>
    <w:rsid w:val="005910D1"/>
    <w:rsid w:val="005911CC"/>
    <w:rsid w:val="00591364"/>
    <w:rsid w:val="00591450"/>
    <w:rsid w:val="005914DC"/>
    <w:rsid w:val="005918E3"/>
    <w:rsid w:val="0059233B"/>
    <w:rsid w:val="00592445"/>
    <w:rsid w:val="005924E5"/>
    <w:rsid w:val="0059270B"/>
    <w:rsid w:val="0059290B"/>
    <w:rsid w:val="00592C37"/>
    <w:rsid w:val="00592C57"/>
    <w:rsid w:val="00592E21"/>
    <w:rsid w:val="00592F72"/>
    <w:rsid w:val="0059376D"/>
    <w:rsid w:val="00593D13"/>
    <w:rsid w:val="00593D67"/>
    <w:rsid w:val="00593DAC"/>
    <w:rsid w:val="00593E02"/>
    <w:rsid w:val="0059425C"/>
    <w:rsid w:val="0059444D"/>
    <w:rsid w:val="00594615"/>
    <w:rsid w:val="00594830"/>
    <w:rsid w:val="005949BF"/>
    <w:rsid w:val="00594AE9"/>
    <w:rsid w:val="00594C1E"/>
    <w:rsid w:val="00594CB0"/>
    <w:rsid w:val="00595751"/>
    <w:rsid w:val="0059575C"/>
    <w:rsid w:val="005958C1"/>
    <w:rsid w:val="00595B00"/>
    <w:rsid w:val="00595F29"/>
    <w:rsid w:val="00596077"/>
    <w:rsid w:val="00596274"/>
    <w:rsid w:val="00596417"/>
    <w:rsid w:val="005965F8"/>
    <w:rsid w:val="005966A5"/>
    <w:rsid w:val="0059686E"/>
    <w:rsid w:val="005969DD"/>
    <w:rsid w:val="00596BDA"/>
    <w:rsid w:val="00596CD2"/>
    <w:rsid w:val="00596D34"/>
    <w:rsid w:val="00596F6E"/>
    <w:rsid w:val="00596F94"/>
    <w:rsid w:val="005971EB"/>
    <w:rsid w:val="00597321"/>
    <w:rsid w:val="005973FC"/>
    <w:rsid w:val="005979F8"/>
    <w:rsid w:val="00597ADE"/>
    <w:rsid w:val="00597B05"/>
    <w:rsid w:val="00597C9D"/>
    <w:rsid w:val="00597D40"/>
    <w:rsid w:val="00597D5A"/>
    <w:rsid w:val="00597EDB"/>
    <w:rsid w:val="005A0494"/>
    <w:rsid w:val="005A04F3"/>
    <w:rsid w:val="005A0505"/>
    <w:rsid w:val="005A0766"/>
    <w:rsid w:val="005A095D"/>
    <w:rsid w:val="005A0985"/>
    <w:rsid w:val="005A0A4A"/>
    <w:rsid w:val="005A0C37"/>
    <w:rsid w:val="005A0F72"/>
    <w:rsid w:val="005A1065"/>
    <w:rsid w:val="005A1098"/>
    <w:rsid w:val="005A10E8"/>
    <w:rsid w:val="005A1109"/>
    <w:rsid w:val="005A1135"/>
    <w:rsid w:val="005A1252"/>
    <w:rsid w:val="005A1354"/>
    <w:rsid w:val="005A1450"/>
    <w:rsid w:val="005A15EA"/>
    <w:rsid w:val="005A1F57"/>
    <w:rsid w:val="005A2338"/>
    <w:rsid w:val="005A23DA"/>
    <w:rsid w:val="005A24C0"/>
    <w:rsid w:val="005A24D0"/>
    <w:rsid w:val="005A26C7"/>
    <w:rsid w:val="005A2718"/>
    <w:rsid w:val="005A27F7"/>
    <w:rsid w:val="005A2886"/>
    <w:rsid w:val="005A2B06"/>
    <w:rsid w:val="005A30F6"/>
    <w:rsid w:val="005A328D"/>
    <w:rsid w:val="005A3304"/>
    <w:rsid w:val="005A3414"/>
    <w:rsid w:val="005A345B"/>
    <w:rsid w:val="005A35D5"/>
    <w:rsid w:val="005A37C9"/>
    <w:rsid w:val="005A391F"/>
    <w:rsid w:val="005A3A1A"/>
    <w:rsid w:val="005A3C9C"/>
    <w:rsid w:val="005A3D56"/>
    <w:rsid w:val="005A3F52"/>
    <w:rsid w:val="005A41FE"/>
    <w:rsid w:val="005A4371"/>
    <w:rsid w:val="005A43C2"/>
    <w:rsid w:val="005A4689"/>
    <w:rsid w:val="005A4898"/>
    <w:rsid w:val="005A492E"/>
    <w:rsid w:val="005A494F"/>
    <w:rsid w:val="005A4A9E"/>
    <w:rsid w:val="005A4AC1"/>
    <w:rsid w:val="005A4AF4"/>
    <w:rsid w:val="005A4D02"/>
    <w:rsid w:val="005A4DC0"/>
    <w:rsid w:val="005A4F36"/>
    <w:rsid w:val="005A529F"/>
    <w:rsid w:val="005A52D4"/>
    <w:rsid w:val="005A538F"/>
    <w:rsid w:val="005A542B"/>
    <w:rsid w:val="005A56BA"/>
    <w:rsid w:val="005A59AA"/>
    <w:rsid w:val="005A5A1F"/>
    <w:rsid w:val="005A5E6D"/>
    <w:rsid w:val="005A5F31"/>
    <w:rsid w:val="005A6415"/>
    <w:rsid w:val="005A6445"/>
    <w:rsid w:val="005A657B"/>
    <w:rsid w:val="005A65AC"/>
    <w:rsid w:val="005A666F"/>
    <w:rsid w:val="005A67E4"/>
    <w:rsid w:val="005A688A"/>
    <w:rsid w:val="005A6912"/>
    <w:rsid w:val="005A6AE1"/>
    <w:rsid w:val="005A6BB8"/>
    <w:rsid w:val="005A6CD9"/>
    <w:rsid w:val="005A6EA7"/>
    <w:rsid w:val="005A702F"/>
    <w:rsid w:val="005A7292"/>
    <w:rsid w:val="005A72AF"/>
    <w:rsid w:val="005A72B2"/>
    <w:rsid w:val="005A731D"/>
    <w:rsid w:val="005A7325"/>
    <w:rsid w:val="005A7346"/>
    <w:rsid w:val="005A74F1"/>
    <w:rsid w:val="005A754E"/>
    <w:rsid w:val="005A7560"/>
    <w:rsid w:val="005A7682"/>
    <w:rsid w:val="005A7713"/>
    <w:rsid w:val="005A77A5"/>
    <w:rsid w:val="005A7990"/>
    <w:rsid w:val="005A7B44"/>
    <w:rsid w:val="005A7BD3"/>
    <w:rsid w:val="005A7DEC"/>
    <w:rsid w:val="005B02E9"/>
    <w:rsid w:val="005B0569"/>
    <w:rsid w:val="005B066B"/>
    <w:rsid w:val="005B0DC6"/>
    <w:rsid w:val="005B0DFF"/>
    <w:rsid w:val="005B0EA0"/>
    <w:rsid w:val="005B1356"/>
    <w:rsid w:val="005B1ADE"/>
    <w:rsid w:val="005B1B74"/>
    <w:rsid w:val="005B1C0E"/>
    <w:rsid w:val="005B1C25"/>
    <w:rsid w:val="005B1DAE"/>
    <w:rsid w:val="005B1DF8"/>
    <w:rsid w:val="005B2560"/>
    <w:rsid w:val="005B2596"/>
    <w:rsid w:val="005B2AB0"/>
    <w:rsid w:val="005B2B01"/>
    <w:rsid w:val="005B2E10"/>
    <w:rsid w:val="005B2E3E"/>
    <w:rsid w:val="005B2EED"/>
    <w:rsid w:val="005B3079"/>
    <w:rsid w:val="005B30B1"/>
    <w:rsid w:val="005B33EB"/>
    <w:rsid w:val="005B33FC"/>
    <w:rsid w:val="005B3487"/>
    <w:rsid w:val="005B357A"/>
    <w:rsid w:val="005B35E5"/>
    <w:rsid w:val="005B386C"/>
    <w:rsid w:val="005B3A60"/>
    <w:rsid w:val="005B3EAD"/>
    <w:rsid w:val="005B3F4D"/>
    <w:rsid w:val="005B411B"/>
    <w:rsid w:val="005B4315"/>
    <w:rsid w:val="005B46F9"/>
    <w:rsid w:val="005B47F8"/>
    <w:rsid w:val="005B4945"/>
    <w:rsid w:val="005B49D0"/>
    <w:rsid w:val="005B4C2A"/>
    <w:rsid w:val="005B4EDA"/>
    <w:rsid w:val="005B528A"/>
    <w:rsid w:val="005B5492"/>
    <w:rsid w:val="005B5566"/>
    <w:rsid w:val="005B57AB"/>
    <w:rsid w:val="005B5932"/>
    <w:rsid w:val="005B597D"/>
    <w:rsid w:val="005B5A93"/>
    <w:rsid w:val="005B5B84"/>
    <w:rsid w:val="005B5C26"/>
    <w:rsid w:val="005B64AA"/>
    <w:rsid w:val="005B66E7"/>
    <w:rsid w:val="005B67E5"/>
    <w:rsid w:val="005B6811"/>
    <w:rsid w:val="005B686C"/>
    <w:rsid w:val="005B6949"/>
    <w:rsid w:val="005B6B15"/>
    <w:rsid w:val="005B6CFE"/>
    <w:rsid w:val="005B6E6E"/>
    <w:rsid w:val="005B6F3D"/>
    <w:rsid w:val="005B6F43"/>
    <w:rsid w:val="005B6F64"/>
    <w:rsid w:val="005B7430"/>
    <w:rsid w:val="005B7686"/>
    <w:rsid w:val="005B7732"/>
    <w:rsid w:val="005B78DB"/>
    <w:rsid w:val="005B790C"/>
    <w:rsid w:val="005B7BAA"/>
    <w:rsid w:val="005B7C5D"/>
    <w:rsid w:val="005B7CEF"/>
    <w:rsid w:val="005B7DEA"/>
    <w:rsid w:val="005B7FCA"/>
    <w:rsid w:val="005C0082"/>
    <w:rsid w:val="005C0415"/>
    <w:rsid w:val="005C09BC"/>
    <w:rsid w:val="005C0A0C"/>
    <w:rsid w:val="005C0B43"/>
    <w:rsid w:val="005C0B89"/>
    <w:rsid w:val="005C0BF5"/>
    <w:rsid w:val="005C0C33"/>
    <w:rsid w:val="005C0DAF"/>
    <w:rsid w:val="005C0DCF"/>
    <w:rsid w:val="005C0E4A"/>
    <w:rsid w:val="005C0FA1"/>
    <w:rsid w:val="005C106C"/>
    <w:rsid w:val="005C12EC"/>
    <w:rsid w:val="005C1366"/>
    <w:rsid w:val="005C1473"/>
    <w:rsid w:val="005C153D"/>
    <w:rsid w:val="005C15EA"/>
    <w:rsid w:val="005C19A6"/>
    <w:rsid w:val="005C1A04"/>
    <w:rsid w:val="005C1A61"/>
    <w:rsid w:val="005C1B18"/>
    <w:rsid w:val="005C1C4D"/>
    <w:rsid w:val="005C1D06"/>
    <w:rsid w:val="005C1FCE"/>
    <w:rsid w:val="005C207D"/>
    <w:rsid w:val="005C21D9"/>
    <w:rsid w:val="005C2640"/>
    <w:rsid w:val="005C2940"/>
    <w:rsid w:val="005C2AF6"/>
    <w:rsid w:val="005C2C6A"/>
    <w:rsid w:val="005C2CE1"/>
    <w:rsid w:val="005C2D7A"/>
    <w:rsid w:val="005C2EEB"/>
    <w:rsid w:val="005C30F3"/>
    <w:rsid w:val="005C352A"/>
    <w:rsid w:val="005C35A8"/>
    <w:rsid w:val="005C368D"/>
    <w:rsid w:val="005C3D05"/>
    <w:rsid w:val="005C3D30"/>
    <w:rsid w:val="005C3E35"/>
    <w:rsid w:val="005C3E38"/>
    <w:rsid w:val="005C3F00"/>
    <w:rsid w:val="005C4298"/>
    <w:rsid w:val="005C453B"/>
    <w:rsid w:val="005C45D8"/>
    <w:rsid w:val="005C4686"/>
    <w:rsid w:val="005C48D8"/>
    <w:rsid w:val="005C4BC2"/>
    <w:rsid w:val="005C4D60"/>
    <w:rsid w:val="005C4F15"/>
    <w:rsid w:val="005C4F93"/>
    <w:rsid w:val="005C4FE2"/>
    <w:rsid w:val="005C52DD"/>
    <w:rsid w:val="005C5476"/>
    <w:rsid w:val="005C54D9"/>
    <w:rsid w:val="005C5518"/>
    <w:rsid w:val="005C5594"/>
    <w:rsid w:val="005C5926"/>
    <w:rsid w:val="005C5A6F"/>
    <w:rsid w:val="005C5BF8"/>
    <w:rsid w:val="005C5E8C"/>
    <w:rsid w:val="005C61DB"/>
    <w:rsid w:val="005C6353"/>
    <w:rsid w:val="005C64B8"/>
    <w:rsid w:val="005C6504"/>
    <w:rsid w:val="005C656D"/>
    <w:rsid w:val="005C66D5"/>
    <w:rsid w:val="005C68EB"/>
    <w:rsid w:val="005C6AC0"/>
    <w:rsid w:val="005C6B47"/>
    <w:rsid w:val="005C6D55"/>
    <w:rsid w:val="005C6F1F"/>
    <w:rsid w:val="005C6F32"/>
    <w:rsid w:val="005C7381"/>
    <w:rsid w:val="005C75EE"/>
    <w:rsid w:val="005C771A"/>
    <w:rsid w:val="005C7A9C"/>
    <w:rsid w:val="005C7BFE"/>
    <w:rsid w:val="005C7C23"/>
    <w:rsid w:val="005C7EA2"/>
    <w:rsid w:val="005C7FE3"/>
    <w:rsid w:val="005D001B"/>
    <w:rsid w:val="005D00BC"/>
    <w:rsid w:val="005D00C0"/>
    <w:rsid w:val="005D0209"/>
    <w:rsid w:val="005D0320"/>
    <w:rsid w:val="005D032C"/>
    <w:rsid w:val="005D03DE"/>
    <w:rsid w:val="005D03E7"/>
    <w:rsid w:val="005D04D5"/>
    <w:rsid w:val="005D06FE"/>
    <w:rsid w:val="005D07CB"/>
    <w:rsid w:val="005D091B"/>
    <w:rsid w:val="005D0A7D"/>
    <w:rsid w:val="005D0A9F"/>
    <w:rsid w:val="005D0ACA"/>
    <w:rsid w:val="005D0B88"/>
    <w:rsid w:val="005D0C99"/>
    <w:rsid w:val="005D0EE4"/>
    <w:rsid w:val="005D0FA5"/>
    <w:rsid w:val="005D0FBB"/>
    <w:rsid w:val="005D0FF0"/>
    <w:rsid w:val="005D1245"/>
    <w:rsid w:val="005D1602"/>
    <w:rsid w:val="005D16A3"/>
    <w:rsid w:val="005D1731"/>
    <w:rsid w:val="005D1AB4"/>
    <w:rsid w:val="005D1B4F"/>
    <w:rsid w:val="005D1BAB"/>
    <w:rsid w:val="005D1F66"/>
    <w:rsid w:val="005D1F9A"/>
    <w:rsid w:val="005D2207"/>
    <w:rsid w:val="005D2268"/>
    <w:rsid w:val="005D2315"/>
    <w:rsid w:val="005D2485"/>
    <w:rsid w:val="005D24BC"/>
    <w:rsid w:val="005D2588"/>
    <w:rsid w:val="005D2682"/>
    <w:rsid w:val="005D28FB"/>
    <w:rsid w:val="005D295E"/>
    <w:rsid w:val="005D2ABB"/>
    <w:rsid w:val="005D2B22"/>
    <w:rsid w:val="005D2C8C"/>
    <w:rsid w:val="005D2D48"/>
    <w:rsid w:val="005D2E75"/>
    <w:rsid w:val="005D2E9E"/>
    <w:rsid w:val="005D32AF"/>
    <w:rsid w:val="005D3628"/>
    <w:rsid w:val="005D3721"/>
    <w:rsid w:val="005D38BF"/>
    <w:rsid w:val="005D38F6"/>
    <w:rsid w:val="005D3CFD"/>
    <w:rsid w:val="005D3E38"/>
    <w:rsid w:val="005D3EDE"/>
    <w:rsid w:val="005D4026"/>
    <w:rsid w:val="005D4078"/>
    <w:rsid w:val="005D44B4"/>
    <w:rsid w:val="005D476F"/>
    <w:rsid w:val="005D489D"/>
    <w:rsid w:val="005D48E4"/>
    <w:rsid w:val="005D49FD"/>
    <w:rsid w:val="005D4AAB"/>
    <w:rsid w:val="005D4D33"/>
    <w:rsid w:val="005D547E"/>
    <w:rsid w:val="005D5586"/>
    <w:rsid w:val="005D5635"/>
    <w:rsid w:val="005D578B"/>
    <w:rsid w:val="005D5E55"/>
    <w:rsid w:val="005D5FBE"/>
    <w:rsid w:val="005D61E0"/>
    <w:rsid w:val="005D61E4"/>
    <w:rsid w:val="005D6389"/>
    <w:rsid w:val="005D64FE"/>
    <w:rsid w:val="005D6600"/>
    <w:rsid w:val="005D6642"/>
    <w:rsid w:val="005D6694"/>
    <w:rsid w:val="005D6A1A"/>
    <w:rsid w:val="005D6CC6"/>
    <w:rsid w:val="005D6DBA"/>
    <w:rsid w:val="005D700F"/>
    <w:rsid w:val="005D71B5"/>
    <w:rsid w:val="005D74F0"/>
    <w:rsid w:val="005D7551"/>
    <w:rsid w:val="005D7563"/>
    <w:rsid w:val="005D7A97"/>
    <w:rsid w:val="005D7C2A"/>
    <w:rsid w:val="005D7DD9"/>
    <w:rsid w:val="005E033A"/>
    <w:rsid w:val="005E038F"/>
    <w:rsid w:val="005E0406"/>
    <w:rsid w:val="005E0775"/>
    <w:rsid w:val="005E0959"/>
    <w:rsid w:val="005E0A75"/>
    <w:rsid w:val="005E0B87"/>
    <w:rsid w:val="005E0C7F"/>
    <w:rsid w:val="005E0F2E"/>
    <w:rsid w:val="005E0FF6"/>
    <w:rsid w:val="005E11BE"/>
    <w:rsid w:val="005E14EF"/>
    <w:rsid w:val="005E158C"/>
    <w:rsid w:val="005E17A6"/>
    <w:rsid w:val="005E1817"/>
    <w:rsid w:val="005E1927"/>
    <w:rsid w:val="005E1BAE"/>
    <w:rsid w:val="005E1C2D"/>
    <w:rsid w:val="005E1C34"/>
    <w:rsid w:val="005E1C72"/>
    <w:rsid w:val="005E1CCF"/>
    <w:rsid w:val="005E1DE3"/>
    <w:rsid w:val="005E1FAC"/>
    <w:rsid w:val="005E21FD"/>
    <w:rsid w:val="005E23CA"/>
    <w:rsid w:val="005E2846"/>
    <w:rsid w:val="005E2B35"/>
    <w:rsid w:val="005E2C7C"/>
    <w:rsid w:val="005E2DD6"/>
    <w:rsid w:val="005E2F2C"/>
    <w:rsid w:val="005E2F61"/>
    <w:rsid w:val="005E30EA"/>
    <w:rsid w:val="005E32B6"/>
    <w:rsid w:val="005E33A2"/>
    <w:rsid w:val="005E33A4"/>
    <w:rsid w:val="005E34E0"/>
    <w:rsid w:val="005E35C3"/>
    <w:rsid w:val="005E3742"/>
    <w:rsid w:val="005E39C1"/>
    <w:rsid w:val="005E3AFE"/>
    <w:rsid w:val="005E3B63"/>
    <w:rsid w:val="005E3B7E"/>
    <w:rsid w:val="005E3CEF"/>
    <w:rsid w:val="005E3D4E"/>
    <w:rsid w:val="005E3DD4"/>
    <w:rsid w:val="005E3EA0"/>
    <w:rsid w:val="005E3FD0"/>
    <w:rsid w:val="005E41F2"/>
    <w:rsid w:val="005E4262"/>
    <w:rsid w:val="005E43F1"/>
    <w:rsid w:val="005E4774"/>
    <w:rsid w:val="005E481C"/>
    <w:rsid w:val="005E483B"/>
    <w:rsid w:val="005E48BC"/>
    <w:rsid w:val="005E4CCC"/>
    <w:rsid w:val="005E4D4F"/>
    <w:rsid w:val="005E4D5F"/>
    <w:rsid w:val="005E4E0F"/>
    <w:rsid w:val="005E4F8A"/>
    <w:rsid w:val="005E503E"/>
    <w:rsid w:val="005E51B6"/>
    <w:rsid w:val="005E51DE"/>
    <w:rsid w:val="005E5384"/>
    <w:rsid w:val="005E562B"/>
    <w:rsid w:val="005E57EE"/>
    <w:rsid w:val="005E581F"/>
    <w:rsid w:val="005E5B0D"/>
    <w:rsid w:val="005E5B31"/>
    <w:rsid w:val="005E5B43"/>
    <w:rsid w:val="005E5CD0"/>
    <w:rsid w:val="005E5D17"/>
    <w:rsid w:val="005E5E59"/>
    <w:rsid w:val="005E5F1A"/>
    <w:rsid w:val="005E637C"/>
    <w:rsid w:val="005E63E5"/>
    <w:rsid w:val="005E66D5"/>
    <w:rsid w:val="005E66E1"/>
    <w:rsid w:val="005E67FD"/>
    <w:rsid w:val="005E6E15"/>
    <w:rsid w:val="005E6E19"/>
    <w:rsid w:val="005E7104"/>
    <w:rsid w:val="005E7972"/>
    <w:rsid w:val="005E79FC"/>
    <w:rsid w:val="005E7DF9"/>
    <w:rsid w:val="005E7F17"/>
    <w:rsid w:val="005EB0EB"/>
    <w:rsid w:val="005F0147"/>
    <w:rsid w:val="005F02C7"/>
    <w:rsid w:val="005F0465"/>
    <w:rsid w:val="005F056B"/>
    <w:rsid w:val="005F0653"/>
    <w:rsid w:val="005F079A"/>
    <w:rsid w:val="005F08E8"/>
    <w:rsid w:val="005F095A"/>
    <w:rsid w:val="005F0B29"/>
    <w:rsid w:val="005F0B9C"/>
    <w:rsid w:val="005F0DD8"/>
    <w:rsid w:val="005F109B"/>
    <w:rsid w:val="005F10A9"/>
    <w:rsid w:val="005F1285"/>
    <w:rsid w:val="005F12F5"/>
    <w:rsid w:val="005F1B29"/>
    <w:rsid w:val="005F1B60"/>
    <w:rsid w:val="005F1D28"/>
    <w:rsid w:val="005F219B"/>
    <w:rsid w:val="005F21AD"/>
    <w:rsid w:val="005F2249"/>
    <w:rsid w:val="005F22BD"/>
    <w:rsid w:val="005F23CF"/>
    <w:rsid w:val="005F24F7"/>
    <w:rsid w:val="005F25C9"/>
    <w:rsid w:val="005F2785"/>
    <w:rsid w:val="005F28FF"/>
    <w:rsid w:val="005F2DCC"/>
    <w:rsid w:val="005F2E00"/>
    <w:rsid w:val="005F2E3D"/>
    <w:rsid w:val="005F2F05"/>
    <w:rsid w:val="005F3128"/>
    <w:rsid w:val="005F31A6"/>
    <w:rsid w:val="005F33EF"/>
    <w:rsid w:val="005F3690"/>
    <w:rsid w:val="005F399D"/>
    <w:rsid w:val="005F39B8"/>
    <w:rsid w:val="005F3C19"/>
    <w:rsid w:val="005F3C70"/>
    <w:rsid w:val="005F3FAE"/>
    <w:rsid w:val="005F4430"/>
    <w:rsid w:val="005F4453"/>
    <w:rsid w:val="005F45B9"/>
    <w:rsid w:val="005F4F03"/>
    <w:rsid w:val="005F51E0"/>
    <w:rsid w:val="005F53B7"/>
    <w:rsid w:val="005F5617"/>
    <w:rsid w:val="005F565A"/>
    <w:rsid w:val="005F5714"/>
    <w:rsid w:val="005F5A13"/>
    <w:rsid w:val="005F5C46"/>
    <w:rsid w:val="005F5D61"/>
    <w:rsid w:val="005F5E89"/>
    <w:rsid w:val="005F5EA6"/>
    <w:rsid w:val="005F5ED1"/>
    <w:rsid w:val="005F5F1F"/>
    <w:rsid w:val="005F619D"/>
    <w:rsid w:val="005F629B"/>
    <w:rsid w:val="005F63D7"/>
    <w:rsid w:val="005F64D3"/>
    <w:rsid w:val="005F6566"/>
    <w:rsid w:val="005F66DA"/>
    <w:rsid w:val="005F6731"/>
    <w:rsid w:val="005F6790"/>
    <w:rsid w:val="005F68C7"/>
    <w:rsid w:val="005F6B57"/>
    <w:rsid w:val="005F6E81"/>
    <w:rsid w:val="005F703A"/>
    <w:rsid w:val="005F70EE"/>
    <w:rsid w:val="005F71A7"/>
    <w:rsid w:val="005F7604"/>
    <w:rsid w:val="005F7627"/>
    <w:rsid w:val="005F7705"/>
    <w:rsid w:val="005F7943"/>
    <w:rsid w:val="005F7BBB"/>
    <w:rsid w:val="005F7E13"/>
    <w:rsid w:val="005F7E2F"/>
    <w:rsid w:val="005F7F6C"/>
    <w:rsid w:val="0060014D"/>
    <w:rsid w:val="006005A2"/>
    <w:rsid w:val="006005C5"/>
    <w:rsid w:val="00600722"/>
    <w:rsid w:val="00600806"/>
    <w:rsid w:val="00600A1E"/>
    <w:rsid w:val="00600A53"/>
    <w:rsid w:val="00600BDB"/>
    <w:rsid w:val="00600BFD"/>
    <w:rsid w:val="00600CBD"/>
    <w:rsid w:val="00600D0A"/>
    <w:rsid w:val="00600E45"/>
    <w:rsid w:val="00600EA3"/>
    <w:rsid w:val="006012F9"/>
    <w:rsid w:val="0060133C"/>
    <w:rsid w:val="00601480"/>
    <w:rsid w:val="00601705"/>
    <w:rsid w:val="0060190F"/>
    <w:rsid w:val="00601DF8"/>
    <w:rsid w:val="00602205"/>
    <w:rsid w:val="0060224E"/>
    <w:rsid w:val="006023CA"/>
    <w:rsid w:val="0060252E"/>
    <w:rsid w:val="006025AA"/>
    <w:rsid w:val="00602875"/>
    <w:rsid w:val="00602C71"/>
    <w:rsid w:val="00602DBF"/>
    <w:rsid w:val="0060302E"/>
    <w:rsid w:val="0060313C"/>
    <w:rsid w:val="00603311"/>
    <w:rsid w:val="00603345"/>
    <w:rsid w:val="0060351B"/>
    <w:rsid w:val="00603673"/>
    <w:rsid w:val="00603677"/>
    <w:rsid w:val="0060373D"/>
    <w:rsid w:val="006037BC"/>
    <w:rsid w:val="00603812"/>
    <w:rsid w:val="00603C15"/>
    <w:rsid w:val="00603D0F"/>
    <w:rsid w:val="00603DA1"/>
    <w:rsid w:val="00603ECC"/>
    <w:rsid w:val="00604049"/>
    <w:rsid w:val="0060450A"/>
    <w:rsid w:val="006045BE"/>
    <w:rsid w:val="00604711"/>
    <w:rsid w:val="0060472F"/>
    <w:rsid w:val="0060496F"/>
    <w:rsid w:val="006049DE"/>
    <w:rsid w:val="00604AA4"/>
    <w:rsid w:val="00604DCF"/>
    <w:rsid w:val="00605058"/>
    <w:rsid w:val="006050A3"/>
    <w:rsid w:val="006052AF"/>
    <w:rsid w:val="00605379"/>
    <w:rsid w:val="006053A2"/>
    <w:rsid w:val="00605534"/>
    <w:rsid w:val="006057E7"/>
    <w:rsid w:val="0060580A"/>
    <w:rsid w:val="00605A03"/>
    <w:rsid w:val="00605B5B"/>
    <w:rsid w:val="00605D80"/>
    <w:rsid w:val="00605FED"/>
    <w:rsid w:val="00606140"/>
    <w:rsid w:val="00606381"/>
    <w:rsid w:val="00606437"/>
    <w:rsid w:val="0060656D"/>
    <w:rsid w:val="006065A4"/>
    <w:rsid w:val="0060671D"/>
    <w:rsid w:val="0060674E"/>
    <w:rsid w:val="00606829"/>
    <w:rsid w:val="00606B97"/>
    <w:rsid w:val="00606C05"/>
    <w:rsid w:val="00606F5A"/>
    <w:rsid w:val="00606F62"/>
    <w:rsid w:val="00607255"/>
    <w:rsid w:val="006075AB"/>
    <w:rsid w:val="00607617"/>
    <w:rsid w:val="006076AB"/>
    <w:rsid w:val="00607758"/>
    <w:rsid w:val="0060777F"/>
    <w:rsid w:val="00607815"/>
    <w:rsid w:val="00607D68"/>
    <w:rsid w:val="00610039"/>
    <w:rsid w:val="0061027F"/>
    <w:rsid w:val="00610642"/>
    <w:rsid w:val="00610BE7"/>
    <w:rsid w:val="00610C9A"/>
    <w:rsid w:val="00610D8F"/>
    <w:rsid w:val="00610DD6"/>
    <w:rsid w:val="006111A8"/>
    <w:rsid w:val="00611382"/>
    <w:rsid w:val="00611432"/>
    <w:rsid w:val="00611724"/>
    <w:rsid w:val="00611777"/>
    <w:rsid w:val="0061186C"/>
    <w:rsid w:val="00611A08"/>
    <w:rsid w:val="00611C33"/>
    <w:rsid w:val="0061207D"/>
    <w:rsid w:val="006120E4"/>
    <w:rsid w:val="0061229D"/>
    <w:rsid w:val="0061236F"/>
    <w:rsid w:val="00612422"/>
    <w:rsid w:val="006124EF"/>
    <w:rsid w:val="006128CD"/>
    <w:rsid w:val="00612918"/>
    <w:rsid w:val="00612C22"/>
    <w:rsid w:val="00612E2C"/>
    <w:rsid w:val="00612E71"/>
    <w:rsid w:val="00612E8F"/>
    <w:rsid w:val="0061306E"/>
    <w:rsid w:val="00613136"/>
    <w:rsid w:val="006132E4"/>
    <w:rsid w:val="006133D0"/>
    <w:rsid w:val="00613481"/>
    <w:rsid w:val="00613A15"/>
    <w:rsid w:val="00613A67"/>
    <w:rsid w:val="00613B39"/>
    <w:rsid w:val="00613C0D"/>
    <w:rsid w:val="00613D32"/>
    <w:rsid w:val="00613E1B"/>
    <w:rsid w:val="00614006"/>
    <w:rsid w:val="00614130"/>
    <w:rsid w:val="0061424E"/>
    <w:rsid w:val="006142D4"/>
    <w:rsid w:val="00614797"/>
    <w:rsid w:val="0061495F"/>
    <w:rsid w:val="00614983"/>
    <w:rsid w:val="00614C86"/>
    <w:rsid w:val="00614DCA"/>
    <w:rsid w:val="006151EF"/>
    <w:rsid w:val="00615277"/>
    <w:rsid w:val="006152EA"/>
    <w:rsid w:val="0061532F"/>
    <w:rsid w:val="00615479"/>
    <w:rsid w:val="00615611"/>
    <w:rsid w:val="00615701"/>
    <w:rsid w:val="006158B3"/>
    <w:rsid w:val="006158B8"/>
    <w:rsid w:val="00615967"/>
    <w:rsid w:val="006159BF"/>
    <w:rsid w:val="006159C8"/>
    <w:rsid w:val="006159EC"/>
    <w:rsid w:val="00615A01"/>
    <w:rsid w:val="0061602C"/>
    <w:rsid w:val="006161E1"/>
    <w:rsid w:val="006163C8"/>
    <w:rsid w:val="00616465"/>
    <w:rsid w:val="006164C0"/>
    <w:rsid w:val="00616557"/>
    <w:rsid w:val="00616746"/>
    <w:rsid w:val="006167C7"/>
    <w:rsid w:val="00616B95"/>
    <w:rsid w:val="0061702F"/>
    <w:rsid w:val="006171E7"/>
    <w:rsid w:val="00617203"/>
    <w:rsid w:val="00617419"/>
    <w:rsid w:val="00617564"/>
    <w:rsid w:val="0061768F"/>
    <w:rsid w:val="006179BA"/>
    <w:rsid w:val="00617B86"/>
    <w:rsid w:val="00617C3D"/>
    <w:rsid w:val="00617C6E"/>
    <w:rsid w:val="00617F99"/>
    <w:rsid w:val="0061F61A"/>
    <w:rsid w:val="00620294"/>
    <w:rsid w:val="006202AD"/>
    <w:rsid w:val="00620408"/>
    <w:rsid w:val="00620590"/>
    <w:rsid w:val="0062089F"/>
    <w:rsid w:val="00620AA3"/>
    <w:rsid w:val="00620BE7"/>
    <w:rsid w:val="00620F5C"/>
    <w:rsid w:val="00621046"/>
    <w:rsid w:val="006210C8"/>
    <w:rsid w:val="00621127"/>
    <w:rsid w:val="00621477"/>
    <w:rsid w:val="006214AC"/>
    <w:rsid w:val="0062153F"/>
    <w:rsid w:val="00621582"/>
    <w:rsid w:val="006215B2"/>
    <w:rsid w:val="00621661"/>
    <w:rsid w:val="00621726"/>
    <w:rsid w:val="00621996"/>
    <w:rsid w:val="00621A32"/>
    <w:rsid w:val="00621B76"/>
    <w:rsid w:val="00621B7E"/>
    <w:rsid w:val="00621BB4"/>
    <w:rsid w:val="00621D97"/>
    <w:rsid w:val="006220C2"/>
    <w:rsid w:val="00622110"/>
    <w:rsid w:val="00622305"/>
    <w:rsid w:val="0062235E"/>
    <w:rsid w:val="00622377"/>
    <w:rsid w:val="00622415"/>
    <w:rsid w:val="0062244E"/>
    <w:rsid w:val="00622619"/>
    <w:rsid w:val="006226EB"/>
    <w:rsid w:val="0062271D"/>
    <w:rsid w:val="00622E9E"/>
    <w:rsid w:val="00622F5F"/>
    <w:rsid w:val="00623130"/>
    <w:rsid w:val="00623272"/>
    <w:rsid w:val="00623407"/>
    <w:rsid w:val="006237DB"/>
    <w:rsid w:val="006239B3"/>
    <w:rsid w:val="00623A4D"/>
    <w:rsid w:val="00623EA4"/>
    <w:rsid w:val="00623F37"/>
    <w:rsid w:val="0062413C"/>
    <w:rsid w:val="00624232"/>
    <w:rsid w:val="006243BE"/>
    <w:rsid w:val="006244E3"/>
    <w:rsid w:val="006247F0"/>
    <w:rsid w:val="006254DC"/>
    <w:rsid w:val="006258DC"/>
    <w:rsid w:val="00625972"/>
    <w:rsid w:val="00625E6C"/>
    <w:rsid w:val="006262F0"/>
    <w:rsid w:val="006263DB"/>
    <w:rsid w:val="0062642A"/>
    <w:rsid w:val="0062644F"/>
    <w:rsid w:val="006266BC"/>
    <w:rsid w:val="006266F5"/>
    <w:rsid w:val="006269CC"/>
    <w:rsid w:val="00626A31"/>
    <w:rsid w:val="00626B8E"/>
    <w:rsid w:val="00626CBB"/>
    <w:rsid w:val="00626D96"/>
    <w:rsid w:val="00627068"/>
    <w:rsid w:val="006271F9"/>
    <w:rsid w:val="0062745B"/>
    <w:rsid w:val="006274CC"/>
    <w:rsid w:val="0062751E"/>
    <w:rsid w:val="0062796D"/>
    <w:rsid w:val="00627B27"/>
    <w:rsid w:val="00627C5E"/>
    <w:rsid w:val="00627E94"/>
    <w:rsid w:val="00627EFB"/>
    <w:rsid w:val="006300B2"/>
    <w:rsid w:val="0063013D"/>
    <w:rsid w:val="00630198"/>
    <w:rsid w:val="00630371"/>
    <w:rsid w:val="0063045C"/>
    <w:rsid w:val="00630646"/>
    <w:rsid w:val="00630696"/>
    <w:rsid w:val="00630AE3"/>
    <w:rsid w:val="00630BA1"/>
    <w:rsid w:val="00630CC6"/>
    <w:rsid w:val="00630E1C"/>
    <w:rsid w:val="006311A2"/>
    <w:rsid w:val="00631303"/>
    <w:rsid w:val="00631604"/>
    <w:rsid w:val="00631677"/>
    <w:rsid w:val="0063191D"/>
    <w:rsid w:val="00631A35"/>
    <w:rsid w:val="00631B10"/>
    <w:rsid w:val="00631C1A"/>
    <w:rsid w:val="0063213E"/>
    <w:rsid w:val="00632A6A"/>
    <w:rsid w:val="00632CC3"/>
    <w:rsid w:val="00632DAC"/>
    <w:rsid w:val="006330E2"/>
    <w:rsid w:val="006330F6"/>
    <w:rsid w:val="0063361D"/>
    <w:rsid w:val="006336B0"/>
    <w:rsid w:val="00633938"/>
    <w:rsid w:val="00633A3B"/>
    <w:rsid w:val="00633AD2"/>
    <w:rsid w:val="00633B3D"/>
    <w:rsid w:val="00633B48"/>
    <w:rsid w:val="00633C13"/>
    <w:rsid w:val="00633C34"/>
    <w:rsid w:val="00633E69"/>
    <w:rsid w:val="00633F72"/>
    <w:rsid w:val="00633FDA"/>
    <w:rsid w:val="00634101"/>
    <w:rsid w:val="00634177"/>
    <w:rsid w:val="0063428E"/>
    <w:rsid w:val="00634391"/>
    <w:rsid w:val="0063445A"/>
    <w:rsid w:val="0063458B"/>
    <w:rsid w:val="0063475C"/>
    <w:rsid w:val="00634986"/>
    <w:rsid w:val="00634B12"/>
    <w:rsid w:val="00634B3E"/>
    <w:rsid w:val="00634B9A"/>
    <w:rsid w:val="00634C01"/>
    <w:rsid w:val="00634DA3"/>
    <w:rsid w:val="00634F43"/>
    <w:rsid w:val="00634F9B"/>
    <w:rsid w:val="0063519C"/>
    <w:rsid w:val="00635299"/>
    <w:rsid w:val="0063545A"/>
    <w:rsid w:val="00635465"/>
    <w:rsid w:val="006357B2"/>
    <w:rsid w:val="00635A4C"/>
    <w:rsid w:val="00635AF0"/>
    <w:rsid w:val="00635E36"/>
    <w:rsid w:val="00636007"/>
    <w:rsid w:val="00636013"/>
    <w:rsid w:val="0063686D"/>
    <w:rsid w:val="00636A28"/>
    <w:rsid w:val="00636A96"/>
    <w:rsid w:val="00636C63"/>
    <w:rsid w:val="00637087"/>
    <w:rsid w:val="006371D6"/>
    <w:rsid w:val="00637318"/>
    <w:rsid w:val="006375FB"/>
    <w:rsid w:val="006376A8"/>
    <w:rsid w:val="006377F5"/>
    <w:rsid w:val="00637B11"/>
    <w:rsid w:val="00637C44"/>
    <w:rsid w:val="00637C6F"/>
    <w:rsid w:val="00637CAE"/>
    <w:rsid w:val="0064004D"/>
    <w:rsid w:val="006401FA"/>
    <w:rsid w:val="00640237"/>
    <w:rsid w:val="0064025A"/>
    <w:rsid w:val="00640592"/>
    <w:rsid w:val="00640852"/>
    <w:rsid w:val="00640917"/>
    <w:rsid w:val="00640945"/>
    <w:rsid w:val="00640949"/>
    <w:rsid w:val="00640955"/>
    <w:rsid w:val="00640988"/>
    <w:rsid w:val="00640A93"/>
    <w:rsid w:val="00640B1B"/>
    <w:rsid w:val="00640C58"/>
    <w:rsid w:val="00640F03"/>
    <w:rsid w:val="006411B8"/>
    <w:rsid w:val="00641397"/>
    <w:rsid w:val="00641822"/>
    <w:rsid w:val="0064189A"/>
    <w:rsid w:val="006418C2"/>
    <w:rsid w:val="00641DD4"/>
    <w:rsid w:val="00641DF0"/>
    <w:rsid w:val="00641F5F"/>
    <w:rsid w:val="0064200D"/>
    <w:rsid w:val="0064201B"/>
    <w:rsid w:val="0064214B"/>
    <w:rsid w:val="00642294"/>
    <w:rsid w:val="00642522"/>
    <w:rsid w:val="00642570"/>
    <w:rsid w:val="0064261B"/>
    <w:rsid w:val="0064275A"/>
    <w:rsid w:val="00642950"/>
    <w:rsid w:val="00642A4A"/>
    <w:rsid w:val="00642B23"/>
    <w:rsid w:val="00642C10"/>
    <w:rsid w:val="00642DC1"/>
    <w:rsid w:val="00642E96"/>
    <w:rsid w:val="00642F27"/>
    <w:rsid w:val="00642F33"/>
    <w:rsid w:val="0064307F"/>
    <w:rsid w:val="00643156"/>
    <w:rsid w:val="006432D2"/>
    <w:rsid w:val="00643318"/>
    <w:rsid w:val="00643552"/>
    <w:rsid w:val="00643741"/>
    <w:rsid w:val="0064375C"/>
    <w:rsid w:val="00643799"/>
    <w:rsid w:val="00643C0C"/>
    <w:rsid w:val="00643C27"/>
    <w:rsid w:val="00643FD9"/>
    <w:rsid w:val="0064406C"/>
    <w:rsid w:val="0064409B"/>
    <w:rsid w:val="00644144"/>
    <w:rsid w:val="006444E3"/>
    <w:rsid w:val="006446CF"/>
    <w:rsid w:val="0064482E"/>
    <w:rsid w:val="00644B3A"/>
    <w:rsid w:val="00644BCC"/>
    <w:rsid w:val="00644C82"/>
    <w:rsid w:val="00644DBC"/>
    <w:rsid w:val="00645236"/>
    <w:rsid w:val="006452A5"/>
    <w:rsid w:val="00645304"/>
    <w:rsid w:val="00645423"/>
    <w:rsid w:val="006455D1"/>
    <w:rsid w:val="00645857"/>
    <w:rsid w:val="00645A40"/>
    <w:rsid w:val="00645C2B"/>
    <w:rsid w:val="00645EF5"/>
    <w:rsid w:val="00645FAF"/>
    <w:rsid w:val="006460EC"/>
    <w:rsid w:val="00646191"/>
    <w:rsid w:val="00646334"/>
    <w:rsid w:val="0064634E"/>
    <w:rsid w:val="0064642E"/>
    <w:rsid w:val="00646A0F"/>
    <w:rsid w:val="00646AF4"/>
    <w:rsid w:val="00646C17"/>
    <w:rsid w:val="00646CA4"/>
    <w:rsid w:val="00646CFD"/>
    <w:rsid w:val="00646D0D"/>
    <w:rsid w:val="00646D2C"/>
    <w:rsid w:val="00646D31"/>
    <w:rsid w:val="006473A2"/>
    <w:rsid w:val="00647495"/>
    <w:rsid w:val="0064779C"/>
    <w:rsid w:val="00647A08"/>
    <w:rsid w:val="00647A1B"/>
    <w:rsid w:val="00647B25"/>
    <w:rsid w:val="00647CD5"/>
    <w:rsid w:val="00647D68"/>
    <w:rsid w:val="00647E5D"/>
    <w:rsid w:val="00647EEE"/>
    <w:rsid w:val="00647F6B"/>
    <w:rsid w:val="006506A7"/>
    <w:rsid w:val="006506EC"/>
    <w:rsid w:val="00650869"/>
    <w:rsid w:val="00650A9B"/>
    <w:rsid w:val="00650B49"/>
    <w:rsid w:val="00650B7F"/>
    <w:rsid w:val="00650BDD"/>
    <w:rsid w:val="00650C27"/>
    <w:rsid w:val="00650CB6"/>
    <w:rsid w:val="00650EEC"/>
    <w:rsid w:val="00650F04"/>
    <w:rsid w:val="00651009"/>
    <w:rsid w:val="00651228"/>
    <w:rsid w:val="006512CC"/>
    <w:rsid w:val="006515A2"/>
    <w:rsid w:val="00651657"/>
    <w:rsid w:val="00651924"/>
    <w:rsid w:val="006519CD"/>
    <w:rsid w:val="00651BDD"/>
    <w:rsid w:val="00651FBB"/>
    <w:rsid w:val="006523A2"/>
    <w:rsid w:val="006523AA"/>
    <w:rsid w:val="006523BD"/>
    <w:rsid w:val="00652405"/>
    <w:rsid w:val="0065248E"/>
    <w:rsid w:val="006524EA"/>
    <w:rsid w:val="0065257F"/>
    <w:rsid w:val="006525D3"/>
    <w:rsid w:val="00652923"/>
    <w:rsid w:val="006529FE"/>
    <w:rsid w:val="00652C28"/>
    <w:rsid w:val="00652F11"/>
    <w:rsid w:val="00653065"/>
    <w:rsid w:val="006530DA"/>
    <w:rsid w:val="006533A0"/>
    <w:rsid w:val="0065369B"/>
    <w:rsid w:val="00653730"/>
    <w:rsid w:val="0065378B"/>
    <w:rsid w:val="006537E9"/>
    <w:rsid w:val="006537FE"/>
    <w:rsid w:val="006537FF"/>
    <w:rsid w:val="00653B8D"/>
    <w:rsid w:val="00653F73"/>
    <w:rsid w:val="006541F6"/>
    <w:rsid w:val="0065451F"/>
    <w:rsid w:val="006545FE"/>
    <w:rsid w:val="0065482F"/>
    <w:rsid w:val="00654A5A"/>
    <w:rsid w:val="00654A7A"/>
    <w:rsid w:val="00655074"/>
    <w:rsid w:val="00655445"/>
    <w:rsid w:val="00655BB5"/>
    <w:rsid w:val="00655BE1"/>
    <w:rsid w:val="00655C4C"/>
    <w:rsid w:val="00655CBD"/>
    <w:rsid w:val="00655D57"/>
    <w:rsid w:val="00655EFB"/>
    <w:rsid w:val="00655FD5"/>
    <w:rsid w:val="00656177"/>
    <w:rsid w:val="00656339"/>
    <w:rsid w:val="0065662A"/>
    <w:rsid w:val="006566E3"/>
    <w:rsid w:val="00656945"/>
    <w:rsid w:val="006569B2"/>
    <w:rsid w:val="00656A4B"/>
    <w:rsid w:val="00656A9D"/>
    <w:rsid w:val="00656AFD"/>
    <w:rsid w:val="00656B03"/>
    <w:rsid w:val="00656B8F"/>
    <w:rsid w:val="00656C9A"/>
    <w:rsid w:val="00656E20"/>
    <w:rsid w:val="00656EE2"/>
    <w:rsid w:val="00656FBF"/>
    <w:rsid w:val="0065715C"/>
    <w:rsid w:val="00657171"/>
    <w:rsid w:val="00657199"/>
    <w:rsid w:val="00657359"/>
    <w:rsid w:val="00657513"/>
    <w:rsid w:val="00657610"/>
    <w:rsid w:val="00657691"/>
    <w:rsid w:val="006576E1"/>
    <w:rsid w:val="0065783C"/>
    <w:rsid w:val="00657A56"/>
    <w:rsid w:val="00657BE1"/>
    <w:rsid w:val="00657CB0"/>
    <w:rsid w:val="00657D96"/>
    <w:rsid w:val="00657F8B"/>
    <w:rsid w:val="00657F99"/>
    <w:rsid w:val="00660140"/>
    <w:rsid w:val="0066040B"/>
    <w:rsid w:val="00660656"/>
    <w:rsid w:val="0066066C"/>
    <w:rsid w:val="006607B5"/>
    <w:rsid w:val="006609BD"/>
    <w:rsid w:val="006609D1"/>
    <w:rsid w:val="00660A2D"/>
    <w:rsid w:val="00660D0E"/>
    <w:rsid w:val="00660DE3"/>
    <w:rsid w:val="00660DF2"/>
    <w:rsid w:val="00661338"/>
    <w:rsid w:val="0066146C"/>
    <w:rsid w:val="006616D4"/>
    <w:rsid w:val="00661D05"/>
    <w:rsid w:val="00661DDD"/>
    <w:rsid w:val="00661EEB"/>
    <w:rsid w:val="00662048"/>
    <w:rsid w:val="00662270"/>
    <w:rsid w:val="0066232F"/>
    <w:rsid w:val="006624DD"/>
    <w:rsid w:val="006625D6"/>
    <w:rsid w:val="006625E1"/>
    <w:rsid w:val="00662615"/>
    <w:rsid w:val="0066263F"/>
    <w:rsid w:val="0066285C"/>
    <w:rsid w:val="00662946"/>
    <w:rsid w:val="00662C4A"/>
    <w:rsid w:val="00662CB9"/>
    <w:rsid w:val="00662F0E"/>
    <w:rsid w:val="006633B0"/>
    <w:rsid w:val="00663506"/>
    <w:rsid w:val="006635DC"/>
    <w:rsid w:val="00663623"/>
    <w:rsid w:val="00663646"/>
    <w:rsid w:val="0066370F"/>
    <w:rsid w:val="0066383D"/>
    <w:rsid w:val="0066384B"/>
    <w:rsid w:val="006639D0"/>
    <w:rsid w:val="00663A3B"/>
    <w:rsid w:val="00663D72"/>
    <w:rsid w:val="00663DCF"/>
    <w:rsid w:val="00664050"/>
    <w:rsid w:val="006641D1"/>
    <w:rsid w:val="00664250"/>
    <w:rsid w:val="0066447A"/>
    <w:rsid w:val="0066463C"/>
    <w:rsid w:val="006647BF"/>
    <w:rsid w:val="00664C43"/>
    <w:rsid w:val="00664CA7"/>
    <w:rsid w:val="00664D14"/>
    <w:rsid w:val="00664D3C"/>
    <w:rsid w:val="00664D6B"/>
    <w:rsid w:val="00664DA6"/>
    <w:rsid w:val="00664DDC"/>
    <w:rsid w:val="00664EAE"/>
    <w:rsid w:val="00665202"/>
    <w:rsid w:val="00665393"/>
    <w:rsid w:val="006655A8"/>
    <w:rsid w:val="0066592D"/>
    <w:rsid w:val="006659E4"/>
    <w:rsid w:val="00665A14"/>
    <w:rsid w:val="00665B21"/>
    <w:rsid w:val="00665CBB"/>
    <w:rsid w:val="00665D31"/>
    <w:rsid w:val="00665D9B"/>
    <w:rsid w:val="00665E4B"/>
    <w:rsid w:val="00665F37"/>
    <w:rsid w:val="00665F48"/>
    <w:rsid w:val="006661AE"/>
    <w:rsid w:val="00666387"/>
    <w:rsid w:val="006663A8"/>
    <w:rsid w:val="00666471"/>
    <w:rsid w:val="0066664F"/>
    <w:rsid w:val="00666715"/>
    <w:rsid w:val="00666816"/>
    <w:rsid w:val="006669CF"/>
    <w:rsid w:val="006669EF"/>
    <w:rsid w:val="00666AAA"/>
    <w:rsid w:val="00666C45"/>
    <w:rsid w:val="00666ED3"/>
    <w:rsid w:val="00666F69"/>
    <w:rsid w:val="006670D1"/>
    <w:rsid w:val="00667282"/>
    <w:rsid w:val="006672E9"/>
    <w:rsid w:val="006673A8"/>
    <w:rsid w:val="006674D4"/>
    <w:rsid w:val="0066779D"/>
    <w:rsid w:val="00667821"/>
    <w:rsid w:val="00667902"/>
    <w:rsid w:val="00667C8E"/>
    <w:rsid w:val="00667CFB"/>
    <w:rsid w:val="00667D92"/>
    <w:rsid w:val="00670451"/>
    <w:rsid w:val="00670480"/>
    <w:rsid w:val="0067055F"/>
    <w:rsid w:val="00670763"/>
    <w:rsid w:val="006707D9"/>
    <w:rsid w:val="006707FE"/>
    <w:rsid w:val="00670825"/>
    <w:rsid w:val="0067082C"/>
    <w:rsid w:val="00670882"/>
    <w:rsid w:val="00670927"/>
    <w:rsid w:val="00670A87"/>
    <w:rsid w:val="00670BDB"/>
    <w:rsid w:val="00670C14"/>
    <w:rsid w:val="00670E47"/>
    <w:rsid w:val="00670EAA"/>
    <w:rsid w:val="00670F58"/>
    <w:rsid w:val="00671132"/>
    <w:rsid w:val="006714A0"/>
    <w:rsid w:val="006714E6"/>
    <w:rsid w:val="0067155D"/>
    <w:rsid w:val="00671654"/>
    <w:rsid w:val="00671BE9"/>
    <w:rsid w:val="00671D55"/>
    <w:rsid w:val="00672071"/>
    <w:rsid w:val="006720DB"/>
    <w:rsid w:val="0067228F"/>
    <w:rsid w:val="006724A0"/>
    <w:rsid w:val="006726B3"/>
    <w:rsid w:val="00672767"/>
    <w:rsid w:val="00672884"/>
    <w:rsid w:val="006728F9"/>
    <w:rsid w:val="00672A51"/>
    <w:rsid w:val="00672AE5"/>
    <w:rsid w:val="00672B3A"/>
    <w:rsid w:val="00672C10"/>
    <w:rsid w:val="00672E23"/>
    <w:rsid w:val="00672FC9"/>
    <w:rsid w:val="0067314F"/>
    <w:rsid w:val="0067333A"/>
    <w:rsid w:val="0067340A"/>
    <w:rsid w:val="00673576"/>
    <w:rsid w:val="006736BC"/>
    <w:rsid w:val="006736C8"/>
    <w:rsid w:val="006736F3"/>
    <w:rsid w:val="00673701"/>
    <w:rsid w:val="00673945"/>
    <w:rsid w:val="00673A99"/>
    <w:rsid w:val="00673BEB"/>
    <w:rsid w:val="00673C44"/>
    <w:rsid w:val="00673C4D"/>
    <w:rsid w:val="00673F17"/>
    <w:rsid w:val="00673F42"/>
    <w:rsid w:val="00673FCD"/>
    <w:rsid w:val="00673FD0"/>
    <w:rsid w:val="00674002"/>
    <w:rsid w:val="006740E3"/>
    <w:rsid w:val="006741CA"/>
    <w:rsid w:val="006743C3"/>
    <w:rsid w:val="0067459F"/>
    <w:rsid w:val="0067496F"/>
    <w:rsid w:val="00674CEC"/>
    <w:rsid w:val="00674E1F"/>
    <w:rsid w:val="00674F47"/>
    <w:rsid w:val="00675281"/>
    <w:rsid w:val="006752B8"/>
    <w:rsid w:val="0067541C"/>
    <w:rsid w:val="00675506"/>
    <w:rsid w:val="006755ED"/>
    <w:rsid w:val="00675CDE"/>
    <w:rsid w:val="00675D1F"/>
    <w:rsid w:val="00675EB2"/>
    <w:rsid w:val="00675EBB"/>
    <w:rsid w:val="00675FD1"/>
    <w:rsid w:val="006761E4"/>
    <w:rsid w:val="00676449"/>
    <w:rsid w:val="006764EA"/>
    <w:rsid w:val="006765EB"/>
    <w:rsid w:val="0067695A"/>
    <w:rsid w:val="00676BF1"/>
    <w:rsid w:val="00676F24"/>
    <w:rsid w:val="0067702A"/>
    <w:rsid w:val="00677377"/>
    <w:rsid w:val="006773A8"/>
    <w:rsid w:val="00677687"/>
    <w:rsid w:val="006777FF"/>
    <w:rsid w:val="0067798E"/>
    <w:rsid w:val="00677B01"/>
    <w:rsid w:val="006800B4"/>
    <w:rsid w:val="0068015B"/>
    <w:rsid w:val="00680343"/>
    <w:rsid w:val="00680529"/>
    <w:rsid w:val="006806D8"/>
    <w:rsid w:val="006807DF"/>
    <w:rsid w:val="00680823"/>
    <w:rsid w:val="00680A41"/>
    <w:rsid w:val="00680BC1"/>
    <w:rsid w:val="0068107B"/>
    <w:rsid w:val="00681174"/>
    <w:rsid w:val="00681322"/>
    <w:rsid w:val="0068146D"/>
    <w:rsid w:val="00681484"/>
    <w:rsid w:val="006815F7"/>
    <w:rsid w:val="006816BC"/>
    <w:rsid w:val="0068175E"/>
    <w:rsid w:val="006819C5"/>
    <w:rsid w:val="00681AB6"/>
    <w:rsid w:val="00681D0C"/>
    <w:rsid w:val="00681D0D"/>
    <w:rsid w:val="00681F40"/>
    <w:rsid w:val="006822ED"/>
    <w:rsid w:val="0068247F"/>
    <w:rsid w:val="00682594"/>
    <w:rsid w:val="006825F2"/>
    <w:rsid w:val="00682A84"/>
    <w:rsid w:val="00682BE4"/>
    <w:rsid w:val="00682F20"/>
    <w:rsid w:val="00683270"/>
    <w:rsid w:val="00683309"/>
    <w:rsid w:val="00683507"/>
    <w:rsid w:val="00683533"/>
    <w:rsid w:val="00683596"/>
    <w:rsid w:val="00683AE3"/>
    <w:rsid w:val="00683BF3"/>
    <w:rsid w:val="00683CD8"/>
    <w:rsid w:val="00683EBB"/>
    <w:rsid w:val="0068415A"/>
    <w:rsid w:val="00684193"/>
    <w:rsid w:val="00684479"/>
    <w:rsid w:val="00684A61"/>
    <w:rsid w:val="00684A6F"/>
    <w:rsid w:val="00684A7B"/>
    <w:rsid w:val="00684D15"/>
    <w:rsid w:val="00684E2A"/>
    <w:rsid w:val="00684EAC"/>
    <w:rsid w:val="0068504B"/>
    <w:rsid w:val="0068523F"/>
    <w:rsid w:val="00685248"/>
    <w:rsid w:val="006852FF"/>
    <w:rsid w:val="0068535F"/>
    <w:rsid w:val="006853BD"/>
    <w:rsid w:val="00685517"/>
    <w:rsid w:val="006856D4"/>
    <w:rsid w:val="0068572D"/>
    <w:rsid w:val="00685B68"/>
    <w:rsid w:val="00685C7A"/>
    <w:rsid w:val="00685CFC"/>
    <w:rsid w:val="00685D52"/>
    <w:rsid w:val="00685D8E"/>
    <w:rsid w:val="00685F67"/>
    <w:rsid w:val="00685F6E"/>
    <w:rsid w:val="00686090"/>
    <w:rsid w:val="00686261"/>
    <w:rsid w:val="00686264"/>
    <w:rsid w:val="006862B2"/>
    <w:rsid w:val="00686487"/>
    <w:rsid w:val="00686546"/>
    <w:rsid w:val="0068663B"/>
    <w:rsid w:val="00686EB4"/>
    <w:rsid w:val="00687387"/>
    <w:rsid w:val="00687393"/>
    <w:rsid w:val="0068763E"/>
    <w:rsid w:val="006878CA"/>
    <w:rsid w:val="00687981"/>
    <w:rsid w:val="00687AD4"/>
    <w:rsid w:val="00687C46"/>
    <w:rsid w:val="00687D2B"/>
    <w:rsid w:val="00687FCF"/>
    <w:rsid w:val="00690061"/>
    <w:rsid w:val="0069065A"/>
    <w:rsid w:val="00690670"/>
    <w:rsid w:val="00690A66"/>
    <w:rsid w:val="00690B09"/>
    <w:rsid w:val="00690C54"/>
    <w:rsid w:val="00690F2F"/>
    <w:rsid w:val="00690FBF"/>
    <w:rsid w:val="00691070"/>
    <w:rsid w:val="006910FB"/>
    <w:rsid w:val="00691106"/>
    <w:rsid w:val="006911AD"/>
    <w:rsid w:val="0069122B"/>
    <w:rsid w:val="006912E5"/>
    <w:rsid w:val="00691511"/>
    <w:rsid w:val="00691553"/>
    <w:rsid w:val="00691562"/>
    <w:rsid w:val="00691570"/>
    <w:rsid w:val="006915DD"/>
    <w:rsid w:val="006915F2"/>
    <w:rsid w:val="006917C9"/>
    <w:rsid w:val="00691C7E"/>
    <w:rsid w:val="00691D22"/>
    <w:rsid w:val="00691FEA"/>
    <w:rsid w:val="00692067"/>
    <w:rsid w:val="00692266"/>
    <w:rsid w:val="006924E3"/>
    <w:rsid w:val="00692C03"/>
    <w:rsid w:val="00692C56"/>
    <w:rsid w:val="00692D73"/>
    <w:rsid w:val="00692F92"/>
    <w:rsid w:val="00692FEC"/>
    <w:rsid w:val="00693062"/>
    <w:rsid w:val="006935FE"/>
    <w:rsid w:val="0069369A"/>
    <w:rsid w:val="006936BD"/>
    <w:rsid w:val="00693877"/>
    <w:rsid w:val="0069393E"/>
    <w:rsid w:val="00693BA4"/>
    <w:rsid w:val="00693D9C"/>
    <w:rsid w:val="00693F2C"/>
    <w:rsid w:val="00693F55"/>
    <w:rsid w:val="00693F59"/>
    <w:rsid w:val="00694092"/>
    <w:rsid w:val="006942FC"/>
    <w:rsid w:val="00694388"/>
    <w:rsid w:val="00694420"/>
    <w:rsid w:val="00694492"/>
    <w:rsid w:val="0069453C"/>
    <w:rsid w:val="006946E6"/>
    <w:rsid w:val="00694933"/>
    <w:rsid w:val="00694AB5"/>
    <w:rsid w:val="00694CE7"/>
    <w:rsid w:val="00695166"/>
    <w:rsid w:val="006951A4"/>
    <w:rsid w:val="006951DE"/>
    <w:rsid w:val="00695215"/>
    <w:rsid w:val="006952EB"/>
    <w:rsid w:val="006953BE"/>
    <w:rsid w:val="00695472"/>
    <w:rsid w:val="00695509"/>
    <w:rsid w:val="00695905"/>
    <w:rsid w:val="0069593F"/>
    <w:rsid w:val="00695AF9"/>
    <w:rsid w:val="00695B4A"/>
    <w:rsid w:val="00695CED"/>
    <w:rsid w:val="00695D03"/>
    <w:rsid w:val="00695D69"/>
    <w:rsid w:val="00696156"/>
    <w:rsid w:val="00696167"/>
    <w:rsid w:val="006961C2"/>
    <w:rsid w:val="00696201"/>
    <w:rsid w:val="00696231"/>
    <w:rsid w:val="006962DA"/>
    <w:rsid w:val="006963B9"/>
    <w:rsid w:val="00696477"/>
    <w:rsid w:val="00696700"/>
    <w:rsid w:val="00696A62"/>
    <w:rsid w:val="00696AF5"/>
    <w:rsid w:val="00696B71"/>
    <w:rsid w:val="00696C80"/>
    <w:rsid w:val="00696EE2"/>
    <w:rsid w:val="00696F37"/>
    <w:rsid w:val="006970B0"/>
    <w:rsid w:val="00697194"/>
    <w:rsid w:val="00697218"/>
    <w:rsid w:val="006972E6"/>
    <w:rsid w:val="006975AC"/>
    <w:rsid w:val="0069775B"/>
    <w:rsid w:val="00697AF7"/>
    <w:rsid w:val="00697B10"/>
    <w:rsid w:val="00697B4A"/>
    <w:rsid w:val="00697BB5"/>
    <w:rsid w:val="00697F9B"/>
    <w:rsid w:val="006A009E"/>
    <w:rsid w:val="006A00E4"/>
    <w:rsid w:val="006A037D"/>
    <w:rsid w:val="006A0587"/>
    <w:rsid w:val="006A065F"/>
    <w:rsid w:val="006A080B"/>
    <w:rsid w:val="006A0950"/>
    <w:rsid w:val="006A0C3C"/>
    <w:rsid w:val="006A0C6A"/>
    <w:rsid w:val="006A0CF6"/>
    <w:rsid w:val="006A0E90"/>
    <w:rsid w:val="006A0F35"/>
    <w:rsid w:val="006A11AD"/>
    <w:rsid w:val="006A143B"/>
    <w:rsid w:val="006A146D"/>
    <w:rsid w:val="006A16F9"/>
    <w:rsid w:val="006A196A"/>
    <w:rsid w:val="006A19FB"/>
    <w:rsid w:val="006A1A04"/>
    <w:rsid w:val="006A1C16"/>
    <w:rsid w:val="006A1CD1"/>
    <w:rsid w:val="006A1E09"/>
    <w:rsid w:val="006A1E17"/>
    <w:rsid w:val="006A1E4C"/>
    <w:rsid w:val="006A1EC7"/>
    <w:rsid w:val="006A1FAA"/>
    <w:rsid w:val="006A2086"/>
    <w:rsid w:val="006A26C8"/>
    <w:rsid w:val="006A28B1"/>
    <w:rsid w:val="006A2A5C"/>
    <w:rsid w:val="006A2ADB"/>
    <w:rsid w:val="006A2B0A"/>
    <w:rsid w:val="006A2B45"/>
    <w:rsid w:val="006A3022"/>
    <w:rsid w:val="006A3214"/>
    <w:rsid w:val="006A33C5"/>
    <w:rsid w:val="006A350E"/>
    <w:rsid w:val="006A3520"/>
    <w:rsid w:val="006A353C"/>
    <w:rsid w:val="006A3554"/>
    <w:rsid w:val="006A3641"/>
    <w:rsid w:val="006A374F"/>
    <w:rsid w:val="006A385D"/>
    <w:rsid w:val="006A3C53"/>
    <w:rsid w:val="006A3F6C"/>
    <w:rsid w:val="006A4116"/>
    <w:rsid w:val="006A4303"/>
    <w:rsid w:val="006A4433"/>
    <w:rsid w:val="006A4475"/>
    <w:rsid w:val="006A45AB"/>
    <w:rsid w:val="006A45C5"/>
    <w:rsid w:val="006A46D5"/>
    <w:rsid w:val="006A47A8"/>
    <w:rsid w:val="006A4893"/>
    <w:rsid w:val="006A494D"/>
    <w:rsid w:val="006A4B5B"/>
    <w:rsid w:val="006A4BEF"/>
    <w:rsid w:val="006A4C20"/>
    <w:rsid w:val="006A4FD2"/>
    <w:rsid w:val="006A4FEC"/>
    <w:rsid w:val="006A5297"/>
    <w:rsid w:val="006A5348"/>
    <w:rsid w:val="006A5378"/>
    <w:rsid w:val="006A5398"/>
    <w:rsid w:val="006A56D3"/>
    <w:rsid w:val="006A5783"/>
    <w:rsid w:val="006A58C1"/>
    <w:rsid w:val="006A5DE7"/>
    <w:rsid w:val="006A5F6E"/>
    <w:rsid w:val="006A5FE1"/>
    <w:rsid w:val="006A618E"/>
    <w:rsid w:val="006A61BC"/>
    <w:rsid w:val="006A6203"/>
    <w:rsid w:val="006A6444"/>
    <w:rsid w:val="006A66FE"/>
    <w:rsid w:val="006A67A6"/>
    <w:rsid w:val="006A6881"/>
    <w:rsid w:val="006A6951"/>
    <w:rsid w:val="006A69FE"/>
    <w:rsid w:val="006A6C9B"/>
    <w:rsid w:val="006A6F40"/>
    <w:rsid w:val="006A70B7"/>
    <w:rsid w:val="006A7261"/>
    <w:rsid w:val="006A746C"/>
    <w:rsid w:val="006A749A"/>
    <w:rsid w:val="006A74A9"/>
    <w:rsid w:val="006A7750"/>
    <w:rsid w:val="006A799F"/>
    <w:rsid w:val="006A79F5"/>
    <w:rsid w:val="006A7A31"/>
    <w:rsid w:val="006A7AD6"/>
    <w:rsid w:val="006A7B8F"/>
    <w:rsid w:val="006A7B93"/>
    <w:rsid w:val="006A7BC1"/>
    <w:rsid w:val="006A7CA7"/>
    <w:rsid w:val="006A7D99"/>
    <w:rsid w:val="006A7DAE"/>
    <w:rsid w:val="006B00B7"/>
    <w:rsid w:val="006B0296"/>
    <w:rsid w:val="006B0403"/>
    <w:rsid w:val="006B0493"/>
    <w:rsid w:val="006B0568"/>
    <w:rsid w:val="006B0739"/>
    <w:rsid w:val="006B07AC"/>
    <w:rsid w:val="006B0922"/>
    <w:rsid w:val="006B0996"/>
    <w:rsid w:val="006B09F6"/>
    <w:rsid w:val="006B0A94"/>
    <w:rsid w:val="006B0B0B"/>
    <w:rsid w:val="006B0C82"/>
    <w:rsid w:val="006B0D33"/>
    <w:rsid w:val="006B0DAB"/>
    <w:rsid w:val="006B0F43"/>
    <w:rsid w:val="006B0F4A"/>
    <w:rsid w:val="006B0F6E"/>
    <w:rsid w:val="006B0F93"/>
    <w:rsid w:val="006B1105"/>
    <w:rsid w:val="006B110F"/>
    <w:rsid w:val="006B121C"/>
    <w:rsid w:val="006B12B9"/>
    <w:rsid w:val="006B13A4"/>
    <w:rsid w:val="006B148A"/>
    <w:rsid w:val="006B14D3"/>
    <w:rsid w:val="006B14D7"/>
    <w:rsid w:val="006B14F6"/>
    <w:rsid w:val="006B153D"/>
    <w:rsid w:val="006B1615"/>
    <w:rsid w:val="006B193B"/>
    <w:rsid w:val="006B197A"/>
    <w:rsid w:val="006B19D7"/>
    <w:rsid w:val="006B1A72"/>
    <w:rsid w:val="006B1D61"/>
    <w:rsid w:val="006B1E38"/>
    <w:rsid w:val="006B1F5F"/>
    <w:rsid w:val="006B2035"/>
    <w:rsid w:val="006B2079"/>
    <w:rsid w:val="006B23B5"/>
    <w:rsid w:val="006B278E"/>
    <w:rsid w:val="006B286E"/>
    <w:rsid w:val="006B28ED"/>
    <w:rsid w:val="006B2970"/>
    <w:rsid w:val="006B29E9"/>
    <w:rsid w:val="006B2BF8"/>
    <w:rsid w:val="006B2DB2"/>
    <w:rsid w:val="006B2DE1"/>
    <w:rsid w:val="006B2EAA"/>
    <w:rsid w:val="006B3358"/>
    <w:rsid w:val="006B34AB"/>
    <w:rsid w:val="006B36E5"/>
    <w:rsid w:val="006B37BF"/>
    <w:rsid w:val="006B3A92"/>
    <w:rsid w:val="006B3B51"/>
    <w:rsid w:val="006B3C49"/>
    <w:rsid w:val="006B3C8F"/>
    <w:rsid w:val="006B3E38"/>
    <w:rsid w:val="006B3F07"/>
    <w:rsid w:val="006B40E4"/>
    <w:rsid w:val="006B4201"/>
    <w:rsid w:val="006B464D"/>
    <w:rsid w:val="006B4A7C"/>
    <w:rsid w:val="006B513E"/>
    <w:rsid w:val="006B53AC"/>
    <w:rsid w:val="006B54AD"/>
    <w:rsid w:val="006B5634"/>
    <w:rsid w:val="006B586D"/>
    <w:rsid w:val="006B5874"/>
    <w:rsid w:val="006B5A86"/>
    <w:rsid w:val="006B5BA9"/>
    <w:rsid w:val="006B5C22"/>
    <w:rsid w:val="006B5CE9"/>
    <w:rsid w:val="006B5D3E"/>
    <w:rsid w:val="006B5EF6"/>
    <w:rsid w:val="006B6820"/>
    <w:rsid w:val="006B6857"/>
    <w:rsid w:val="006B6929"/>
    <w:rsid w:val="006B6D21"/>
    <w:rsid w:val="006B6D77"/>
    <w:rsid w:val="006B6EB3"/>
    <w:rsid w:val="006B70BC"/>
    <w:rsid w:val="006B710B"/>
    <w:rsid w:val="006B714D"/>
    <w:rsid w:val="006B717E"/>
    <w:rsid w:val="006B751F"/>
    <w:rsid w:val="006B7874"/>
    <w:rsid w:val="006B78B1"/>
    <w:rsid w:val="006B7E70"/>
    <w:rsid w:val="006C01EE"/>
    <w:rsid w:val="006C0567"/>
    <w:rsid w:val="006C05A5"/>
    <w:rsid w:val="006C05CE"/>
    <w:rsid w:val="006C0770"/>
    <w:rsid w:val="006C0785"/>
    <w:rsid w:val="006C0788"/>
    <w:rsid w:val="006C0832"/>
    <w:rsid w:val="006C0836"/>
    <w:rsid w:val="006C0A02"/>
    <w:rsid w:val="006C0B25"/>
    <w:rsid w:val="006C0B27"/>
    <w:rsid w:val="006C0D23"/>
    <w:rsid w:val="006C0FE5"/>
    <w:rsid w:val="006C1000"/>
    <w:rsid w:val="006C1080"/>
    <w:rsid w:val="006C1391"/>
    <w:rsid w:val="006C13FC"/>
    <w:rsid w:val="006C1555"/>
    <w:rsid w:val="006C1565"/>
    <w:rsid w:val="006C1575"/>
    <w:rsid w:val="006C1660"/>
    <w:rsid w:val="006C16F5"/>
    <w:rsid w:val="006C18BE"/>
    <w:rsid w:val="006C1C3A"/>
    <w:rsid w:val="006C1E64"/>
    <w:rsid w:val="006C1E76"/>
    <w:rsid w:val="006C1E88"/>
    <w:rsid w:val="006C1F19"/>
    <w:rsid w:val="006C1F6B"/>
    <w:rsid w:val="006C21D2"/>
    <w:rsid w:val="006C23C5"/>
    <w:rsid w:val="006C24F4"/>
    <w:rsid w:val="006C2970"/>
    <w:rsid w:val="006C2997"/>
    <w:rsid w:val="006C29C5"/>
    <w:rsid w:val="006C2AE3"/>
    <w:rsid w:val="006C2B5D"/>
    <w:rsid w:val="006C2D63"/>
    <w:rsid w:val="006C2E55"/>
    <w:rsid w:val="006C2EB3"/>
    <w:rsid w:val="006C2F7F"/>
    <w:rsid w:val="006C2FB6"/>
    <w:rsid w:val="006C30AA"/>
    <w:rsid w:val="006C30BB"/>
    <w:rsid w:val="006C319C"/>
    <w:rsid w:val="006C324D"/>
    <w:rsid w:val="006C3541"/>
    <w:rsid w:val="006C35C7"/>
    <w:rsid w:val="006C361B"/>
    <w:rsid w:val="006C3644"/>
    <w:rsid w:val="006C3768"/>
    <w:rsid w:val="006C3F56"/>
    <w:rsid w:val="006C3FA6"/>
    <w:rsid w:val="006C43CC"/>
    <w:rsid w:val="006C48EF"/>
    <w:rsid w:val="006C4978"/>
    <w:rsid w:val="006C4ADB"/>
    <w:rsid w:val="006C4B97"/>
    <w:rsid w:val="006C4EFC"/>
    <w:rsid w:val="006C4FF3"/>
    <w:rsid w:val="006C5201"/>
    <w:rsid w:val="006C528E"/>
    <w:rsid w:val="006C529F"/>
    <w:rsid w:val="006C52F4"/>
    <w:rsid w:val="006C5633"/>
    <w:rsid w:val="006C565B"/>
    <w:rsid w:val="006C5988"/>
    <w:rsid w:val="006C5A40"/>
    <w:rsid w:val="006C5BA1"/>
    <w:rsid w:val="006C5CFF"/>
    <w:rsid w:val="006C5D10"/>
    <w:rsid w:val="006C5F18"/>
    <w:rsid w:val="006C6346"/>
    <w:rsid w:val="006C6637"/>
    <w:rsid w:val="006C670C"/>
    <w:rsid w:val="006C6875"/>
    <w:rsid w:val="006C6949"/>
    <w:rsid w:val="006C6950"/>
    <w:rsid w:val="006C6C2A"/>
    <w:rsid w:val="006C7178"/>
    <w:rsid w:val="006C71BF"/>
    <w:rsid w:val="006C743F"/>
    <w:rsid w:val="006C75DE"/>
    <w:rsid w:val="006C7665"/>
    <w:rsid w:val="006C770A"/>
    <w:rsid w:val="006C777A"/>
    <w:rsid w:val="006C785B"/>
    <w:rsid w:val="006C7923"/>
    <w:rsid w:val="006C79D4"/>
    <w:rsid w:val="006C7A71"/>
    <w:rsid w:val="006C7ADA"/>
    <w:rsid w:val="006C7C40"/>
    <w:rsid w:val="006C7C92"/>
    <w:rsid w:val="006C7D1A"/>
    <w:rsid w:val="006C7E4D"/>
    <w:rsid w:val="006CD3FD"/>
    <w:rsid w:val="006D0007"/>
    <w:rsid w:val="006D030C"/>
    <w:rsid w:val="006D0383"/>
    <w:rsid w:val="006D0630"/>
    <w:rsid w:val="006D0682"/>
    <w:rsid w:val="006D0937"/>
    <w:rsid w:val="006D0952"/>
    <w:rsid w:val="006D0DCC"/>
    <w:rsid w:val="006D0DED"/>
    <w:rsid w:val="006D0F2C"/>
    <w:rsid w:val="006D1023"/>
    <w:rsid w:val="006D1260"/>
    <w:rsid w:val="006D131E"/>
    <w:rsid w:val="006D1501"/>
    <w:rsid w:val="006D1629"/>
    <w:rsid w:val="006D18C3"/>
    <w:rsid w:val="006D193A"/>
    <w:rsid w:val="006D1AB9"/>
    <w:rsid w:val="006D1AF8"/>
    <w:rsid w:val="006D1C9E"/>
    <w:rsid w:val="006D1D0D"/>
    <w:rsid w:val="006D1E5B"/>
    <w:rsid w:val="006D1F99"/>
    <w:rsid w:val="006D1FAC"/>
    <w:rsid w:val="006D20BA"/>
    <w:rsid w:val="006D241B"/>
    <w:rsid w:val="006D254E"/>
    <w:rsid w:val="006D2661"/>
    <w:rsid w:val="006D2720"/>
    <w:rsid w:val="006D2794"/>
    <w:rsid w:val="006D29F3"/>
    <w:rsid w:val="006D29F5"/>
    <w:rsid w:val="006D2AF1"/>
    <w:rsid w:val="006D2D62"/>
    <w:rsid w:val="006D3037"/>
    <w:rsid w:val="006D30D9"/>
    <w:rsid w:val="006D3102"/>
    <w:rsid w:val="006D326C"/>
    <w:rsid w:val="006D346C"/>
    <w:rsid w:val="006D352C"/>
    <w:rsid w:val="006D3613"/>
    <w:rsid w:val="006D3688"/>
    <w:rsid w:val="006D36A3"/>
    <w:rsid w:val="006D37AC"/>
    <w:rsid w:val="006D3805"/>
    <w:rsid w:val="006D3898"/>
    <w:rsid w:val="006D3D42"/>
    <w:rsid w:val="006D3E8D"/>
    <w:rsid w:val="006D3FCF"/>
    <w:rsid w:val="006D40FC"/>
    <w:rsid w:val="006D4472"/>
    <w:rsid w:val="006D4690"/>
    <w:rsid w:val="006D47E4"/>
    <w:rsid w:val="006D495F"/>
    <w:rsid w:val="006D49D5"/>
    <w:rsid w:val="006D50BB"/>
    <w:rsid w:val="006D5B32"/>
    <w:rsid w:val="006D5BB7"/>
    <w:rsid w:val="006D5DAA"/>
    <w:rsid w:val="006D5EE8"/>
    <w:rsid w:val="006D5F0F"/>
    <w:rsid w:val="006D62D2"/>
    <w:rsid w:val="006D644F"/>
    <w:rsid w:val="006D649B"/>
    <w:rsid w:val="006D64A8"/>
    <w:rsid w:val="006D6524"/>
    <w:rsid w:val="006D6624"/>
    <w:rsid w:val="006D6718"/>
    <w:rsid w:val="006D677B"/>
    <w:rsid w:val="006D6817"/>
    <w:rsid w:val="006D681B"/>
    <w:rsid w:val="006D6907"/>
    <w:rsid w:val="006D69B0"/>
    <w:rsid w:val="006D6AF2"/>
    <w:rsid w:val="006D6B58"/>
    <w:rsid w:val="006D6C61"/>
    <w:rsid w:val="006D6FAF"/>
    <w:rsid w:val="006D706E"/>
    <w:rsid w:val="006D707C"/>
    <w:rsid w:val="006D7223"/>
    <w:rsid w:val="006D739C"/>
    <w:rsid w:val="006D73C5"/>
    <w:rsid w:val="006D7621"/>
    <w:rsid w:val="006D77A1"/>
    <w:rsid w:val="006D786D"/>
    <w:rsid w:val="006D78F1"/>
    <w:rsid w:val="006D791D"/>
    <w:rsid w:val="006D794F"/>
    <w:rsid w:val="006D79EC"/>
    <w:rsid w:val="006D7BFB"/>
    <w:rsid w:val="006D7D25"/>
    <w:rsid w:val="006E026E"/>
    <w:rsid w:val="006E02E6"/>
    <w:rsid w:val="006E034D"/>
    <w:rsid w:val="006E0A6E"/>
    <w:rsid w:val="006E0E2B"/>
    <w:rsid w:val="006E0EB1"/>
    <w:rsid w:val="006E10B0"/>
    <w:rsid w:val="006E115B"/>
    <w:rsid w:val="006E1335"/>
    <w:rsid w:val="006E14C3"/>
    <w:rsid w:val="006E19B7"/>
    <w:rsid w:val="006E1BB9"/>
    <w:rsid w:val="006E1CAF"/>
    <w:rsid w:val="006E23A6"/>
    <w:rsid w:val="006E23E5"/>
    <w:rsid w:val="006E2524"/>
    <w:rsid w:val="006E2668"/>
    <w:rsid w:val="006E267C"/>
    <w:rsid w:val="006E2715"/>
    <w:rsid w:val="006E28AD"/>
    <w:rsid w:val="006E2938"/>
    <w:rsid w:val="006E2995"/>
    <w:rsid w:val="006E2C46"/>
    <w:rsid w:val="006E2F57"/>
    <w:rsid w:val="006E2F91"/>
    <w:rsid w:val="006E2FC0"/>
    <w:rsid w:val="006E35E9"/>
    <w:rsid w:val="006E367B"/>
    <w:rsid w:val="006E36D8"/>
    <w:rsid w:val="006E3809"/>
    <w:rsid w:val="006E3959"/>
    <w:rsid w:val="006E3A92"/>
    <w:rsid w:val="006E3C3E"/>
    <w:rsid w:val="006E3C54"/>
    <w:rsid w:val="006E3D52"/>
    <w:rsid w:val="006E3F99"/>
    <w:rsid w:val="006E40D8"/>
    <w:rsid w:val="006E4110"/>
    <w:rsid w:val="006E4288"/>
    <w:rsid w:val="006E4372"/>
    <w:rsid w:val="006E4449"/>
    <w:rsid w:val="006E4485"/>
    <w:rsid w:val="006E44EC"/>
    <w:rsid w:val="006E46D2"/>
    <w:rsid w:val="006E49A8"/>
    <w:rsid w:val="006E4AA8"/>
    <w:rsid w:val="006E4C77"/>
    <w:rsid w:val="006E4E8C"/>
    <w:rsid w:val="006E50C9"/>
    <w:rsid w:val="006E5103"/>
    <w:rsid w:val="006E517B"/>
    <w:rsid w:val="006E526C"/>
    <w:rsid w:val="006E56E9"/>
    <w:rsid w:val="006E5910"/>
    <w:rsid w:val="006E5992"/>
    <w:rsid w:val="006E5BA5"/>
    <w:rsid w:val="006E5C70"/>
    <w:rsid w:val="006E5E91"/>
    <w:rsid w:val="006E5F0C"/>
    <w:rsid w:val="006E623A"/>
    <w:rsid w:val="006E623C"/>
    <w:rsid w:val="006E62F2"/>
    <w:rsid w:val="006E62F7"/>
    <w:rsid w:val="006E6600"/>
    <w:rsid w:val="006E66E9"/>
    <w:rsid w:val="006E6705"/>
    <w:rsid w:val="006E67B3"/>
    <w:rsid w:val="006E6893"/>
    <w:rsid w:val="006E6D08"/>
    <w:rsid w:val="006E70B4"/>
    <w:rsid w:val="006E7103"/>
    <w:rsid w:val="006E71ED"/>
    <w:rsid w:val="006E73E4"/>
    <w:rsid w:val="006E7457"/>
    <w:rsid w:val="006E7622"/>
    <w:rsid w:val="006E7764"/>
    <w:rsid w:val="006E7949"/>
    <w:rsid w:val="006E79A4"/>
    <w:rsid w:val="006E7AF9"/>
    <w:rsid w:val="006E7B28"/>
    <w:rsid w:val="006E7BDF"/>
    <w:rsid w:val="006E7BF0"/>
    <w:rsid w:val="006E7D12"/>
    <w:rsid w:val="006E7D37"/>
    <w:rsid w:val="006E7E47"/>
    <w:rsid w:val="006F03D1"/>
    <w:rsid w:val="006F0475"/>
    <w:rsid w:val="006F05A2"/>
    <w:rsid w:val="006F088B"/>
    <w:rsid w:val="006F0AB7"/>
    <w:rsid w:val="006F0CF6"/>
    <w:rsid w:val="006F111F"/>
    <w:rsid w:val="006F11B9"/>
    <w:rsid w:val="006F11F1"/>
    <w:rsid w:val="006F1311"/>
    <w:rsid w:val="006F1484"/>
    <w:rsid w:val="006F14DB"/>
    <w:rsid w:val="006F1A64"/>
    <w:rsid w:val="006F1B80"/>
    <w:rsid w:val="006F1E62"/>
    <w:rsid w:val="006F20B4"/>
    <w:rsid w:val="006F2182"/>
    <w:rsid w:val="006F24A5"/>
    <w:rsid w:val="006F2564"/>
    <w:rsid w:val="006F2786"/>
    <w:rsid w:val="006F2CDD"/>
    <w:rsid w:val="006F2DA7"/>
    <w:rsid w:val="006F2E6F"/>
    <w:rsid w:val="006F2F2C"/>
    <w:rsid w:val="006F2F2F"/>
    <w:rsid w:val="006F2FFE"/>
    <w:rsid w:val="006F3037"/>
    <w:rsid w:val="006F31C3"/>
    <w:rsid w:val="006F321A"/>
    <w:rsid w:val="006F33E5"/>
    <w:rsid w:val="006F3605"/>
    <w:rsid w:val="006F3685"/>
    <w:rsid w:val="006F3783"/>
    <w:rsid w:val="006F3B9D"/>
    <w:rsid w:val="006F3BAD"/>
    <w:rsid w:val="006F3DD8"/>
    <w:rsid w:val="006F3E39"/>
    <w:rsid w:val="006F3EFC"/>
    <w:rsid w:val="006F4010"/>
    <w:rsid w:val="006F4067"/>
    <w:rsid w:val="006F407A"/>
    <w:rsid w:val="006F415B"/>
    <w:rsid w:val="006F42AD"/>
    <w:rsid w:val="006F44B9"/>
    <w:rsid w:val="006F44CB"/>
    <w:rsid w:val="006F4731"/>
    <w:rsid w:val="006F49CE"/>
    <w:rsid w:val="006F4A21"/>
    <w:rsid w:val="006F4A46"/>
    <w:rsid w:val="006F4ACF"/>
    <w:rsid w:val="006F4F87"/>
    <w:rsid w:val="006F515F"/>
    <w:rsid w:val="006F56A7"/>
    <w:rsid w:val="006F573C"/>
    <w:rsid w:val="006F5741"/>
    <w:rsid w:val="006F5789"/>
    <w:rsid w:val="006F5914"/>
    <w:rsid w:val="006F5ED0"/>
    <w:rsid w:val="006F5FF7"/>
    <w:rsid w:val="006F62BE"/>
    <w:rsid w:val="006F6394"/>
    <w:rsid w:val="006F6575"/>
    <w:rsid w:val="006F6636"/>
    <w:rsid w:val="006F66CB"/>
    <w:rsid w:val="006F680B"/>
    <w:rsid w:val="006F6853"/>
    <w:rsid w:val="006F6934"/>
    <w:rsid w:val="006F6C11"/>
    <w:rsid w:val="006F6C3C"/>
    <w:rsid w:val="006F6C69"/>
    <w:rsid w:val="006F709E"/>
    <w:rsid w:val="006F718B"/>
    <w:rsid w:val="006F7216"/>
    <w:rsid w:val="006F7537"/>
    <w:rsid w:val="006F7562"/>
    <w:rsid w:val="006F7A2F"/>
    <w:rsid w:val="006F7BF6"/>
    <w:rsid w:val="006F7EAB"/>
    <w:rsid w:val="00700153"/>
    <w:rsid w:val="00700187"/>
    <w:rsid w:val="00700198"/>
    <w:rsid w:val="0070035D"/>
    <w:rsid w:val="007003CF"/>
    <w:rsid w:val="007003D8"/>
    <w:rsid w:val="0070057B"/>
    <w:rsid w:val="00700681"/>
    <w:rsid w:val="00700873"/>
    <w:rsid w:val="007008DD"/>
    <w:rsid w:val="00700985"/>
    <w:rsid w:val="00700A06"/>
    <w:rsid w:val="00700A07"/>
    <w:rsid w:val="00700CD7"/>
    <w:rsid w:val="00700D7A"/>
    <w:rsid w:val="00700FC0"/>
    <w:rsid w:val="00701071"/>
    <w:rsid w:val="00701113"/>
    <w:rsid w:val="007013BE"/>
    <w:rsid w:val="00701407"/>
    <w:rsid w:val="00701452"/>
    <w:rsid w:val="007014BA"/>
    <w:rsid w:val="007014D9"/>
    <w:rsid w:val="007014DD"/>
    <w:rsid w:val="00701571"/>
    <w:rsid w:val="007016DD"/>
    <w:rsid w:val="007017CC"/>
    <w:rsid w:val="00701813"/>
    <w:rsid w:val="0070185C"/>
    <w:rsid w:val="007018DB"/>
    <w:rsid w:val="00701963"/>
    <w:rsid w:val="00701ABD"/>
    <w:rsid w:val="00701AC4"/>
    <w:rsid w:val="00701DEA"/>
    <w:rsid w:val="00701EB0"/>
    <w:rsid w:val="00701FA5"/>
    <w:rsid w:val="00701FBE"/>
    <w:rsid w:val="00702213"/>
    <w:rsid w:val="0070241C"/>
    <w:rsid w:val="0070263B"/>
    <w:rsid w:val="0070273A"/>
    <w:rsid w:val="007027FF"/>
    <w:rsid w:val="0070286B"/>
    <w:rsid w:val="0070288E"/>
    <w:rsid w:val="00702AD3"/>
    <w:rsid w:val="00702C79"/>
    <w:rsid w:val="00702F3D"/>
    <w:rsid w:val="007030D7"/>
    <w:rsid w:val="007031A9"/>
    <w:rsid w:val="007039AA"/>
    <w:rsid w:val="00703A3D"/>
    <w:rsid w:val="00703A54"/>
    <w:rsid w:val="00703D10"/>
    <w:rsid w:val="00703D20"/>
    <w:rsid w:val="00703F1B"/>
    <w:rsid w:val="0070405A"/>
    <w:rsid w:val="007040B6"/>
    <w:rsid w:val="00704331"/>
    <w:rsid w:val="00704453"/>
    <w:rsid w:val="00704A37"/>
    <w:rsid w:val="00704C81"/>
    <w:rsid w:val="0070512C"/>
    <w:rsid w:val="00705260"/>
    <w:rsid w:val="00705547"/>
    <w:rsid w:val="0070571A"/>
    <w:rsid w:val="0070576B"/>
    <w:rsid w:val="00705879"/>
    <w:rsid w:val="00705887"/>
    <w:rsid w:val="007058EE"/>
    <w:rsid w:val="007059BF"/>
    <w:rsid w:val="00705B28"/>
    <w:rsid w:val="00705BC9"/>
    <w:rsid w:val="00705C5C"/>
    <w:rsid w:val="00705DD8"/>
    <w:rsid w:val="00706154"/>
    <w:rsid w:val="007062CE"/>
    <w:rsid w:val="007063A0"/>
    <w:rsid w:val="007065FA"/>
    <w:rsid w:val="0070662D"/>
    <w:rsid w:val="007066A9"/>
    <w:rsid w:val="00706701"/>
    <w:rsid w:val="007068CC"/>
    <w:rsid w:val="00706BAD"/>
    <w:rsid w:val="00706E83"/>
    <w:rsid w:val="00706F09"/>
    <w:rsid w:val="0070708C"/>
    <w:rsid w:val="007070CB"/>
    <w:rsid w:val="007070DC"/>
    <w:rsid w:val="007072E7"/>
    <w:rsid w:val="00707540"/>
    <w:rsid w:val="00707602"/>
    <w:rsid w:val="00707629"/>
    <w:rsid w:val="00707737"/>
    <w:rsid w:val="00707913"/>
    <w:rsid w:val="00707A09"/>
    <w:rsid w:val="00707D6C"/>
    <w:rsid w:val="00707E79"/>
    <w:rsid w:val="00707ED0"/>
    <w:rsid w:val="00707F70"/>
    <w:rsid w:val="0071006D"/>
    <w:rsid w:val="0071022B"/>
    <w:rsid w:val="00710237"/>
    <w:rsid w:val="007102D3"/>
    <w:rsid w:val="007103A8"/>
    <w:rsid w:val="00710401"/>
    <w:rsid w:val="0071051A"/>
    <w:rsid w:val="00710529"/>
    <w:rsid w:val="0071058E"/>
    <w:rsid w:val="00710646"/>
    <w:rsid w:val="0071075D"/>
    <w:rsid w:val="00710E03"/>
    <w:rsid w:val="00710EDC"/>
    <w:rsid w:val="007110E1"/>
    <w:rsid w:val="00711104"/>
    <w:rsid w:val="00711290"/>
    <w:rsid w:val="007113D4"/>
    <w:rsid w:val="007113EA"/>
    <w:rsid w:val="00711423"/>
    <w:rsid w:val="0071153D"/>
    <w:rsid w:val="007117EF"/>
    <w:rsid w:val="00711AAA"/>
    <w:rsid w:val="00711AD2"/>
    <w:rsid w:val="00711B29"/>
    <w:rsid w:val="00711C16"/>
    <w:rsid w:val="00711DD5"/>
    <w:rsid w:val="00712043"/>
    <w:rsid w:val="0071215C"/>
    <w:rsid w:val="00712218"/>
    <w:rsid w:val="00712383"/>
    <w:rsid w:val="00712566"/>
    <w:rsid w:val="00712687"/>
    <w:rsid w:val="00712815"/>
    <w:rsid w:val="00712840"/>
    <w:rsid w:val="007129DB"/>
    <w:rsid w:val="00712A68"/>
    <w:rsid w:val="00712A77"/>
    <w:rsid w:val="00712B1C"/>
    <w:rsid w:val="00712C29"/>
    <w:rsid w:val="00712EE7"/>
    <w:rsid w:val="00713727"/>
    <w:rsid w:val="0071389F"/>
    <w:rsid w:val="007139A8"/>
    <w:rsid w:val="00713B2E"/>
    <w:rsid w:val="00713D28"/>
    <w:rsid w:val="00713D70"/>
    <w:rsid w:val="00713DCE"/>
    <w:rsid w:val="00713E97"/>
    <w:rsid w:val="00714045"/>
    <w:rsid w:val="00714814"/>
    <w:rsid w:val="00714873"/>
    <w:rsid w:val="00714A26"/>
    <w:rsid w:val="00714DBD"/>
    <w:rsid w:val="00714ECC"/>
    <w:rsid w:val="00715081"/>
    <w:rsid w:val="00715152"/>
    <w:rsid w:val="00715163"/>
    <w:rsid w:val="00715218"/>
    <w:rsid w:val="007153B8"/>
    <w:rsid w:val="00715499"/>
    <w:rsid w:val="007156AB"/>
    <w:rsid w:val="00715706"/>
    <w:rsid w:val="00715886"/>
    <w:rsid w:val="0071590C"/>
    <w:rsid w:val="0071597E"/>
    <w:rsid w:val="007159D0"/>
    <w:rsid w:val="00715A01"/>
    <w:rsid w:val="00715ADA"/>
    <w:rsid w:val="00715B80"/>
    <w:rsid w:val="00715EFB"/>
    <w:rsid w:val="007162B5"/>
    <w:rsid w:val="00716302"/>
    <w:rsid w:val="00716350"/>
    <w:rsid w:val="00716525"/>
    <w:rsid w:val="00716A4A"/>
    <w:rsid w:val="00716B93"/>
    <w:rsid w:val="00716BFC"/>
    <w:rsid w:val="00716ED4"/>
    <w:rsid w:val="007174FF"/>
    <w:rsid w:val="007176D3"/>
    <w:rsid w:val="007178A0"/>
    <w:rsid w:val="007179FE"/>
    <w:rsid w:val="00717E9F"/>
    <w:rsid w:val="00717EE9"/>
    <w:rsid w:val="00717EF8"/>
    <w:rsid w:val="007201F8"/>
    <w:rsid w:val="00720737"/>
    <w:rsid w:val="007209CE"/>
    <w:rsid w:val="00720A84"/>
    <w:rsid w:val="00720C00"/>
    <w:rsid w:val="00720E90"/>
    <w:rsid w:val="00720EEE"/>
    <w:rsid w:val="00720F0D"/>
    <w:rsid w:val="00721080"/>
    <w:rsid w:val="007211E5"/>
    <w:rsid w:val="007211ED"/>
    <w:rsid w:val="007212AC"/>
    <w:rsid w:val="0072139D"/>
    <w:rsid w:val="007215C3"/>
    <w:rsid w:val="00721875"/>
    <w:rsid w:val="00721ACE"/>
    <w:rsid w:val="00721C7A"/>
    <w:rsid w:val="00721D9B"/>
    <w:rsid w:val="00722151"/>
    <w:rsid w:val="00722320"/>
    <w:rsid w:val="007224D1"/>
    <w:rsid w:val="00722545"/>
    <w:rsid w:val="00722AF1"/>
    <w:rsid w:val="00722CB9"/>
    <w:rsid w:val="00722D4E"/>
    <w:rsid w:val="00722EBE"/>
    <w:rsid w:val="00722F44"/>
    <w:rsid w:val="00722F51"/>
    <w:rsid w:val="0072331D"/>
    <w:rsid w:val="007234A5"/>
    <w:rsid w:val="007234AF"/>
    <w:rsid w:val="007234F4"/>
    <w:rsid w:val="00723602"/>
    <w:rsid w:val="00723868"/>
    <w:rsid w:val="00723A9A"/>
    <w:rsid w:val="00723B56"/>
    <w:rsid w:val="00723C8B"/>
    <w:rsid w:val="00723CC3"/>
    <w:rsid w:val="00723E03"/>
    <w:rsid w:val="0072411C"/>
    <w:rsid w:val="007241B2"/>
    <w:rsid w:val="00724244"/>
    <w:rsid w:val="0072424B"/>
    <w:rsid w:val="007243F3"/>
    <w:rsid w:val="00724515"/>
    <w:rsid w:val="0072494F"/>
    <w:rsid w:val="00724953"/>
    <w:rsid w:val="00724B2B"/>
    <w:rsid w:val="00724CD9"/>
    <w:rsid w:val="00724E6F"/>
    <w:rsid w:val="00724F11"/>
    <w:rsid w:val="00725200"/>
    <w:rsid w:val="0072536D"/>
    <w:rsid w:val="007253F6"/>
    <w:rsid w:val="0072564D"/>
    <w:rsid w:val="007256A2"/>
    <w:rsid w:val="0072578B"/>
    <w:rsid w:val="00725932"/>
    <w:rsid w:val="00725958"/>
    <w:rsid w:val="007259E2"/>
    <w:rsid w:val="00725C46"/>
    <w:rsid w:val="00725DE9"/>
    <w:rsid w:val="00725E11"/>
    <w:rsid w:val="00725F18"/>
    <w:rsid w:val="00726107"/>
    <w:rsid w:val="00726176"/>
    <w:rsid w:val="00726177"/>
    <w:rsid w:val="00726199"/>
    <w:rsid w:val="007261E2"/>
    <w:rsid w:val="00726271"/>
    <w:rsid w:val="0072649D"/>
    <w:rsid w:val="007264C8"/>
    <w:rsid w:val="00726713"/>
    <w:rsid w:val="00726723"/>
    <w:rsid w:val="00726765"/>
    <w:rsid w:val="00726790"/>
    <w:rsid w:val="00726844"/>
    <w:rsid w:val="00726B94"/>
    <w:rsid w:val="00726D20"/>
    <w:rsid w:val="00726E47"/>
    <w:rsid w:val="00726E93"/>
    <w:rsid w:val="00727253"/>
    <w:rsid w:val="0072729E"/>
    <w:rsid w:val="0072789A"/>
    <w:rsid w:val="0072789E"/>
    <w:rsid w:val="00727A36"/>
    <w:rsid w:val="00727ABA"/>
    <w:rsid w:val="00727B2B"/>
    <w:rsid w:val="00727CF5"/>
    <w:rsid w:val="00727E18"/>
    <w:rsid w:val="007303C7"/>
    <w:rsid w:val="00730699"/>
    <w:rsid w:val="0073095F"/>
    <w:rsid w:val="00730B43"/>
    <w:rsid w:val="00730EC7"/>
    <w:rsid w:val="00730ECB"/>
    <w:rsid w:val="00731163"/>
    <w:rsid w:val="0073154F"/>
    <w:rsid w:val="007315A2"/>
    <w:rsid w:val="007315EF"/>
    <w:rsid w:val="00731626"/>
    <w:rsid w:val="00731A69"/>
    <w:rsid w:val="00731CD9"/>
    <w:rsid w:val="00731DA7"/>
    <w:rsid w:val="00731F09"/>
    <w:rsid w:val="00731FA4"/>
    <w:rsid w:val="0073206E"/>
    <w:rsid w:val="00732232"/>
    <w:rsid w:val="00732DF4"/>
    <w:rsid w:val="00732E63"/>
    <w:rsid w:val="00732E7E"/>
    <w:rsid w:val="00732F80"/>
    <w:rsid w:val="007331ED"/>
    <w:rsid w:val="007332C3"/>
    <w:rsid w:val="0073339B"/>
    <w:rsid w:val="007335D0"/>
    <w:rsid w:val="00733633"/>
    <w:rsid w:val="00733998"/>
    <w:rsid w:val="00733A13"/>
    <w:rsid w:val="00733BE1"/>
    <w:rsid w:val="00733C67"/>
    <w:rsid w:val="0073401E"/>
    <w:rsid w:val="007340F6"/>
    <w:rsid w:val="00734456"/>
    <w:rsid w:val="007345A1"/>
    <w:rsid w:val="007345DB"/>
    <w:rsid w:val="00734603"/>
    <w:rsid w:val="007346D7"/>
    <w:rsid w:val="007346E3"/>
    <w:rsid w:val="00734AEB"/>
    <w:rsid w:val="00734C0D"/>
    <w:rsid w:val="00734CBB"/>
    <w:rsid w:val="00734CDF"/>
    <w:rsid w:val="00734CEC"/>
    <w:rsid w:val="00734DA2"/>
    <w:rsid w:val="00734E2F"/>
    <w:rsid w:val="00734E89"/>
    <w:rsid w:val="00734EA5"/>
    <w:rsid w:val="00734F16"/>
    <w:rsid w:val="007350AF"/>
    <w:rsid w:val="0073515C"/>
    <w:rsid w:val="007355E7"/>
    <w:rsid w:val="0073571E"/>
    <w:rsid w:val="0073574F"/>
    <w:rsid w:val="0073579D"/>
    <w:rsid w:val="007358FC"/>
    <w:rsid w:val="00735984"/>
    <w:rsid w:val="00735A16"/>
    <w:rsid w:val="00735D83"/>
    <w:rsid w:val="00735EBE"/>
    <w:rsid w:val="00735EC4"/>
    <w:rsid w:val="00735F24"/>
    <w:rsid w:val="00736042"/>
    <w:rsid w:val="007364AC"/>
    <w:rsid w:val="00736D4C"/>
    <w:rsid w:val="00736E15"/>
    <w:rsid w:val="00736E73"/>
    <w:rsid w:val="00736F73"/>
    <w:rsid w:val="00736FE6"/>
    <w:rsid w:val="007370F6"/>
    <w:rsid w:val="00737114"/>
    <w:rsid w:val="00737151"/>
    <w:rsid w:val="00737336"/>
    <w:rsid w:val="007373D6"/>
    <w:rsid w:val="00737467"/>
    <w:rsid w:val="0073779F"/>
    <w:rsid w:val="0073782E"/>
    <w:rsid w:val="00737880"/>
    <w:rsid w:val="00737900"/>
    <w:rsid w:val="00737ED1"/>
    <w:rsid w:val="00737F6A"/>
    <w:rsid w:val="0074005C"/>
    <w:rsid w:val="00740301"/>
    <w:rsid w:val="007404A2"/>
    <w:rsid w:val="007404B0"/>
    <w:rsid w:val="007405CD"/>
    <w:rsid w:val="00740760"/>
    <w:rsid w:val="007407F2"/>
    <w:rsid w:val="00740C3B"/>
    <w:rsid w:val="00740EDC"/>
    <w:rsid w:val="00740EE6"/>
    <w:rsid w:val="00741208"/>
    <w:rsid w:val="00741233"/>
    <w:rsid w:val="0074151D"/>
    <w:rsid w:val="00741553"/>
    <w:rsid w:val="0074171E"/>
    <w:rsid w:val="007418C2"/>
    <w:rsid w:val="007418C3"/>
    <w:rsid w:val="00741EC2"/>
    <w:rsid w:val="007420DE"/>
    <w:rsid w:val="007421DD"/>
    <w:rsid w:val="0074248A"/>
    <w:rsid w:val="007428C2"/>
    <w:rsid w:val="00742978"/>
    <w:rsid w:val="007429B3"/>
    <w:rsid w:val="00742BAD"/>
    <w:rsid w:val="00742F8C"/>
    <w:rsid w:val="007430D1"/>
    <w:rsid w:val="00743212"/>
    <w:rsid w:val="007433B4"/>
    <w:rsid w:val="00743968"/>
    <w:rsid w:val="00743B35"/>
    <w:rsid w:val="00743B91"/>
    <w:rsid w:val="00743C64"/>
    <w:rsid w:val="00743D65"/>
    <w:rsid w:val="00743F5D"/>
    <w:rsid w:val="00743FF2"/>
    <w:rsid w:val="00744435"/>
    <w:rsid w:val="007447E2"/>
    <w:rsid w:val="00744802"/>
    <w:rsid w:val="00744C2F"/>
    <w:rsid w:val="007450B5"/>
    <w:rsid w:val="0074568C"/>
    <w:rsid w:val="007457CD"/>
    <w:rsid w:val="00745FBB"/>
    <w:rsid w:val="00746118"/>
    <w:rsid w:val="00746189"/>
    <w:rsid w:val="007461E0"/>
    <w:rsid w:val="0074649C"/>
    <w:rsid w:val="007466F6"/>
    <w:rsid w:val="007467E2"/>
    <w:rsid w:val="007468E3"/>
    <w:rsid w:val="00746A87"/>
    <w:rsid w:val="00746BD9"/>
    <w:rsid w:val="00746C8E"/>
    <w:rsid w:val="00746CB2"/>
    <w:rsid w:val="00746ED9"/>
    <w:rsid w:val="0074711A"/>
    <w:rsid w:val="00747496"/>
    <w:rsid w:val="00747981"/>
    <w:rsid w:val="00747B9F"/>
    <w:rsid w:val="00747C55"/>
    <w:rsid w:val="00747DE6"/>
    <w:rsid w:val="00747EB0"/>
    <w:rsid w:val="00747EB7"/>
    <w:rsid w:val="00747F47"/>
    <w:rsid w:val="00747FB7"/>
    <w:rsid w:val="00750025"/>
    <w:rsid w:val="007500B5"/>
    <w:rsid w:val="00750279"/>
    <w:rsid w:val="0075030F"/>
    <w:rsid w:val="007503A4"/>
    <w:rsid w:val="0075064D"/>
    <w:rsid w:val="007507DA"/>
    <w:rsid w:val="007508E2"/>
    <w:rsid w:val="007509D1"/>
    <w:rsid w:val="00750E9A"/>
    <w:rsid w:val="007510E3"/>
    <w:rsid w:val="00751286"/>
    <w:rsid w:val="007512D7"/>
    <w:rsid w:val="007514F0"/>
    <w:rsid w:val="00751577"/>
    <w:rsid w:val="0075186C"/>
    <w:rsid w:val="0075189B"/>
    <w:rsid w:val="00751AD4"/>
    <w:rsid w:val="00751C9F"/>
    <w:rsid w:val="00751DEF"/>
    <w:rsid w:val="00751E9A"/>
    <w:rsid w:val="00751F13"/>
    <w:rsid w:val="00751F52"/>
    <w:rsid w:val="00751FC1"/>
    <w:rsid w:val="00751FE4"/>
    <w:rsid w:val="00752095"/>
    <w:rsid w:val="00752463"/>
    <w:rsid w:val="00752488"/>
    <w:rsid w:val="00752941"/>
    <w:rsid w:val="00752986"/>
    <w:rsid w:val="007529B2"/>
    <w:rsid w:val="00752CAC"/>
    <w:rsid w:val="00752DE1"/>
    <w:rsid w:val="00752E71"/>
    <w:rsid w:val="00752FE7"/>
    <w:rsid w:val="007530C9"/>
    <w:rsid w:val="007531AB"/>
    <w:rsid w:val="00753270"/>
    <w:rsid w:val="007532AD"/>
    <w:rsid w:val="00753300"/>
    <w:rsid w:val="00753453"/>
    <w:rsid w:val="007535F6"/>
    <w:rsid w:val="00753BF5"/>
    <w:rsid w:val="00753CBA"/>
    <w:rsid w:val="00754025"/>
    <w:rsid w:val="0075407E"/>
    <w:rsid w:val="007542F6"/>
    <w:rsid w:val="007543C8"/>
    <w:rsid w:val="007544C0"/>
    <w:rsid w:val="00754540"/>
    <w:rsid w:val="0075456E"/>
    <w:rsid w:val="007545BB"/>
    <w:rsid w:val="007546DB"/>
    <w:rsid w:val="00754798"/>
    <w:rsid w:val="007548F0"/>
    <w:rsid w:val="007548F5"/>
    <w:rsid w:val="0075493A"/>
    <w:rsid w:val="00754A37"/>
    <w:rsid w:val="00754D0D"/>
    <w:rsid w:val="00754E96"/>
    <w:rsid w:val="00754EBC"/>
    <w:rsid w:val="00754EC5"/>
    <w:rsid w:val="00754EF6"/>
    <w:rsid w:val="00754F71"/>
    <w:rsid w:val="00754FA1"/>
    <w:rsid w:val="0075529B"/>
    <w:rsid w:val="007552E5"/>
    <w:rsid w:val="0075538C"/>
    <w:rsid w:val="0075539D"/>
    <w:rsid w:val="00755C64"/>
    <w:rsid w:val="0075626C"/>
    <w:rsid w:val="007562AF"/>
    <w:rsid w:val="0075634D"/>
    <w:rsid w:val="00756381"/>
    <w:rsid w:val="00756736"/>
    <w:rsid w:val="007568CB"/>
    <w:rsid w:val="00756974"/>
    <w:rsid w:val="00756B23"/>
    <w:rsid w:val="00756CC4"/>
    <w:rsid w:val="00756EC7"/>
    <w:rsid w:val="00756F38"/>
    <w:rsid w:val="00756FE7"/>
    <w:rsid w:val="00756FEA"/>
    <w:rsid w:val="00757199"/>
    <w:rsid w:val="007572F8"/>
    <w:rsid w:val="007572FD"/>
    <w:rsid w:val="0075734D"/>
    <w:rsid w:val="007575EE"/>
    <w:rsid w:val="007576F8"/>
    <w:rsid w:val="00757740"/>
    <w:rsid w:val="00757806"/>
    <w:rsid w:val="0075781F"/>
    <w:rsid w:val="00757C2D"/>
    <w:rsid w:val="00757D44"/>
    <w:rsid w:val="00757D96"/>
    <w:rsid w:val="00757DF9"/>
    <w:rsid w:val="00757F3E"/>
    <w:rsid w:val="00760065"/>
    <w:rsid w:val="007600A2"/>
    <w:rsid w:val="00760296"/>
    <w:rsid w:val="007602AF"/>
    <w:rsid w:val="0076035C"/>
    <w:rsid w:val="007605B1"/>
    <w:rsid w:val="00760615"/>
    <w:rsid w:val="007607E2"/>
    <w:rsid w:val="00760820"/>
    <w:rsid w:val="007609B2"/>
    <w:rsid w:val="007609D8"/>
    <w:rsid w:val="00760B84"/>
    <w:rsid w:val="00760B91"/>
    <w:rsid w:val="00760BB2"/>
    <w:rsid w:val="00760BBC"/>
    <w:rsid w:val="00760CF5"/>
    <w:rsid w:val="00760D45"/>
    <w:rsid w:val="00760F1C"/>
    <w:rsid w:val="00761018"/>
    <w:rsid w:val="007610EE"/>
    <w:rsid w:val="007610F7"/>
    <w:rsid w:val="00761117"/>
    <w:rsid w:val="0076124E"/>
    <w:rsid w:val="0076125E"/>
    <w:rsid w:val="00761351"/>
    <w:rsid w:val="0076147A"/>
    <w:rsid w:val="0076155A"/>
    <w:rsid w:val="00761674"/>
    <w:rsid w:val="00761850"/>
    <w:rsid w:val="00761C5F"/>
    <w:rsid w:val="00761F2D"/>
    <w:rsid w:val="00761FA9"/>
    <w:rsid w:val="00761FB5"/>
    <w:rsid w:val="007623AE"/>
    <w:rsid w:val="00762775"/>
    <w:rsid w:val="00762837"/>
    <w:rsid w:val="0076297F"/>
    <w:rsid w:val="00762A11"/>
    <w:rsid w:val="00762B7A"/>
    <w:rsid w:val="00762BFB"/>
    <w:rsid w:val="00762C5E"/>
    <w:rsid w:val="00762D01"/>
    <w:rsid w:val="00762DB3"/>
    <w:rsid w:val="00762E3B"/>
    <w:rsid w:val="00762E8A"/>
    <w:rsid w:val="00762F86"/>
    <w:rsid w:val="00763040"/>
    <w:rsid w:val="0076322D"/>
    <w:rsid w:val="00763268"/>
    <w:rsid w:val="007632CF"/>
    <w:rsid w:val="00763345"/>
    <w:rsid w:val="0076346C"/>
    <w:rsid w:val="007635FF"/>
    <w:rsid w:val="0076365C"/>
    <w:rsid w:val="00763859"/>
    <w:rsid w:val="00763864"/>
    <w:rsid w:val="00763939"/>
    <w:rsid w:val="00763A3E"/>
    <w:rsid w:val="00763A53"/>
    <w:rsid w:val="00763A5D"/>
    <w:rsid w:val="00763EE8"/>
    <w:rsid w:val="00764056"/>
    <w:rsid w:val="0076420E"/>
    <w:rsid w:val="007643AA"/>
    <w:rsid w:val="0076467F"/>
    <w:rsid w:val="007646FB"/>
    <w:rsid w:val="007649EA"/>
    <w:rsid w:val="00764A09"/>
    <w:rsid w:val="00764D33"/>
    <w:rsid w:val="00764EF0"/>
    <w:rsid w:val="00765023"/>
    <w:rsid w:val="007650EA"/>
    <w:rsid w:val="007651AC"/>
    <w:rsid w:val="0076536A"/>
    <w:rsid w:val="007654F3"/>
    <w:rsid w:val="0076567F"/>
    <w:rsid w:val="00765768"/>
    <w:rsid w:val="00765863"/>
    <w:rsid w:val="00765A31"/>
    <w:rsid w:val="00765A8C"/>
    <w:rsid w:val="00765B90"/>
    <w:rsid w:val="00765CBF"/>
    <w:rsid w:val="00765DED"/>
    <w:rsid w:val="00765FA0"/>
    <w:rsid w:val="007660CF"/>
    <w:rsid w:val="007660F5"/>
    <w:rsid w:val="007661C6"/>
    <w:rsid w:val="00766234"/>
    <w:rsid w:val="0076623D"/>
    <w:rsid w:val="00766372"/>
    <w:rsid w:val="007664C8"/>
    <w:rsid w:val="007665F1"/>
    <w:rsid w:val="007669B8"/>
    <w:rsid w:val="00766A32"/>
    <w:rsid w:val="00766B3B"/>
    <w:rsid w:val="00766B4A"/>
    <w:rsid w:val="00766BCA"/>
    <w:rsid w:val="00766C32"/>
    <w:rsid w:val="00766D9B"/>
    <w:rsid w:val="00766ECA"/>
    <w:rsid w:val="00766F5E"/>
    <w:rsid w:val="00767262"/>
    <w:rsid w:val="00767514"/>
    <w:rsid w:val="007677E7"/>
    <w:rsid w:val="00767A37"/>
    <w:rsid w:val="00767AD7"/>
    <w:rsid w:val="00767B34"/>
    <w:rsid w:val="00767B64"/>
    <w:rsid w:val="00767B7F"/>
    <w:rsid w:val="00767D05"/>
    <w:rsid w:val="00767E3F"/>
    <w:rsid w:val="00767ED4"/>
    <w:rsid w:val="00770389"/>
    <w:rsid w:val="00770391"/>
    <w:rsid w:val="007703A6"/>
    <w:rsid w:val="007707EB"/>
    <w:rsid w:val="0077082F"/>
    <w:rsid w:val="00770B56"/>
    <w:rsid w:val="00770EF6"/>
    <w:rsid w:val="00771073"/>
    <w:rsid w:val="00771382"/>
    <w:rsid w:val="007714F7"/>
    <w:rsid w:val="0077161C"/>
    <w:rsid w:val="0077166D"/>
    <w:rsid w:val="007719AA"/>
    <w:rsid w:val="00771BD8"/>
    <w:rsid w:val="00771C17"/>
    <w:rsid w:val="00771D2A"/>
    <w:rsid w:val="00771F6D"/>
    <w:rsid w:val="00772098"/>
    <w:rsid w:val="00772300"/>
    <w:rsid w:val="00772373"/>
    <w:rsid w:val="007723E0"/>
    <w:rsid w:val="00772438"/>
    <w:rsid w:val="007724FA"/>
    <w:rsid w:val="007727DD"/>
    <w:rsid w:val="00772978"/>
    <w:rsid w:val="0077298B"/>
    <w:rsid w:val="00772997"/>
    <w:rsid w:val="007729BB"/>
    <w:rsid w:val="00772DD5"/>
    <w:rsid w:val="00772DEA"/>
    <w:rsid w:val="00773060"/>
    <w:rsid w:val="0077343C"/>
    <w:rsid w:val="00773767"/>
    <w:rsid w:val="00773770"/>
    <w:rsid w:val="0077380C"/>
    <w:rsid w:val="00773919"/>
    <w:rsid w:val="00773B87"/>
    <w:rsid w:val="00773E67"/>
    <w:rsid w:val="00773F7E"/>
    <w:rsid w:val="0077424C"/>
    <w:rsid w:val="0077447B"/>
    <w:rsid w:val="007745B6"/>
    <w:rsid w:val="00774685"/>
    <w:rsid w:val="007749E2"/>
    <w:rsid w:val="00774A40"/>
    <w:rsid w:val="00774D59"/>
    <w:rsid w:val="00774DD4"/>
    <w:rsid w:val="00774DD8"/>
    <w:rsid w:val="00774E65"/>
    <w:rsid w:val="00774EC6"/>
    <w:rsid w:val="0077525A"/>
    <w:rsid w:val="0077532C"/>
    <w:rsid w:val="0077551B"/>
    <w:rsid w:val="00775788"/>
    <w:rsid w:val="0077585A"/>
    <w:rsid w:val="007758A2"/>
    <w:rsid w:val="00775CF6"/>
    <w:rsid w:val="00775D72"/>
    <w:rsid w:val="00775ECF"/>
    <w:rsid w:val="00775FDB"/>
    <w:rsid w:val="00776100"/>
    <w:rsid w:val="007761CD"/>
    <w:rsid w:val="00776347"/>
    <w:rsid w:val="007764E3"/>
    <w:rsid w:val="007764EA"/>
    <w:rsid w:val="007764FA"/>
    <w:rsid w:val="0077654B"/>
    <w:rsid w:val="0077660E"/>
    <w:rsid w:val="0077664A"/>
    <w:rsid w:val="0077703D"/>
    <w:rsid w:val="007770DA"/>
    <w:rsid w:val="0077720C"/>
    <w:rsid w:val="007772B0"/>
    <w:rsid w:val="007773CE"/>
    <w:rsid w:val="007774D7"/>
    <w:rsid w:val="00777987"/>
    <w:rsid w:val="007779E6"/>
    <w:rsid w:val="00777CC8"/>
    <w:rsid w:val="00777DBC"/>
    <w:rsid w:val="00777EB3"/>
    <w:rsid w:val="00777EB7"/>
    <w:rsid w:val="00777F91"/>
    <w:rsid w:val="0078000F"/>
    <w:rsid w:val="007802B1"/>
    <w:rsid w:val="00780469"/>
    <w:rsid w:val="00780A9D"/>
    <w:rsid w:val="00780C11"/>
    <w:rsid w:val="00780EF4"/>
    <w:rsid w:val="00780F69"/>
    <w:rsid w:val="00780FB2"/>
    <w:rsid w:val="00781116"/>
    <w:rsid w:val="00781321"/>
    <w:rsid w:val="00781363"/>
    <w:rsid w:val="007815DE"/>
    <w:rsid w:val="00781627"/>
    <w:rsid w:val="00781692"/>
    <w:rsid w:val="007819E7"/>
    <w:rsid w:val="00781BC8"/>
    <w:rsid w:val="00781DC7"/>
    <w:rsid w:val="00781F22"/>
    <w:rsid w:val="00781F42"/>
    <w:rsid w:val="00781F46"/>
    <w:rsid w:val="0078202D"/>
    <w:rsid w:val="00782039"/>
    <w:rsid w:val="007820EF"/>
    <w:rsid w:val="00782152"/>
    <w:rsid w:val="00782507"/>
    <w:rsid w:val="0078257D"/>
    <w:rsid w:val="00782661"/>
    <w:rsid w:val="00782715"/>
    <w:rsid w:val="007827BC"/>
    <w:rsid w:val="00782844"/>
    <w:rsid w:val="00782A60"/>
    <w:rsid w:val="00782C37"/>
    <w:rsid w:val="00782D3D"/>
    <w:rsid w:val="00782D96"/>
    <w:rsid w:val="00782EE5"/>
    <w:rsid w:val="00782F9D"/>
    <w:rsid w:val="0078301D"/>
    <w:rsid w:val="00783057"/>
    <w:rsid w:val="0078307A"/>
    <w:rsid w:val="007831C5"/>
    <w:rsid w:val="00783352"/>
    <w:rsid w:val="00783443"/>
    <w:rsid w:val="0078345D"/>
    <w:rsid w:val="00783466"/>
    <w:rsid w:val="0078365A"/>
    <w:rsid w:val="0078378F"/>
    <w:rsid w:val="0078395D"/>
    <w:rsid w:val="00783ACB"/>
    <w:rsid w:val="00783B35"/>
    <w:rsid w:val="00783B40"/>
    <w:rsid w:val="00783DDF"/>
    <w:rsid w:val="00783FC4"/>
    <w:rsid w:val="007843A2"/>
    <w:rsid w:val="007843EF"/>
    <w:rsid w:val="0078446E"/>
    <w:rsid w:val="00784475"/>
    <w:rsid w:val="007844F4"/>
    <w:rsid w:val="00784967"/>
    <w:rsid w:val="007849D0"/>
    <w:rsid w:val="007849DB"/>
    <w:rsid w:val="00784A91"/>
    <w:rsid w:val="00784B5D"/>
    <w:rsid w:val="00784C3C"/>
    <w:rsid w:val="00784FEF"/>
    <w:rsid w:val="00785096"/>
    <w:rsid w:val="00785129"/>
    <w:rsid w:val="007851CE"/>
    <w:rsid w:val="007852E1"/>
    <w:rsid w:val="007853DB"/>
    <w:rsid w:val="007854CC"/>
    <w:rsid w:val="00785560"/>
    <w:rsid w:val="0078574A"/>
    <w:rsid w:val="00785794"/>
    <w:rsid w:val="0078583E"/>
    <w:rsid w:val="007858E6"/>
    <w:rsid w:val="00785918"/>
    <w:rsid w:val="00785BD6"/>
    <w:rsid w:val="00785C0F"/>
    <w:rsid w:val="00785C5E"/>
    <w:rsid w:val="00785E4A"/>
    <w:rsid w:val="00785FCD"/>
    <w:rsid w:val="007865C8"/>
    <w:rsid w:val="007866CD"/>
    <w:rsid w:val="007867E2"/>
    <w:rsid w:val="0078689B"/>
    <w:rsid w:val="007869B2"/>
    <w:rsid w:val="00786AB6"/>
    <w:rsid w:val="00786BC6"/>
    <w:rsid w:val="00786CD8"/>
    <w:rsid w:val="00786D5A"/>
    <w:rsid w:val="00786EA6"/>
    <w:rsid w:val="00786F53"/>
    <w:rsid w:val="00786F67"/>
    <w:rsid w:val="007871F9"/>
    <w:rsid w:val="007873CE"/>
    <w:rsid w:val="0078743B"/>
    <w:rsid w:val="007874A9"/>
    <w:rsid w:val="0078778A"/>
    <w:rsid w:val="00787A4D"/>
    <w:rsid w:val="00787AC2"/>
    <w:rsid w:val="00787ADB"/>
    <w:rsid w:val="00787B58"/>
    <w:rsid w:val="00787B5A"/>
    <w:rsid w:val="00787B76"/>
    <w:rsid w:val="00787BFF"/>
    <w:rsid w:val="00787C67"/>
    <w:rsid w:val="0078DCDE"/>
    <w:rsid w:val="00790215"/>
    <w:rsid w:val="00790368"/>
    <w:rsid w:val="007905E1"/>
    <w:rsid w:val="00790871"/>
    <w:rsid w:val="00790A72"/>
    <w:rsid w:val="00790C78"/>
    <w:rsid w:val="00790C96"/>
    <w:rsid w:val="00790DDD"/>
    <w:rsid w:val="00790FC4"/>
    <w:rsid w:val="007913C0"/>
    <w:rsid w:val="00791576"/>
    <w:rsid w:val="007915C2"/>
    <w:rsid w:val="00791851"/>
    <w:rsid w:val="0079187B"/>
    <w:rsid w:val="00791C03"/>
    <w:rsid w:val="00791C9E"/>
    <w:rsid w:val="00791D40"/>
    <w:rsid w:val="00791D70"/>
    <w:rsid w:val="00791E26"/>
    <w:rsid w:val="00791F5F"/>
    <w:rsid w:val="00791F85"/>
    <w:rsid w:val="00792053"/>
    <w:rsid w:val="00792147"/>
    <w:rsid w:val="00792241"/>
    <w:rsid w:val="007923FD"/>
    <w:rsid w:val="007926C2"/>
    <w:rsid w:val="00792749"/>
    <w:rsid w:val="0079283E"/>
    <w:rsid w:val="0079290D"/>
    <w:rsid w:val="00792A31"/>
    <w:rsid w:val="00792A52"/>
    <w:rsid w:val="00792CBC"/>
    <w:rsid w:val="00792ECD"/>
    <w:rsid w:val="00792F03"/>
    <w:rsid w:val="0079322E"/>
    <w:rsid w:val="007933C1"/>
    <w:rsid w:val="007933F2"/>
    <w:rsid w:val="00793426"/>
    <w:rsid w:val="007934E5"/>
    <w:rsid w:val="007936B5"/>
    <w:rsid w:val="007937EF"/>
    <w:rsid w:val="007939ED"/>
    <w:rsid w:val="00793A20"/>
    <w:rsid w:val="00793B33"/>
    <w:rsid w:val="00794042"/>
    <w:rsid w:val="0079407C"/>
    <w:rsid w:val="0079456B"/>
    <w:rsid w:val="0079495F"/>
    <w:rsid w:val="00794BB5"/>
    <w:rsid w:val="00794EA5"/>
    <w:rsid w:val="00794FFE"/>
    <w:rsid w:val="0079515C"/>
    <w:rsid w:val="0079526A"/>
    <w:rsid w:val="00795314"/>
    <w:rsid w:val="0079543C"/>
    <w:rsid w:val="007954C8"/>
    <w:rsid w:val="007955A8"/>
    <w:rsid w:val="0079565E"/>
    <w:rsid w:val="007956AB"/>
    <w:rsid w:val="007958D6"/>
    <w:rsid w:val="00795983"/>
    <w:rsid w:val="00795AE9"/>
    <w:rsid w:val="00795C4C"/>
    <w:rsid w:val="00795E29"/>
    <w:rsid w:val="00796419"/>
    <w:rsid w:val="00796486"/>
    <w:rsid w:val="007965F8"/>
    <w:rsid w:val="007966B9"/>
    <w:rsid w:val="007967E3"/>
    <w:rsid w:val="00796984"/>
    <w:rsid w:val="00796E99"/>
    <w:rsid w:val="00797041"/>
    <w:rsid w:val="00797332"/>
    <w:rsid w:val="00797388"/>
    <w:rsid w:val="00797711"/>
    <w:rsid w:val="007977A4"/>
    <w:rsid w:val="007978FD"/>
    <w:rsid w:val="00797933"/>
    <w:rsid w:val="00797BEF"/>
    <w:rsid w:val="00797D52"/>
    <w:rsid w:val="00797F66"/>
    <w:rsid w:val="007A0130"/>
    <w:rsid w:val="007A0288"/>
    <w:rsid w:val="007A03B7"/>
    <w:rsid w:val="007A0558"/>
    <w:rsid w:val="007A07FA"/>
    <w:rsid w:val="007A08BA"/>
    <w:rsid w:val="007A0E67"/>
    <w:rsid w:val="007A0F70"/>
    <w:rsid w:val="007A1302"/>
    <w:rsid w:val="007A13C6"/>
    <w:rsid w:val="007A15C4"/>
    <w:rsid w:val="007A17D4"/>
    <w:rsid w:val="007A19F3"/>
    <w:rsid w:val="007A1AA5"/>
    <w:rsid w:val="007A1BC1"/>
    <w:rsid w:val="007A1D1C"/>
    <w:rsid w:val="007A1E29"/>
    <w:rsid w:val="007A1E84"/>
    <w:rsid w:val="007A2119"/>
    <w:rsid w:val="007A2236"/>
    <w:rsid w:val="007A2369"/>
    <w:rsid w:val="007A23C2"/>
    <w:rsid w:val="007A2541"/>
    <w:rsid w:val="007A2703"/>
    <w:rsid w:val="007A2760"/>
    <w:rsid w:val="007A2801"/>
    <w:rsid w:val="007A2872"/>
    <w:rsid w:val="007A2873"/>
    <w:rsid w:val="007A28E7"/>
    <w:rsid w:val="007A28FF"/>
    <w:rsid w:val="007A2979"/>
    <w:rsid w:val="007A2A56"/>
    <w:rsid w:val="007A2C9C"/>
    <w:rsid w:val="007A2ED8"/>
    <w:rsid w:val="007A2F3E"/>
    <w:rsid w:val="007A3020"/>
    <w:rsid w:val="007A3595"/>
    <w:rsid w:val="007A3603"/>
    <w:rsid w:val="007A3735"/>
    <w:rsid w:val="007A38BD"/>
    <w:rsid w:val="007A3907"/>
    <w:rsid w:val="007A3A42"/>
    <w:rsid w:val="007A3ADD"/>
    <w:rsid w:val="007A3CF9"/>
    <w:rsid w:val="007A3EF1"/>
    <w:rsid w:val="007A3F5E"/>
    <w:rsid w:val="007A3FB5"/>
    <w:rsid w:val="007A40C6"/>
    <w:rsid w:val="007A40E5"/>
    <w:rsid w:val="007A428A"/>
    <w:rsid w:val="007A45CE"/>
    <w:rsid w:val="007A47B7"/>
    <w:rsid w:val="007A4A33"/>
    <w:rsid w:val="007A4A3D"/>
    <w:rsid w:val="007A4A40"/>
    <w:rsid w:val="007A4C46"/>
    <w:rsid w:val="007A51B6"/>
    <w:rsid w:val="007A5257"/>
    <w:rsid w:val="007A5397"/>
    <w:rsid w:val="007A539F"/>
    <w:rsid w:val="007A54E9"/>
    <w:rsid w:val="007A55FB"/>
    <w:rsid w:val="007A5688"/>
    <w:rsid w:val="007A59FE"/>
    <w:rsid w:val="007A5B53"/>
    <w:rsid w:val="007A5DB6"/>
    <w:rsid w:val="007A5E59"/>
    <w:rsid w:val="007A5F9D"/>
    <w:rsid w:val="007A5FA1"/>
    <w:rsid w:val="007A5FAB"/>
    <w:rsid w:val="007A6186"/>
    <w:rsid w:val="007A621B"/>
    <w:rsid w:val="007A63D8"/>
    <w:rsid w:val="007A6646"/>
    <w:rsid w:val="007A67C4"/>
    <w:rsid w:val="007A6852"/>
    <w:rsid w:val="007A6860"/>
    <w:rsid w:val="007A6BB6"/>
    <w:rsid w:val="007A6D55"/>
    <w:rsid w:val="007A6DF9"/>
    <w:rsid w:val="007A6E27"/>
    <w:rsid w:val="007A6F44"/>
    <w:rsid w:val="007A7599"/>
    <w:rsid w:val="007A79EC"/>
    <w:rsid w:val="007A7A90"/>
    <w:rsid w:val="007A7D73"/>
    <w:rsid w:val="007A7EE1"/>
    <w:rsid w:val="007B0059"/>
    <w:rsid w:val="007B0124"/>
    <w:rsid w:val="007B01E6"/>
    <w:rsid w:val="007B020B"/>
    <w:rsid w:val="007B0331"/>
    <w:rsid w:val="007B03A7"/>
    <w:rsid w:val="007B0623"/>
    <w:rsid w:val="007B074E"/>
    <w:rsid w:val="007B07F1"/>
    <w:rsid w:val="007B0C18"/>
    <w:rsid w:val="007B0C40"/>
    <w:rsid w:val="007B0CF5"/>
    <w:rsid w:val="007B0D29"/>
    <w:rsid w:val="007B0E14"/>
    <w:rsid w:val="007B0ED0"/>
    <w:rsid w:val="007B0FFF"/>
    <w:rsid w:val="007B10C2"/>
    <w:rsid w:val="007B12D6"/>
    <w:rsid w:val="007B1558"/>
    <w:rsid w:val="007B1688"/>
    <w:rsid w:val="007B17BF"/>
    <w:rsid w:val="007B18CD"/>
    <w:rsid w:val="007B1A10"/>
    <w:rsid w:val="007B1CBB"/>
    <w:rsid w:val="007B2265"/>
    <w:rsid w:val="007B2554"/>
    <w:rsid w:val="007B269D"/>
    <w:rsid w:val="007B2712"/>
    <w:rsid w:val="007B2743"/>
    <w:rsid w:val="007B2897"/>
    <w:rsid w:val="007B2AA8"/>
    <w:rsid w:val="007B2CEF"/>
    <w:rsid w:val="007B2D24"/>
    <w:rsid w:val="007B2DB4"/>
    <w:rsid w:val="007B2FD5"/>
    <w:rsid w:val="007B2FE1"/>
    <w:rsid w:val="007B3463"/>
    <w:rsid w:val="007B346F"/>
    <w:rsid w:val="007B35B7"/>
    <w:rsid w:val="007B393C"/>
    <w:rsid w:val="007B3C50"/>
    <w:rsid w:val="007B41E0"/>
    <w:rsid w:val="007B42BF"/>
    <w:rsid w:val="007B42D0"/>
    <w:rsid w:val="007B431D"/>
    <w:rsid w:val="007B437E"/>
    <w:rsid w:val="007B43E7"/>
    <w:rsid w:val="007B448D"/>
    <w:rsid w:val="007B4737"/>
    <w:rsid w:val="007B4981"/>
    <w:rsid w:val="007B4A4E"/>
    <w:rsid w:val="007B4F11"/>
    <w:rsid w:val="007B4F5C"/>
    <w:rsid w:val="007B5019"/>
    <w:rsid w:val="007B501E"/>
    <w:rsid w:val="007B50E3"/>
    <w:rsid w:val="007B518D"/>
    <w:rsid w:val="007B5251"/>
    <w:rsid w:val="007B532C"/>
    <w:rsid w:val="007B538C"/>
    <w:rsid w:val="007B55CE"/>
    <w:rsid w:val="007B55F2"/>
    <w:rsid w:val="007B57E2"/>
    <w:rsid w:val="007B58C3"/>
    <w:rsid w:val="007B5911"/>
    <w:rsid w:val="007B5933"/>
    <w:rsid w:val="007B5CD1"/>
    <w:rsid w:val="007B5D7C"/>
    <w:rsid w:val="007B62BB"/>
    <w:rsid w:val="007B63BD"/>
    <w:rsid w:val="007B63F7"/>
    <w:rsid w:val="007B65A4"/>
    <w:rsid w:val="007B6751"/>
    <w:rsid w:val="007B675D"/>
    <w:rsid w:val="007B6907"/>
    <w:rsid w:val="007B6BE6"/>
    <w:rsid w:val="007B6C33"/>
    <w:rsid w:val="007B6E35"/>
    <w:rsid w:val="007B725D"/>
    <w:rsid w:val="007B73F2"/>
    <w:rsid w:val="007B74B0"/>
    <w:rsid w:val="007B74F7"/>
    <w:rsid w:val="007B7537"/>
    <w:rsid w:val="007B762F"/>
    <w:rsid w:val="007B76C7"/>
    <w:rsid w:val="007B77DE"/>
    <w:rsid w:val="007B79CD"/>
    <w:rsid w:val="007B7CF9"/>
    <w:rsid w:val="007B7D12"/>
    <w:rsid w:val="007B7D1A"/>
    <w:rsid w:val="007B7DC0"/>
    <w:rsid w:val="007BD667"/>
    <w:rsid w:val="007C02A6"/>
    <w:rsid w:val="007C02D9"/>
    <w:rsid w:val="007C0550"/>
    <w:rsid w:val="007C058F"/>
    <w:rsid w:val="007C0621"/>
    <w:rsid w:val="007C06B7"/>
    <w:rsid w:val="007C071B"/>
    <w:rsid w:val="007C0A84"/>
    <w:rsid w:val="007C0CDB"/>
    <w:rsid w:val="007C0E15"/>
    <w:rsid w:val="007C0E1C"/>
    <w:rsid w:val="007C0EFC"/>
    <w:rsid w:val="007C0F13"/>
    <w:rsid w:val="007C0F76"/>
    <w:rsid w:val="007C1226"/>
    <w:rsid w:val="007C1240"/>
    <w:rsid w:val="007C1551"/>
    <w:rsid w:val="007C161F"/>
    <w:rsid w:val="007C1AD0"/>
    <w:rsid w:val="007C1DEE"/>
    <w:rsid w:val="007C1E5C"/>
    <w:rsid w:val="007C1F94"/>
    <w:rsid w:val="007C1FAF"/>
    <w:rsid w:val="007C2146"/>
    <w:rsid w:val="007C245C"/>
    <w:rsid w:val="007C2508"/>
    <w:rsid w:val="007C26B9"/>
    <w:rsid w:val="007C2B6C"/>
    <w:rsid w:val="007C2C25"/>
    <w:rsid w:val="007C2C34"/>
    <w:rsid w:val="007C2D4B"/>
    <w:rsid w:val="007C2DE6"/>
    <w:rsid w:val="007C30AA"/>
    <w:rsid w:val="007C30D9"/>
    <w:rsid w:val="007C31A1"/>
    <w:rsid w:val="007C32F1"/>
    <w:rsid w:val="007C3301"/>
    <w:rsid w:val="007C3337"/>
    <w:rsid w:val="007C34CD"/>
    <w:rsid w:val="007C393F"/>
    <w:rsid w:val="007C3A56"/>
    <w:rsid w:val="007C3AB8"/>
    <w:rsid w:val="007C3D80"/>
    <w:rsid w:val="007C3F35"/>
    <w:rsid w:val="007C3FF4"/>
    <w:rsid w:val="007C40A3"/>
    <w:rsid w:val="007C40DE"/>
    <w:rsid w:val="007C434C"/>
    <w:rsid w:val="007C439B"/>
    <w:rsid w:val="007C4458"/>
    <w:rsid w:val="007C44AF"/>
    <w:rsid w:val="007C4614"/>
    <w:rsid w:val="007C46E0"/>
    <w:rsid w:val="007C47AB"/>
    <w:rsid w:val="007C4AD8"/>
    <w:rsid w:val="007C4CE2"/>
    <w:rsid w:val="007C4D5F"/>
    <w:rsid w:val="007C517F"/>
    <w:rsid w:val="007C539D"/>
    <w:rsid w:val="007C5929"/>
    <w:rsid w:val="007C59B2"/>
    <w:rsid w:val="007C5B8F"/>
    <w:rsid w:val="007C5C26"/>
    <w:rsid w:val="007C5E05"/>
    <w:rsid w:val="007C5E33"/>
    <w:rsid w:val="007C603A"/>
    <w:rsid w:val="007C6044"/>
    <w:rsid w:val="007C6527"/>
    <w:rsid w:val="007C6719"/>
    <w:rsid w:val="007C6730"/>
    <w:rsid w:val="007C6833"/>
    <w:rsid w:val="007C68AD"/>
    <w:rsid w:val="007C6BD2"/>
    <w:rsid w:val="007C6DB4"/>
    <w:rsid w:val="007C6ECE"/>
    <w:rsid w:val="007C7040"/>
    <w:rsid w:val="007C70D3"/>
    <w:rsid w:val="007C70EE"/>
    <w:rsid w:val="007C7522"/>
    <w:rsid w:val="007C76A3"/>
    <w:rsid w:val="007C77F3"/>
    <w:rsid w:val="007C7BBC"/>
    <w:rsid w:val="007C7C07"/>
    <w:rsid w:val="007C7F7D"/>
    <w:rsid w:val="007C7FE9"/>
    <w:rsid w:val="007D00C7"/>
    <w:rsid w:val="007D06F3"/>
    <w:rsid w:val="007D0732"/>
    <w:rsid w:val="007D0888"/>
    <w:rsid w:val="007D08BC"/>
    <w:rsid w:val="007D0924"/>
    <w:rsid w:val="007D09B1"/>
    <w:rsid w:val="007D0ACA"/>
    <w:rsid w:val="007D0C6A"/>
    <w:rsid w:val="007D0D8C"/>
    <w:rsid w:val="007D0FA1"/>
    <w:rsid w:val="007D1090"/>
    <w:rsid w:val="007D1161"/>
    <w:rsid w:val="007D1257"/>
    <w:rsid w:val="007D13DC"/>
    <w:rsid w:val="007D142B"/>
    <w:rsid w:val="007D143F"/>
    <w:rsid w:val="007D15E9"/>
    <w:rsid w:val="007D16FC"/>
    <w:rsid w:val="007D1990"/>
    <w:rsid w:val="007D1ACC"/>
    <w:rsid w:val="007D1C30"/>
    <w:rsid w:val="007D1E90"/>
    <w:rsid w:val="007D1F21"/>
    <w:rsid w:val="007D2011"/>
    <w:rsid w:val="007D20C8"/>
    <w:rsid w:val="007D21E0"/>
    <w:rsid w:val="007D2261"/>
    <w:rsid w:val="007D22EC"/>
    <w:rsid w:val="007D27FC"/>
    <w:rsid w:val="007D284E"/>
    <w:rsid w:val="007D2CC7"/>
    <w:rsid w:val="007D2DB6"/>
    <w:rsid w:val="007D2EBA"/>
    <w:rsid w:val="007D2EFF"/>
    <w:rsid w:val="007D312D"/>
    <w:rsid w:val="007D3279"/>
    <w:rsid w:val="007D343A"/>
    <w:rsid w:val="007D3A02"/>
    <w:rsid w:val="007D3A75"/>
    <w:rsid w:val="007D3BBC"/>
    <w:rsid w:val="007D3EB2"/>
    <w:rsid w:val="007D3FA0"/>
    <w:rsid w:val="007D3FBD"/>
    <w:rsid w:val="007D40D1"/>
    <w:rsid w:val="007D4102"/>
    <w:rsid w:val="007D4419"/>
    <w:rsid w:val="007D45EF"/>
    <w:rsid w:val="007D4661"/>
    <w:rsid w:val="007D46B1"/>
    <w:rsid w:val="007D4B3B"/>
    <w:rsid w:val="007D4C81"/>
    <w:rsid w:val="007D4D33"/>
    <w:rsid w:val="007D4DFC"/>
    <w:rsid w:val="007D5132"/>
    <w:rsid w:val="007D520A"/>
    <w:rsid w:val="007D52BA"/>
    <w:rsid w:val="007D534F"/>
    <w:rsid w:val="007D542A"/>
    <w:rsid w:val="007D54D9"/>
    <w:rsid w:val="007D558D"/>
    <w:rsid w:val="007D55E1"/>
    <w:rsid w:val="007D55F6"/>
    <w:rsid w:val="007D5603"/>
    <w:rsid w:val="007D579C"/>
    <w:rsid w:val="007D5833"/>
    <w:rsid w:val="007D593C"/>
    <w:rsid w:val="007D5AAE"/>
    <w:rsid w:val="007D5B6F"/>
    <w:rsid w:val="007D5C58"/>
    <w:rsid w:val="007D5CFD"/>
    <w:rsid w:val="007D5EB3"/>
    <w:rsid w:val="007D5F08"/>
    <w:rsid w:val="007D60D9"/>
    <w:rsid w:val="007D6229"/>
    <w:rsid w:val="007D6235"/>
    <w:rsid w:val="007D6A7B"/>
    <w:rsid w:val="007D6BA5"/>
    <w:rsid w:val="007D6C78"/>
    <w:rsid w:val="007D6D8F"/>
    <w:rsid w:val="007D6F57"/>
    <w:rsid w:val="007D7045"/>
    <w:rsid w:val="007D70FC"/>
    <w:rsid w:val="007D7125"/>
    <w:rsid w:val="007D7216"/>
    <w:rsid w:val="007D7326"/>
    <w:rsid w:val="007D7331"/>
    <w:rsid w:val="007D7433"/>
    <w:rsid w:val="007D74A4"/>
    <w:rsid w:val="007D74BB"/>
    <w:rsid w:val="007D7566"/>
    <w:rsid w:val="007D7790"/>
    <w:rsid w:val="007D7A3B"/>
    <w:rsid w:val="007D7B07"/>
    <w:rsid w:val="007D7CA4"/>
    <w:rsid w:val="007D7F9D"/>
    <w:rsid w:val="007E0069"/>
    <w:rsid w:val="007E038C"/>
    <w:rsid w:val="007E04FD"/>
    <w:rsid w:val="007E0728"/>
    <w:rsid w:val="007E0747"/>
    <w:rsid w:val="007E08E5"/>
    <w:rsid w:val="007E0AAA"/>
    <w:rsid w:val="007E0B39"/>
    <w:rsid w:val="007E0E27"/>
    <w:rsid w:val="007E0EEF"/>
    <w:rsid w:val="007E0F5A"/>
    <w:rsid w:val="007E0FBD"/>
    <w:rsid w:val="007E1197"/>
    <w:rsid w:val="007E127B"/>
    <w:rsid w:val="007E146A"/>
    <w:rsid w:val="007E14D7"/>
    <w:rsid w:val="007E14EB"/>
    <w:rsid w:val="007E171F"/>
    <w:rsid w:val="007E1AF9"/>
    <w:rsid w:val="007E1B9B"/>
    <w:rsid w:val="007E1E8B"/>
    <w:rsid w:val="007E1EE1"/>
    <w:rsid w:val="007E22B4"/>
    <w:rsid w:val="007E24D7"/>
    <w:rsid w:val="007E2573"/>
    <w:rsid w:val="007E26D7"/>
    <w:rsid w:val="007E27EA"/>
    <w:rsid w:val="007E295F"/>
    <w:rsid w:val="007E2A12"/>
    <w:rsid w:val="007E2D53"/>
    <w:rsid w:val="007E3131"/>
    <w:rsid w:val="007E3241"/>
    <w:rsid w:val="007E32B8"/>
    <w:rsid w:val="007E335F"/>
    <w:rsid w:val="007E34A3"/>
    <w:rsid w:val="007E366F"/>
    <w:rsid w:val="007E36B0"/>
    <w:rsid w:val="007E3A95"/>
    <w:rsid w:val="007E40DB"/>
    <w:rsid w:val="007E423E"/>
    <w:rsid w:val="007E4478"/>
    <w:rsid w:val="007E450B"/>
    <w:rsid w:val="007E4674"/>
    <w:rsid w:val="007E4716"/>
    <w:rsid w:val="007E4766"/>
    <w:rsid w:val="007E48EF"/>
    <w:rsid w:val="007E4F0C"/>
    <w:rsid w:val="007E523C"/>
    <w:rsid w:val="007E53DC"/>
    <w:rsid w:val="007E562D"/>
    <w:rsid w:val="007E5685"/>
    <w:rsid w:val="007E5771"/>
    <w:rsid w:val="007E5DE6"/>
    <w:rsid w:val="007E5F1D"/>
    <w:rsid w:val="007E60A3"/>
    <w:rsid w:val="007E6263"/>
    <w:rsid w:val="007E62C2"/>
    <w:rsid w:val="007E6564"/>
    <w:rsid w:val="007E6617"/>
    <w:rsid w:val="007E672E"/>
    <w:rsid w:val="007E6867"/>
    <w:rsid w:val="007E6A43"/>
    <w:rsid w:val="007E6B86"/>
    <w:rsid w:val="007E6E09"/>
    <w:rsid w:val="007E6F32"/>
    <w:rsid w:val="007E6F78"/>
    <w:rsid w:val="007E7131"/>
    <w:rsid w:val="007E74DC"/>
    <w:rsid w:val="007E7649"/>
    <w:rsid w:val="007E76CA"/>
    <w:rsid w:val="007E797A"/>
    <w:rsid w:val="007E7AAE"/>
    <w:rsid w:val="007E7ABA"/>
    <w:rsid w:val="007E7F2E"/>
    <w:rsid w:val="007E7F77"/>
    <w:rsid w:val="007F0001"/>
    <w:rsid w:val="007F051C"/>
    <w:rsid w:val="007F054B"/>
    <w:rsid w:val="007F05F9"/>
    <w:rsid w:val="007F0608"/>
    <w:rsid w:val="007F0628"/>
    <w:rsid w:val="007F0647"/>
    <w:rsid w:val="007F075B"/>
    <w:rsid w:val="007F07E7"/>
    <w:rsid w:val="007F09AD"/>
    <w:rsid w:val="007F0BA1"/>
    <w:rsid w:val="007F0CE2"/>
    <w:rsid w:val="007F0DCE"/>
    <w:rsid w:val="007F0E4E"/>
    <w:rsid w:val="007F0F43"/>
    <w:rsid w:val="007F1129"/>
    <w:rsid w:val="007F1188"/>
    <w:rsid w:val="007F1293"/>
    <w:rsid w:val="007F140A"/>
    <w:rsid w:val="007F1591"/>
    <w:rsid w:val="007F16DE"/>
    <w:rsid w:val="007F17C3"/>
    <w:rsid w:val="007F184F"/>
    <w:rsid w:val="007F1BCA"/>
    <w:rsid w:val="007F1C2B"/>
    <w:rsid w:val="007F205B"/>
    <w:rsid w:val="007F2173"/>
    <w:rsid w:val="007F22AE"/>
    <w:rsid w:val="007F22E9"/>
    <w:rsid w:val="007F248A"/>
    <w:rsid w:val="007F2560"/>
    <w:rsid w:val="007F2581"/>
    <w:rsid w:val="007F262F"/>
    <w:rsid w:val="007F2704"/>
    <w:rsid w:val="007F2959"/>
    <w:rsid w:val="007F29B5"/>
    <w:rsid w:val="007F2D19"/>
    <w:rsid w:val="007F2E4B"/>
    <w:rsid w:val="007F3134"/>
    <w:rsid w:val="007F3185"/>
    <w:rsid w:val="007F33D7"/>
    <w:rsid w:val="007F345A"/>
    <w:rsid w:val="007F3634"/>
    <w:rsid w:val="007F3902"/>
    <w:rsid w:val="007F391D"/>
    <w:rsid w:val="007F3939"/>
    <w:rsid w:val="007F3CCA"/>
    <w:rsid w:val="007F40F8"/>
    <w:rsid w:val="007F421A"/>
    <w:rsid w:val="007F4224"/>
    <w:rsid w:val="007F4258"/>
    <w:rsid w:val="007F42DB"/>
    <w:rsid w:val="007F4653"/>
    <w:rsid w:val="007F4657"/>
    <w:rsid w:val="007F4661"/>
    <w:rsid w:val="007F4913"/>
    <w:rsid w:val="007F4C04"/>
    <w:rsid w:val="007F4EBF"/>
    <w:rsid w:val="007F4FCE"/>
    <w:rsid w:val="007F515F"/>
    <w:rsid w:val="007F52DC"/>
    <w:rsid w:val="007F5397"/>
    <w:rsid w:val="007F5442"/>
    <w:rsid w:val="007F56AA"/>
    <w:rsid w:val="007F57FA"/>
    <w:rsid w:val="007F584F"/>
    <w:rsid w:val="007F5880"/>
    <w:rsid w:val="007F5BAC"/>
    <w:rsid w:val="007F5BE3"/>
    <w:rsid w:val="007F5E89"/>
    <w:rsid w:val="007F5FDB"/>
    <w:rsid w:val="007F6129"/>
    <w:rsid w:val="007F6224"/>
    <w:rsid w:val="007F63B7"/>
    <w:rsid w:val="007F6909"/>
    <w:rsid w:val="007F6994"/>
    <w:rsid w:val="007F6EC2"/>
    <w:rsid w:val="007F6F56"/>
    <w:rsid w:val="007F717C"/>
    <w:rsid w:val="007F72D5"/>
    <w:rsid w:val="007F73B8"/>
    <w:rsid w:val="007F748D"/>
    <w:rsid w:val="007F75F6"/>
    <w:rsid w:val="007F766D"/>
    <w:rsid w:val="007F79CB"/>
    <w:rsid w:val="007F7B51"/>
    <w:rsid w:val="00800077"/>
    <w:rsid w:val="00800102"/>
    <w:rsid w:val="0080043C"/>
    <w:rsid w:val="008008C8"/>
    <w:rsid w:val="00800AB5"/>
    <w:rsid w:val="00800BC7"/>
    <w:rsid w:val="00800D94"/>
    <w:rsid w:val="00800ED3"/>
    <w:rsid w:val="008012CA"/>
    <w:rsid w:val="008016F2"/>
    <w:rsid w:val="00801703"/>
    <w:rsid w:val="008018E1"/>
    <w:rsid w:val="0080196F"/>
    <w:rsid w:val="00801975"/>
    <w:rsid w:val="008019B3"/>
    <w:rsid w:val="00801B47"/>
    <w:rsid w:val="00801C3C"/>
    <w:rsid w:val="00801D1A"/>
    <w:rsid w:val="00801D83"/>
    <w:rsid w:val="00801F63"/>
    <w:rsid w:val="00802151"/>
    <w:rsid w:val="008022F1"/>
    <w:rsid w:val="00802599"/>
    <w:rsid w:val="00802628"/>
    <w:rsid w:val="00802822"/>
    <w:rsid w:val="00802D99"/>
    <w:rsid w:val="00802EA5"/>
    <w:rsid w:val="00802F4A"/>
    <w:rsid w:val="00803049"/>
    <w:rsid w:val="008030D6"/>
    <w:rsid w:val="00803228"/>
    <w:rsid w:val="00803368"/>
    <w:rsid w:val="00803563"/>
    <w:rsid w:val="008037FA"/>
    <w:rsid w:val="0080390F"/>
    <w:rsid w:val="00803A6C"/>
    <w:rsid w:val="00803C01"/>
    <w:rsid w:val="008041DE"/>
    <w:rsid w:val="0080438A"/>
    <w:rsid w:val="008045E8"/>
    <w:rsid w:val="00804633"/>
    <w:rsid w:val="0080472B"/>
    <w:rsid w:val="00804730"/>
    <w:rsid w:val="00804A1F"/>
    <w:rsid w:val="00804B55"/>
    <w:rsid w:val="00804C20"/>
    <w:rsid w:val="00804C45"/>
    <w:rsid w:val="00804EB8"/>
    <w:rsid w:val="00804F74"/>
    <w:rsid w:val="00804FCE"/>
    <w:rsid w:val="008050EF"/>
    <w:rsid w:val="00805193"/>
    <w:rsid w:val="008052A3"/>
    <w:rsid w:val="00805434"/>
    <w:rsid w:val="008054BD"/>
    <w:rsid w:val="008054BE"/>
    <w:rsid w:val="0080552F"/>
    <w:rsid w:val="00805559"/>
    <w:rsid w:val="008055EC"/>
    <w:rsid w:val="00805616"/>
    <w:rsid w:val="00805ECC"/>
    <w:rsid w:val="00805FD5"/>
    <w:rsid w:val="00805FE1"/>
    <w:rsid w:val="00806008"/>
    <w:rsid w:val="008063D5"/>
    <w:rsid w:val="00806405"/>
    <w:rsid w:val="00806514"/>
    <w:rsid w:val="00806793"/>
    <w:rsid w:val="0080690D"/>
    <w:rsid w:val="008069F5"/>
    <w:rsid w:val="00806A44"/>
    <w:rsid w:val="00806BCB"/>
    <w:rsid w:val="00806BDB"/>
    <w:rsid w:val="00806C9B"/>
    <w:rsid w:val="00806CA4"/>
    <w:rsid w:val="00806CC7"/>
    <w:rsid w:val="00806D2C"/>
    <w:rsid w:val="00806DAE"/>
    <w:rsid w:val="00806F9E"/>
    <w:rsid w:val="0080700C"/>
    <w:rsid w:val="008070DC"/>
    <w:rsid w:val="00807629"/>
    <w:rsid w:val="008077DB"/>
    <w:rsid w:val="0080786A"/>
    <w:rsid w:val="00807BA0"/>
    <w:rsid w:val="00807C73"/>
    <w:rsid w:val="00807E0C"/>
    <w:rsid w:val="00807E74"/>
    <w:rsid w:val="00807E9E"/>
    <w:rsid w:val="008100B2"/>
    <w:rsid w:val="00810117"/>
    <w:rsid w:val="008101C0"/>
    <w:rsid w:val="00810208"/>
    <w:rsid w:val="008103AF"/>
    <w:rsid w:val="00810407"/>
    <w:rsid w:val="008104B5"/>
    <w:rsid w:val="008106EA"/>
    <w:rsid w:val="00810752"/>
    <w:rsid w:val="00810777"/>
    <w:rsid w:val="00810BFD"/>
    <w:rsid w:val="00810CF9"/>
    <w:rsid w:val="00810E36"/>
    <w:rsid w:val="00810F14"/>
    <w:rsid w:val="00811058"/>
    <w:rsid w:val="00811143"/>
    <w:rsid w:val="008112AB"/>
    <w:rsid w:val="00811428"/>
    <w:rsid w:val="0081150B"/>
    <w:rsid w:val="008115D8"/>
    <w:rsid w:val="008115F6"/>
    <w:rsid w:val="00811B3C"/>
    <w:rsid w:val="00811DA6"/>
    <w:rsid w:val="00811E1B"/>
    <w:rsid w:val="00812031"/>
    <w:rsid w:val="00812372"/>
    <w:rsid w:val="008127AD"/>
    <w:rsid w:val="008128A8"/>
    <w:rsid w:val="008128B0"/>
    <w:rsid w:val="00812ABD"/>
    <w:rsid w:val="00812C48"/>
    <w:rsid w:val="00812C80"/>
    <w:rsid w:val="00812CA2"/>
    <w:rsid w:val="00812DED"/>
    <w:rsid w:val="00812EB7"/>
    <w:rsid w:val="008132BB"/>
    <w:rsid w:val="0081349D"/>
    <w:rsid w:val="0081396D"/>
    <w:rsid w:val="008139A5"/>
    <w:rsid w:val="008139DF"/>
    <w:rsid w:val="00813BD8"/>
    <w:rsid w:val="00813C68"/>
    <w:rsid w:val="00813E3C"/>
    <w:rsid w:val="008140AB"/>
    <w:rsid w:val="008142C0"/>
    <w:rsid w:val="0081478C"/>
    <w:rsid w:val="008147CC"/>
    <w:rsid w:val="0081481F"/>
    <w:rsid w:val="00814855"/>
    <w:rsid w:val="00814865"/>
    <w:rsid w:val="00814D3C"/>
    <w:rsid w:val="00814E33"/>
    <w:rsid w:val="00814E8E"/>
    <w:rsid w:val="00814ED7"/>
    <w:rsid w:val="00815002"/>
    <w:rsid w:val="0081519D"/>
    <w:rsid w:val="008152AA"/>
    <w:rsid w:val="00815368"/>
    <w:rsid w:val="0081542D"/>
    <w:rsid w:val="00815882"/>
    <w:rsid w:val="008158E5"/>
    <w:rsid w:val="00815A3E"/>
    <w:rsid w:val="00815A52"/>
    <w:rsid w:val="00815EA6"/>
    <w:rsid w:val="00815F01"/>
    <w:rsid w:val="00815F5D"/>
    <w:rsid w:val="00815FDC"/>
    <w:rsid w:val="00816165"/>
    <w:rsid w:val="008162C4"/>
    <w:rsid w:val="0081653B"/>
    <w:rsid w:val="0081688B"/>
    <w:rsid w:val="0081692B"/>
    <w:rsid w:val="00816B0F"/>
    <w:rsid w:val="00816C07"/>
    <w:rsid w:val="00816CD6"/>
    <w:rsid w:val="00816E72"/>
    <w:rsid w:val="00817096"/>
    <w:rsid w:val="00817280"/>
    <w:rsid w:val="00817488"/>
    <w:rsid w:val="00817506"/>
    <w:rsid w:val="0081756D"/>
    <w:rsid w:val="00817774"/>
    <w:rsid w:val="00817983"/>
    <w:rsid w:val="00817997"/>
    <w:rsid w:val="00817AB1"/>
    <w:rsid w:val="00817BD3"/>
    <w:rsid w:val="00817C59"/>
    <w:rsid w:val="00817EAA"/>
    <w:rsid w:val="00817EF6"/>
    <w:rsid w:val="0081C73E"/>
    <w:rsid w:val="00820177"/>
    <w:rsid w:val="008201A7"/>
    <w:rsid w:val="008202D2"/>
    <w:rsid w:val="008203D4"/>
    <w:rsid w:val="008203F0"/>
    <w:rsid w:val="0082042B"/>
    <w:rsid w:val="0082055E"/>
    <w:rsid w:val="00820677"/>
    <w:rsid w:val="008207F3"/>
    <w:rsid w:val="0082093E"/>
    <w:rsid w:val="00820966"/>
    <w:rsid w:val="00820A2C"/>
    <w:rsid w:val="00820B5B"/>
    <w:rsid w:val="00820D4C"/>
    <w:rsid w:val="00820E62"/>
    <w:rsid w:val="0082104B"/>
    <w:rsid w:val="00821297"/>
    <w:rsid w:val="0082143B"/>
    <w:rsid w:val="0082193F"/>
    <w:rsid w:val="00821B03"/>
    <w:rsid w:val="00821CA9"/>
    <w:rsid w:val="00821D0B"/>
    <w:rsid w:val="00821D98"/>
    <w:rsid w:val="0082201B"/>
    <w:rsid w:val="0082231B"/>
    <w:rsid w:val="008223A6"/>
    <w:rsid w:val="008224A0"/>
    <w:rsid w:val="008224BE"/>
    <w:rsid w:val="008224E5"/>
    <w:rsid w:val="008226C9"/>
    <w:rsid w:val="0082282D"/>
    <w:rsid w:val="00822BB8"/>
    <w:rsid w:val="00822BEA"/>
    <w:rsid w:val="00822F16"/>
    <w:rsid w:val="00822F1C"/>
    <w:rsid w:val="00823083"/>
    <w:rsid w:val="008230D2"/>
    <w:rsid w:val="00823319"/>
    <w:rsid w:val="0082334E"/>
    <w:rsid w:val="00823364"/>
    <w:rsid w:val="0082398B"/>
    <w:rsid w:val="00823BBD"/>
    <w:rsid w:val="00823E91"/>
    <w:rsid w:val="00823F58"/>
    <w:rsid w:val="00824043"/>
    <w:rsid w:val="0082419A"/>
    <w:rsid w:val="00824316"/>
    <w:rsid w:val="008243CF"/>
    <w:rsid w:val="00824410"/>
    <w:rsid w:val="0082445B"/>
    <w:rsid w:val="00824684"/>
    <w:rsid w:val="008246A9"/>
    <w:rsid w:val="008246F0"/>
    <w:rsid w:val="00824D42"/>
    <w:rsid w:val="00824D44"/>
    <w:rsid w:val="00824E3B"/>
    <w:rsid w:val="008250B4"/>
    <w:rsid w:val="00825180"/>
    <w:rsid w:val="0082549C"/>
    <w:rsid w:val="008256F9"/>
    <w:rsid w:val="00825B30"/>
    <w:rsid w:val="00825DCF"/>
    <w:rsid w:val="00825E0C"/>
    <w:rsid w:val="00825E16"/>
    <w:rsid w:val="0082613C"/>
    <w:rsid w:val="008263B4"/>
    <w:rsid w:val="008263FA"/>
    <w:rsid w:val="008263FC"/>
    <w:rsid w:val="00826433"/>
    <w:rsid w:val="00826BC5"/>
    <w:rsid w:val="00826C03"/>
    <w:rsid w:val="00826C52"/>
    <w:rsid w:val="00826DDB"/>
    <w:rsid w:val="008275D9"/>
    <w:rsid w:val="00827674"/>
    <w:rsid w:val="008276D7"/>
    <w:rsid w:val="008277CA"/>
    <w:rsid w:val="008279D1"/>
    <w:rsid w:val="00827A35"/>
    <w:rsid w:val="00827CD9"/>
    <w:rsid w:val="00827CFA"/>
    <w:rsid w:val="00827D3F"/>
    <w:rsid w:val="00827EAE"/>
    <w:rsid w:val="00830062"/>
    <w:rsid w:val="0083059E"/>
    <w:rsid w:val="00830766"/>
    <w:rsid w:val="00830866"/>
    <w:rsid w:val="00830A08"/>
    <w:rsid w:val="00830CD4"/>
    <w:rsid w:val="00830DBE"/>
    <w:rsid w:val="00830ED0"/>
    <w:rsid w:val="00831039"/>
    <w:rsid w:val="00831358"/>
    <w:rsid w:val="008315BA"/>
    <w:rsid w:val="00831682"/>
    <w:rsid w:val="008317C5"/>
    <w:rsid w:val="008317FF"/>
    <w:rsid w:val="00831A9C"/>
    <w:rsid w:val="00831D03"/>
    <w:rsid w:val="00831D61"/>
    <w:rsid w:val="00831DA5"/>
    <w:rsid w:val="00831DE2"/>
    <w:rsid w:val="00831FE1"/>
    <w:rsid w:val="008320A7"/>
    <w:rsid w:val="0083210F"/>
    <w:rsid w:val="008322A5"/>
    <w:rsid w:val="008326E2"/>
    <w:rsid w:val="00832700"/>
    <w:rsid w:val="00832711"/>
    <w:rsid w:val="00832727"/>
    <w:rsid w:val="0083287E"/>
    <w:rsid w:val="008328F2"/>
    <w:rsid w:val="00832938"/>
    <w:rsid w:val="00832A0C"/>
    <w:rsid w:val="00832A8D"/>
    <w:rsid w:val="00832BAE"/>
    <w:rsid w:val="00832CA6"/>
    <w:rsid w:val="00832CF4"/>
    <w:rsid w:val="00832EDF"/>
    <w:rsid w:val="00833083"/>
    <w:rsid w:val="008334BD"/>
    <w:rsid w:val="008334BE"/>
    <w:rsid w:val="008335CB"/>
    <w:rsid w:val="00833793"/>
    <w:rsid w:val="00833903"/>
    <w:rsid w:val="00833D1C"/>
    <w:rsid w:val="00833F64"/>
    <w:rsid w:val="00833FF6"/>
    <w:rsid w:val="0083417B"/>
    <w:rsid w:val="008342B6"/>
    <w:rsid w:val="00834380"/>
    <w:rsid w:val="00834390"/>
    <w:rsid w:val="008345D8"/>
    <w:rsid w:val="0083477A"/>
    <w:rsid w:val="008348AF"/>
    <w:rsid w:val="00834900"/>
    <w:rsid w:val="00834B7B"/>
    <w:rsid w:val="00834F5F"/>
    <w:rsid w:val="0083518B"/>
    <w:rsid w:val="008357A8"/>
    <w:rsid w:val="008358A1"/>
    <w:rsid w:val="00835CEA"/>
    <w:rsid w:val="00835DF6"/>
    <w:rsid w:val="00835FF0"/>
    <w:rsid w:val="0083613D"/>
    <w:rsid w:val="008361CE"/>
    <w:rsid w:val="00836311"/>
    <w:rsid w:val="008365D8"/>
    <w:rsid w:val="00836959"/>
    <w:rsid w:val="00836BAE"/>
    <w:rsid w:val="00836BCD"/>
    <w:rsid w:val="00836DB2"/>
    <w:rsid w:val="00836FDC"/>
    <w:rsid w:val="0083772F"/>
    <w:rsid w:val="008377E5"/>
    <w:rsid w:val="00837924"/>
    <w:rsid w:val="00837F74"/>
    <w:rsid w:val="00837F84"/>
    <w:rsid w:val="008401AD"/>
    <w:rsid w:val="0084035C"/>
    <w:rsid w:val="0084046C"/>
    <w:rsid w:val="00840B42"/>
    <w:rsid w:val="00840BB0"/>
    <w:rsid w:val="00840DA8"/>
    <w:rsid w:val="00840DEF"/>
    <w:rsid w:val="00840E19"/>
    <w:rsid w:val="008410C1"/>
    <w:rsid w:val="0084142C"/>
    <w:rsid w:val="008414B3"/>
    <w:rsid w:val="008414B9"/>
    <w:rsid w:val="00841501"/>
    <w:rsid w:val="0084151C"/>
    <w:rsid w:val="00841528"/>
    <w:rsid w:val="008415AA"/>
    <w:rsid w:val="008415FD"/>
    <w:rsid w:val="0084176E"/>
    <w:rsid w:val="00841C95"/>
    <w:rsid w:val="00841E32"/>
    <w:rsid w:val="00841F53"/>
    <w:rsid w:val="00841FC2"/>
    <w:rsid w:val="00841FFB"/>
    <w:rsid w:val="00842068"/>
    <w:rsid w:val="008420B7"/>
    <w:rsid w:val="008421BC"/>
    <w:rsid w:val="008421DD"/>
    <w:rsid w:val="008425A3"/>
    <w:rsid w:val="0084281E"/>
    <w:rsid w:val="00842853"/>
    <w:rsid w:val="008429ED"/>
    <w:rsid w:val="00842AC1"/>
    <w:rsid w:val="00842D6A"/>
    <w:rsid w:val="00842EB7"/>
    <w:rsid w:val="00843122"/>
    <w:rsid w:val="008431F1"/>
    <w:rsid w:val="00843293"/>
    <w:rsid w:val="0084336E"/>
    <w:rsid w:val="008437EE"/>
    <w:rsid w:val="00843999"/>
    <w:rsid w:val="00843B97"/>
    <w:rsid w:val="00843BBF"/>
    <w:rsid w:val="00843CE8"/>
    <w:rsid w:val="00843DA7"/>
    <w:rsid w:val="00843DE3"/>
    <w:rsid w:val="00844016"/>
    <w:rsid w:val="0084418F"/>
    <w:rsid w:val="00844243"/>
    <w:rsid w:val="00844492"/>
    <w:rsid w:val="00844720"/>
    <w:rsid w:val="0084493B"/>
    <w:rsid w:val="00844A44"/>
    <w:rsid w:val="00844CF1"/>
    <w:rsid w:val="00844E5C"/>
    <w:rsid w:val="00844EE8"/>
    <w:rsid w:val="008453E6"/>
    <w:rsid w:val="008455C6"/>
    <w:rsid w:val="008455EE"/>
    <w:rsid w:val="00845A20"/>
    <w:rsid w:val="00845A34"/>
    <w:rsid w:val="00845E43"/>
    <w:rsid w:val="00845E4E"/>
    <w:rsid w:val="00845EC9"/>
    <w:rsid w:val="00845FAD"/>
    <w:rsid w:val="00846096"/>
    <w:rsid w:val="008460FE"/>
    <w:rsid w:val="00846241"/>
    <w:rsid w:val="0084632A"/>
    <w:rsid w:val="00846333"/>
    <w:rsid w:val="008466B4"/>
    <w:rsid w:val="008466E6"/>
    <w:rsid w:val="00846806"/>
    <w:rsid w:val="00846B78"/>
    <w:rsid w:val="00846BCC"/>
    <w:rsid w:val="00846F05"/>
    <w:rsid w:val="00847193"/>
    <w:rsid w:val="008472B5"/>
    <w:rsid w:val="008472EE"/>
    <w:rsid w:val="008472F0"/>
    <w:rsid w:val="0084736B"/>
    <w:rsid w:val="008474C9"/>
    <w:rsid w:val="008476B3"/>
    <w:rsid w:val="008476D8"/>
    <w:rsid w:val="00847926"/>
    <w:rsid w:val="0084794E"/>
    <w:rsid w:val="00847A03"/>
    <w:rsid w:val="00847B52"/>
    <w:rsid w:val="00847C0C"/>
    <w:rsid w:val="00847C1C"/>
    <w:rsid w:val="00847D55"/>
    <w:rsid w:val="00847EB3"/>
    <w:rsid w:val="008506D9"/>
    <w:rsid w:val="00850731"/>
    <w:rsid w:val="008509FD"/>
    <w:rsid w:val="00850ADB"/>
    <w:rsid w:val="00850B3E"/>
    <w:rsid w:val="00850D78"/>
    <w:rsid w:val="00850E52"/>
    <w:rsid w:val="00850F2A"/>
    <w:rsid w:val="00851020"/>
    <w:rsid w:val="00851377"/>
    <w:rsid w:val="0085148F"/>
    <w:rsid w:val="0085165C"/>
    <w:rsid w:val="00851751"/>
    <w:rsid w:val="00851844"/>
    <w:rsid w:val="008518B6"/>
    <w:rsid w:val="00851928"/>
    <w:rsid w:val="0085192D"/>
    <w:rsid w:val="00851AAA"/>
    <w:rsid w:val="00851B1F"/>
    <w:rsid w:val="00851B53"/>
    <w:rsid w:val="00851B8D"/>
    <w:rsid w:val="00851CDD"/>
    <w:rsid w:val="00851E74"/>
    <w:rsid w:val="0085212B"/>
    <w:rsid w:val="00852192"/>
    <w:rsid w:val="008526EF"/>
    <w:rsid w:val="00852842"/>
    <w:rsid w:val="0085286A"/>
    <w:rsid w:val="0085291D"/>
    <w:rsid w:val="00852BEA"/>
    <w:rsid w:val="00852CC5"/>
    <w:rsid w:val="00852DAC"/>
    <w:rsid w:val="00852ED7"/>
    <w:rsid w:val="0085329B"/>
    <w:rsid w:val="0085353C"/>
    <w:rsid w:val="008536A4"/>
    <w:rsid w:val="00853AB0"/>
    <w:rsid w:val="00853B1F"/>
    <w:rsid w:val="00853BFC"/>
    <w:rsid w:val="00853E81"/>
    <w:rsid w:val="00853F50"/>
    <w:rsid w:val="00854110"/>
    <w:rsid w:val="008541AA"/>
    <w:rsid w:val="00854442"/>
    <w:rsid w:val="0085454F"/>
    <w:rsid w:val="008547D1"/>
    <w:rsid w:val="00854B0F"/>
    <w:rsid w:val="00854FD7"/>
    <w:rsid w:val="0085508B"/>
    <w:rsid w:val="00855615"/>
    <w:rsid w:val="00855A22"/>
    <w:rsid w:val="00855E5A"/>
    <w:rsid w:val="00855FC0"/>
    <w:rsid w:val="0085606A"/>
    <w:rsid w:val="0085613C"/>
    <w:rsid w:val="008561DC"/>
    <w:rsid w:val="00856428"/>
    <w:rsid w:val="008564BA"/>
    <w:rsid w:val="00856895"/>
    <w:rsid w:val="008568C0"/>
    <w:rsid w:val="00856BAF"/>
    <w:rsid w:val="00856C46"/>
    <w:rsid w:val="00856E9F"/>
    <w:rsid w:val="00856F1F"/>
    <w:rsid w:val="0085725D"/>
    <w:rsid w:val="008572B5"/>
    <w:rsid w:val="008573D8"/>
    <w:rsid w:val="008577CF"/>
    <w:rsid w:val="008579F4"/>
    <w:rsid w:val="00857B6A"/>
    <w:rsid w:val="00857D00"/>
    <w:rsid w:val="00857F16"/>
    <w:rsid w:val="00857F75"/>
    <w:rsid w:val="0085D424"/>
    <w:rsid w:val="0086019A"/>
    <w:rsid w:val="008603A1"/>
    <w:rsid w:val="008606BC"/>
    <w:rsid w:val="008606FD"/>
    <w:rsid w:val="00860838"/>
    <w:rsid w:val="0086097A"/>
    <w:rsid w:val="00860B77"/>
    <w:rsid w:val="00860CAA"/>
    <w:rsid w:val="00860E38"/>
    <w:rsid w:val="00860E41"/>
    <w:rsid w:val="008611F0"/>
    <w:rsid w:val="008612D0"/>
    <w:rsid w:val="008613EA"/>
    <w:rsid w:val="00861613"/>
    <w:rsid w:val="00861848"/>
    <w:rsid w:val="008619A2"/>
    <w:rsid w:val="00861BF7"/>
    <w:rsid w:val="00861C5A"/>
    <w:rsid w:val="00861E3E"/>
    <w:rsid w:val="00861F97"/>
    <w:rsid w:val="00862050"/>
    <w:rsid w:val="00862253"/>
    <w:rsid w:val="00862266"/>
    <w:rsid w:val="00862311"/>
    <w:rsid w:val="008623A1"/>
    <w:rsid w:val="0086261E"/>
    <w:rsid w:val="008627BE"/>
    <w:rsid w:val="008629C4"/>
    <w:rsid w:val="00862A7E"/>
    <w:rsid w:val="00862AC5"/>
    <w:rsid w:val="00862C87"/>
    <w:rsid w:val="00862CD1"/>
    <w:rsid w:val="00862EED"/>
    <w:rsid w:val="00863084"/>
    <w:rsid w:val="0086326F"/>
    <w:rsid w:val="00863330"/>
    <w:rsid w:val="00863577"/>
    <w:rsid w:val="00863598"/>
    <w:rsid w:val="00863745"/>
    <w:rsid w:val="00863907"/>
    <w:rsid w:val="00863A94"/>
    <w:rsid w:val="00863CD8"/>
    <w:rsid w:val="00863DCA"/>
    <w:rsid w:val="00864005"/>
    <w:rsid w:val="008640C8"/>
    <w:rsid w:val="0086415B"/>
    <w:rsid w:val="00864579"/>
    <w:rsid w:val="008646E4"/>
    <w:rsid w:val="00864805"/>
    <w:rsid w:val="00864813"/>
    <w:rsid w:val="0086492D"/>
    <w:rsid w:val="00864A41"/>
    <w:rsid w:val="00864B15"/>
    <w:rsid w:val="00864B2E"/>
    <w:rsid w:val="00864C11"/>
    <w:rsid w:val="00864CD7"/>
    <w:rsid w:val="00864E90"/>
    <w:rsid w:val="00864F95"/>
    <w:rsid w:val="0086504A"/>
    <w:rsid w:val="0086506D"/>
    <w:rsid w:val="008650F4"/>
    <w:rsid w:val="0086528C"/>
    <w:rsid w:val="00865323"/>
    <w:rsid w:val="008655F4"/>
    <w:rsid w:val="00865640"/>
    <w:rsid w:val="00865B82"/>
    <w:rsid w:val="00865BC9"/>
    <w:rsid w:val="00865DF4"/>
    <w:rsid w:val="00865EDD"/>
    <w:rsid w:val="00865F7B"/>
    <w:rsid w:val="00865FF0"/>
    <w:rsid w:val="00866009"/>
    <w:rsid w:val="008660D0"/>
    <w:rsid w:val="0086625C"/>
    <w:rsid w:val="008662B9"/>
    <w:rsid w:val="008665E7"/>
    <w:rsid w:val="00866C67"/>
    <w:rsid w:val="00866D28"/>
    <w:rsid w:val="00867245"/>
    <w:rsid w:val="0086743E"/>
    <w:rsid w:val="00867465"/>
    <w:rsid w:val="008674D3"/>
    <w:rsid w:val="0086774D"/>
    <w:rsid w:val="0086776B"/>
    <w:rsid w:val="00867969"/>
    <w:rsid w:val="00867970"/>
    <w:rsid w:val="00867ABC"/>
    <w:rsid w:val="00867BF4"/>
    <w:rsid w:val="00867C5C"/>
    <w:rsid w:val="008700A9"/>
    <w:rsid w:val="008706DA"/>
    <w:rsid w:val="0087072C"/>
    <w:rsid w:val="00870D9C"/>
    <w:rsid w:val="00870DB7"/>
    <w:rsid w:val="00870DBF"/>
    <w:rsid w:val="00871039"/>
    <w:rsid w:val="00871142"/>
    <w:rsid w:val="0087127F"/>
    <w:rsid w:val="008714D1"/>
    <w:rsid w:val="0087177A"/>
    <w:rsid w:val="008717E2"/>
    <w:rsid w:val="008717FC"/>
    <w:rsid w:val="0087181B"/>
    <w:rsid w:val="00871BA5"/>
    <w:rsid w:val="00871CF6"/>
    <w:rsid w:val="00871D9C"/>
    <w:rsid w:val="00871EA1"/>
    <w:rsid w:val="00871F45"/>
    <w:rsid w:val="008721AB"/>
    <w:rsid w:val="008724C7"/>
    <w:rsid w:val="008724E5"/>
    <w:rsid w:val="0087272A"/>
    <w:rsid w:val="008727F3"/>
    <w:rsid w:val="00872873"/>
    <w:rsid w:val="008728FA"/>
    <w:rsid w:val="008729CC"/>
    <w:rsid w:val="008729F6"/>
    <w:rsid w:val="00872A00"/>
    <w:rsid w:val="00872A16"/>
    <w:rsid w:val="00872A92"/>
    <w:rsid w:val="00872AC3"/>
    <w:rsid w:val="00872AEA"/>
    <w:rsid w:val="00872B5E"/>
    <w:rsid w:val="00872B5F"/>
    <w:rsid w:val="00872D10"/>
    <w:rsid w:val="00872DAE"/>
    <w:rsid w:val="00872E66"/>
    <w:rsid w:val="00872E76"/>
    <w:rsid w:val="00872EAF"/>
    <w:rsid w:val="0087301F"/>
    <w:rsid w:val="008731E5"/>
    <w:rsid w:val="008731F1"/>
    <w:rsid w:val="00873207"/>
    <w:rsid w:val="008733BB"/>
    <w:rsid w:val="008735D5"/>
    <w:rsid w:val="00873A69"/>
    <w:rsid w:val="00873A95"/>
    <w:rsid w:val="00873D6A"/>
    <w:rsid w:val="00873E8B"/>
    <w:rsid w:val="00873E8D"/>
    <w:rsid w:val="00873E98"/>
    <w:rsid w:val="00874068"/>
    <w:rsid w:val="00874159"/>
    <w:rsid w:val="008742F7"/>
    <w:rsid w:val="00874327"/>
    <w:rsid w:val="0087468D"/>
    <w:rsid w:val="008748BB"/>
    <w:rsid w:val="00874C07"/>
    <w:rsid w:val="00874CEA"/>
    <w:rsid w:val="00874FA8"/>
    <w:rsid w:val="0087503E"/>
    <w:rsid w:val="008753B2"/>
    <w:rsid w:val="0087567B"/>
    <w:rsid w:val="0087580B"/>
    <w:rsid w:val="00875933"/>
    <w:rsid w:val="0087594A"/>
    <w:rsid w:val="00875C49"/>
    <w:rsid w:val="00875CD8"/>
    <w:rsid w:val="00875E55"/>
    <w:rsid w:val="00875EAA"/>
    <w:rsid w:val="00875EEA"/>
    <w:rsid w:val="0087645A"/>
    <w:rsid w:val="00876511"/>
    <w:rsid w:val="00876514"/>
    <w:rsid w:val="00876659"/>
    <w:rsid w:val="0087678E"/>
    <w:rsid w:val="008767E9"/>
    <w:rsid w:val="00876B21"/>
    <w:rsid w:val="00876B41"/>
    <w:rsid w:val="00876DF3"/>
    <w:rsid w:val="0087709C"/>
    <w:rsid w:val="00877284"/>
    <w:rsid w:val="00877537"/>
    <w:rsid w:val="0087754F"/>
    <w:rsid w:val="00877618"/>
    <w:rsid w:val="0087772A"/>
    <w:rsid w:val="008778CB"/>
    <w:rsid w:val="0087798D"/>
    <w:rsid w:val="00877A9C"/>
    <w:rsid w:val="00877B1E"/>
    <w:rsid w:val="00877CE0"/>
    <w:rsid w:val="00877F85"/>
    <w:rsid w:val="00877FE6"/>
    <w:rsid w:val="0088018C"/>
    <w:rsid w:val="008802D7"/>
    <w:rsid w:val="00880425"/>
    <w:rsid w:val="008808F7"/>
    <w:rsid w:val="00880930"/>
    <w:rsid w:val="00880A72"/>
    <w:rsid w:val="00880E5D"/>
    <w:rsid w:val="00880E7F"/>
    <w:rsid w:val="00880EB6"/>
    <w:rsid w:val="00880EF8"/>
    <w:rsid w:val="00881242"/>
    <w:rsid w:val="0088124A"/>
    <w:rsid w:val="00881409"/>
    <w:rsid w:val="008814F7"/>
    <w:rsid w:val="00881575"/>
    <w:rsid w:val="0088169A"/>
    <w:rsid w:val="00881728"/>
    <w:rsid w:val="00881784"/>
    <w:rsid w:val="00881BAD"/>
    <w:rsid w:val="00881C88"/>
    <w:rsid w:val="00881CA1"/>
    <w:rsid w:val="00881CF4"/>
    <w:rsid w:val="00882008"/>
    <w:rsid w:val="0088220F"/>
    <w:rsid w:val="00882382"/>
    <w:rsid w:val="008823A9"/>
    <w:rsid w:val="00882BD7"/>
    <w:rsid w:val="00882D0D"/>
    <w:rsid w:val="00882D27"/>
    <w:rsid w:val="00882E66"/>
    <w:rsid w:val="00882F12"/>
    <w:rsid w:val="008830D2"/>
    <w:rsid w:val="0088310B"/>
    <w:rsid w:val="00883316"/>
    <w:rsid w:val="00883401"/>
    <w:rsid w:val="00883582"/>
    <w:rsid w:val="00883910"/>
    <w:rsid w:val="00883AE0"/>
    <w:rsid w:val="00883AF9"/>
    <w:rsid w:val="00883B6A"/>
    <w:rsid w:val="00883C24"/>
    <w:rsid w:val="00883C30"/>
    <w:rsid w:val="00883D60"/>
    <w:rsid w:val="00883DBE"/>
    <w:rsid w:val="008840B7"/>
    <w:rsid w:val="008840E0"/>
    <w:rsid w:val="008840F0"/>
    <w:rsid w:val="008840FE"/>
    <w:rsid w:val="008841CC"/>
    <w:rsid w:val="008842CC"/>
    <w:rsid w:val="00884305"/>
    <w:rsid w:val="00884363"/>
    <w:rsid w:val="008843D6"/>
    <w:rsid w:val="00884C6E"/>
    <w:rsid w:val="00884D78"/>
    <w:rsid w:val="00884DAF"/>
    <w:rsid w:val="00884DEA"/>
    <w:rsid w:val="0088514C"/>
    <w:rsid w:val="008854CB"/>
    <w:rsid w:val="008855C4"/>
    <w:rsid w:val="0088585E"/>
    <w:rsid w:val="008858F3"/>
    <w:rsid w:val="008858F4"/>
    <w:rsid w:val="00885D6D"/>
    <w:rsid w:val="00886010"/>
    <w:rsid w:val="00886178"/>
    <w:rsid w:val="0088636C"/>
    <w:rsid w:val="0088688A"/>
    <w:rsid w:val="00886923"/>
    <w:rsid w:val="00886A1C"/>
    <w:rsid w:val="00886DF0"/>
    <w:rsid w:val="00886E17"/>
    <w:rsid w:val="00886E57"/>
    <w:rsid w:val="00886E66"/>
    <w:rsid w:val="00886FBC"/>
    <w:rsid w:val="0088703D"/>
    <w:rsid w:val="0088740F"/>
    <w:rsid w:val="0088766A"/>
    <w:rsid w:val="00887733"/>
    <w:rsid w:val="00887AE1"/>
    <w:rsid w:val="00887BD0"/>
    <w:rsid w:val="00887BEF"/>
    <w:rsid w:val="00887D7E"/>
    <w:rsid w:val="00887E08"/>
    <w:rsid w:val="00887E2A"/>
    <w:rsid w:val="00887FE7"/>
    <w:rsid w:val="0089010B"/>
    <w:rsid w:val="008901A7"/>
    <w:rsid w:val="0089034E"/>
    <w:rsid w:val="008904F9"/>
    <w:rsid w:val="00890708"/>
    <w:rsid w:val="00890958"/>
    <w:rsid w:val="008909D4"/>
    <w:rsid w:val="00890C22"/>
    <w:rsid w:val="00890D9E"/>
    <w:rsid w:val="00890E48"/>
    <w:rsid w:val="00890E95"/>
    <w:rsid w:val="0089104B"/>
    <w:rsid w:val="008911DA"/>
    <w:rsid w:val="0089186B"/>
    <w:rsid w:val="00891876"/>
    <w:rsid w:val="00891883"/>
    <w:rsid w:val="00891A3A"/>
    <w:rsid w:val="00891A5F"/>
    <w:rsid w:val="00891C11"/>
    <w:rsid w:val="00891D64"/>
    <w:rsid w:val="00891E6F"/>
    <w:rsid w:val="00891F5A"/>
    <w:rsid w:val="00891F74"/>
    <w:rsid w:val="00891FB6"/>
    <w:rsid w:val="00891FBB"/>
    <w:rsid w:val="0089204B"/>
    <w:rsid w:val="00892646"/>
    <w:rsid w:val="008926B9"/>
    <w:rsid w:val="0089283C"/>
    <w:rsid w:val="00892F15"/>
    <w:rsid w:val="0089326B"/>
    <w:rsid w:val="008932DE"/>
    <w:rsid w:val="0089338F"/>
    <w:rsid w:val="00893418"/>
    <w:rsid w:val="0089359F"/>
    <w:rsid w:val="0089389A"/>
    <w:rsid w:val="008938C3"/>
    <w:rsid w:val="00893A42"/>
    <w:rsid w:val="00894215"/>
    <w:rsid w:val="00894479"/>
    <w:rsid w:val="00894574"/>
    <w:rsid w:val="00894B7E"/>
    <w:rsid w:val="00894ECB"/>
    <w:rsid w:val="00894EFF"/>
    <w:rsid w:val="00894F8C"/>
    <w:rsid w:val="008950AB"/>
    <w:rsid w:val="00895206"/>
    <w:rsid w:val="00895289"/>
    <w:rsid w:val="00895518"/>
    <w:rsid w:val="008959D1"/>
    <w:rsid w:val="00895D23"/>
    <w:rsid w:val="00895D84"/>
    <w:rsid w:val="00896074"/>
    <w:rsid w:val="0089624C"/>
    <w:rsid w:val="0089668B"/>
    <w:rsid w:val="008967C9"/>
    <w:rsid w:val="008969D8"/>
    <w:rsid w:val="00896A63"/>
    <w:rsid w:val="00896DC4"/>
    <w:rsid w:val="00896FBC"/>
    <w:rsid w:val="008972CF"/>
    <w:rsid w:val="008974A5"/>
    <w:rsid w:val="008974D4"/>
    <w:rsid w:val="008977A5"/>
    <w:rsid w:val="008977EB"/>
    <w:rsid w:val="00897876"/>
    <w:rsid w:val="008979F5"/>
    <w:rsid w:val="00897B46"/>
    <w:rsid w:val="00897D07"/>
    <w:rsid w:val="00897FC7"/>
    <w:rsid w:val="008A0210"/>
    <w:rsid w:val="008A03E6"/>
    <w:rsid w:val="008A049E"/>
    <w:rsid w:val="008A052E"/>
    <w:rsid w:val="008A0648"/>
    <w:rsid w:val="008A07E4"/>
    <w:rsid w:val="008A0B54"/>
    <w:rsid w:val="008A0C42"/>
    <w:rsid w:val="008A0D03"/>
    <w:rsid w:val="008A0D17"/>
    <w:rsid w:val="008A0D7C"/>
    <w:rsid w:val="008A0E9C"/>
    <w:rsid w:val="008A0F36"/>
    <w:rsid w:val="008A11B1"/>
    <w:rsid w:val="008A12E1"/>
    <w:rsid w:val="008A1303"/>
    <w:rsid w:val="008A138F"/>
    <w:rsid w:val="008A1620"/>
    <w:rsid w:val="008A1779"/>
    <w:rsid w:val="008A18FA"/>
    <w:rsid w:val="008A19BB"/>
    <w:rsid w:val="008A1E40"/>
    <w:rsid w:val="008A21D5"/>
    <w:rsid w:val="008A21FA"/>
    <w:rsid w:val="008A234A"/>
    <w:rsid w:val="008A2409"/>
    <w:rsid w:val="008A24C4"/>
    <w:rsid w:val="008A263B"/>
    <w:rsid w:val="008A27B8"/>
    <w:rsid w:val="008A285C"/>
    <w:rsid w:val="008A29AC"/>
    <w:rsid w:val="008A29C1"/>
    <w:rsid w:val="008A2A9A"/>
    <w:rsid w:val="008A2B13"/>
    <w:rsid w:val="008A2B66"/>
    <w:rsid w:val="008A2CD1"/>
    <w:rsid w:val="008A2ED9"/>
    <w:rsid w:val="008A313E"/>
    <w:rsid w:val="008A363E"/>
    <w:rsid w:val="008A38AC"/>
    <w:rsid w:val="008A38D0"/>
    <w:rsid w:val="008A3A7D"/>
    <w:rsid w:val="008A3E5B"/>
    <w:rsid w:val="008A3E69"/>
    <w:rsid w:val="008A410A"/>
    <w:rsid w:val="008A42BD"/>
    <w:rsid w:val="008A4543"/>
    <w:rsid w:val="008A45CB"/>
    <w:rsid w:val="008A4603"/>
    <w:rsid w:val="008A4D20"/>
    <w:rsid w:val="008A51D4"/>
    <w:rsid w:val="008A5302"/>
    <w:rsid w:val="008A5533"/>
    <w:rsid w:val="008A5698"/>
    <w:rsid w:val="008A57CE"/>
    <w:rsid w:val="008A5B3B"/>
    <w:rsid w:val="008A5B3D"/>
    <w:rsid w:val="008A5E11"/>
    <w:rsid w:val="008A606E"/>
    <w:rsid w:val="008A60F7"/>
    <w:rsid w:val="008A6222"/>
    <w:rsid w:val="008A62D1"/>
    <w:rsid w:val="008A63B0"/>
    <w:rsid w:val="008A64D1"/>
    <w:rsid w:val="008A68D4"/>
    <w:rsid w:val="008A6BF9"/>
    <w:rsid w:val="008A6D3F"/>
    <w:rsid w:val="008A6DB6"/>
    <w:rsid w:val="008A70E7"/>
    <w:rsid w:val="008A7647"/>
    <w:rsid w:val="008A7689"/>
    <w:rsid w:val="008A77A4"/>
    <w:rsid w:val="008A7ABD"/>
    <w:rsid w:val="008A7CEB"/>
    <w:rsid w:val="008A7CF8"/>
    <w:rsid w:val="008A7E28"/>
    <w:rsid w:val="008B020E"/>
    <w:rsid w:val="008B0290"/>
    <w:rsid w:val="008B06B9"/>
    <w:rsid w:val="008B0944"/>
    <w:rsid w:val="008B09B0"/>
    <w:rsid w:val="008B0A65"/>
    <w:rsid w:val="008B0AB5"/>
    <w:rsid w:val="008B0B7B"/>
    <w:rsid w:val="008B0D37"/>
    <w:rsid w:val="008B0E06"/>
    <w:rsid w:val="008B0EDF"/>
    <w:rsid w:val="008B104A"/>
    <w:rsid w:val="008B10E9"/>
    <w:rsid w:val="008B119E"/>
    <w:rsid w:val="008B1242"/>
    <w:rsid w:val="008B12C7"/>
    <w:rsid w:val="008B155C"/>
    <w:rsid w:val="008B18CF"/>
    <w:rsid w:val="008B1A8A"/>
    <w:rsid w:val="008B1BC6"/>
    <w:rsid w:val="008B1CC7"/>
    <w:rsid w:val="008B1D65"/>
    <w:rsid w:val="008B1E29"/>
    <w:rsid w:val="008B1E44"/>
    <w:rsid w:val="008B1EDA"/>
    <w:rsid w:val="008B2208"/>
    <w:rsid w:val="008B22A7"/>
    <w:rsid w:val="008B22DA"/>
    <w:rsid w:val="008B234A"/>
    <w:rsid w:val="008B23A6"/>
    <w:rsid w:val="008B2664"/>
    <w:rsid w:val="008B2831"/>
    <w:rsid w:val="008B2A6D"/>
    <w:rsid w:val="008B2A75"/>
    <w:rsid w:val="008B34FD"/>
    <w:rsid w:val="008B3617"/>
    <w:rsid w:val="008B36A1"/>
    <w:rsid w:val="008B37C7"/>
    <w:rsid w:val="008B37F4"/>
    <w:rsid w:val="008B382B"/>
    <w:rsid w:val="008B39FD"/>
    <w:rsid w:val="008B3C90"/>
    <w:rsid w:val="008B3D66"/>
    <w:rsid w:val="008B3F05"/>
    <w:rsid w:val="008B3FF9"/>
    <w:rsid w:val="008B4055"/>
    <w:rsid w:val="008B429F"/>
    <w:rsid w:val="008B42D5"/>
    <w:rsid w:val="008B42E5"/>
    <w:rsid w:val="008B44AE"/>
    <w:rsid w:val="008B4691"/>
    <w:rsid w:val="008B4758"/>
    <w:rsid w:val="008B4803"/>
    <w:rsid w:val="008B4839"/>
    <w:rsid w:val="008B49E6"/>
    <w:rsid w:val="008B4C2E"/>
    <w:rsid w:val="008B4C31"/>
    <w:rsid w:val="008B4EB8"/>
    <w:rsid w:val="008B4EFE"/>
    <w:rsid w:val="008B51BB"/>
    <w:rsid w:val="008B52A1"/>
    <w:rsid w:val="008B54BF"/>
    <w:rsid w:val="008B55CD"/>
    <w:rsid w:val="008B5619"/>
    <w:rsid w:val="008B5683"/>
    <w:rsid w:val="008B579A"/>
    <w:rsid w:val="008B586D"/>
    <w:rsid w:val="008B5A6A"/>
    <w:rsid w:val="008B5B8A"/>
    <w:rsid w:val="008B5E2A"/>
    <w:rsid w:val="008B6268"/>
    <w:rsid w:val="008B63E5"/>
    <w:rsid w:val="008B643D"/>
    <w:rsid w:val="008B6871"/>
    <w:rsid w:val="008B6BB5"/>
    <w:rsid w:val="008B6C2B"/>
    <w:rsid w:val="008B6D57"/>
    <w:rsid w:val="008B6FD6"/>
    <w:rsid w:val="008B7097"/>
    <w:rsid w:val="008B73CE"/>
    <w:rsid w:val="008B74D3"/>
    <w:rsid w:val="008B7524"/>
    <w:rsid w:val="008B7536"/>
    <w:rsid w:val="008B768B"/>
    <w:rsid w:val="008B76ED"/>
    <w:rsid w:val="008B7914"/>
    <w:rsid w:val="008B7A7D"/>
    <w:rsid w:val="008B7AD1"/>
    <w:rsid w:val="008B7E2B"/>
    <w:rsid w:val="008C01FA"/>
    <w:rsid w:val="008C01FC"/>
    <w:rsid w:val="008C027B"/>
    <w:rsid w:val="008C02CF"/>
    <w:rsid w:val="008C02F6"/>
    <w:rsid w:val="008C03BC"/>
    <w:rsid w:val="008C067C"/>
    <w:rsid w:val="008C09F0"/>
    <w:rsid w:val="008C0A86"/>
    <w:rsid w:val="008C0C22"/>
    <w:rsid w:val="008C0CD2"/>
    <w:rsid w:val="008C0F4D"/>
    <w:rsid w:val="008C0FD0"/>
    <w:rsid w:val="008C0FE3"/>
    <w:rsid w:val="008C109E"/>
    <w:rsid w:val="008C113D"/>
    <w:rsid w:val="008C1196"/>
    <w:rsid w:val="008C155E"/>
    <w:rsid w:val="008C1586"/>
    <w:rsid w:val="008C1599"/>
    <w:rsid w:val="008C1646"/>
    <w:rsid w:val="008C16FC"/>
    <w:rsid w:val="008C17E3"/>
    <w:rsid w:val="008C1808"/>
    <w:rsid w:val="008C181B"/>
    <w:rsid w:val="008C1840"/>
    <w:rsid w:val="008C199E"/>
    <w:rsid w:val="008C19FB"/>
    <w:rsid w:val="008C1CAA"/>
    <w:rsid w:val="008C1E70"/>
    <w:rsid w:val="008C1F58"/>
    <w:rsid w:val="008C1F74"/>
    <w:rsid w:val="008C1FC7"/>
    <w:rsid w:val="008C1FDA"/>
    <w:rsid w:val="008C213A"/>
    <w:rsid w:val="008C2140"/>
    <w:rsid w:val="008C225F"/>
    <w:rsid w:val="008C22E8"/>
    <w:rsid w:val="008C2328"/>
    <w:rsid w:val="008C234E"/>
    <w:rsid w:val="008C2553"/>
    <w:rsid w:val="008C2675"/>
    <w:rsid w:val="008C26FB"/>
    <w:rsid w:val="008C2A4C"/>
    <w:rsid w:val="008C2CCB"/>
    <w:rsid w:val="008C2F93"/>
    <w:rsid w:val="008C3161"/>
    <w:rsid w:val="008C3382"/>
    <w:rsid w:val="008C36E0"/>
    <w:rsid w:val="008C3705"/>
    <w:rsid w:val="008C3771"/>
    <w:rsid w:val="008C385A"/>
    <w:rsid w:val="008C398A"/>
    <w:rsid w:val="008C39BD"/>
    <w:rsid w:val="008C3A73"/>
    <w:rsid w:val="008C3BB6"/>
    <w:rsid w:val="008C3BFA"/>
    <w:rsid w:val="008C3C54"/>
    <w:rsid w:val="008C3CD4"/>
    <w:rsid w:val="008C42A0"/>
    <w:rsid w:val="008C4325"/>
    <w:rsid w:val="008C4328"/>
    <w:rsid w:val="008C43BA"/>
    <w:rsid w:val="008C466E"/>
    <w:rsid w:val="008C46A0"/>
    <w:rsid w:val="008C46F4"/>
    <w:rsid w:val="008C47D2"/>
    <w:rsid w:val="008C48BD"/>
    <w:rsid w:val="008C48D3"/>
    <w:rsid w:val="008C48DB"/>
    <w:rsid w:val="008C4C6A"/>
    <w:rsid w:val="008C4C7C"/>
    <w:rsid w:val="008C4DA0"/>
    <w:rsid w:val="008C4EEF"/>
    <w:rsid w:val="008C51A2"/>
    <w:rsid w:val="008C5515"/>
    <w:rsid w:val="008C56D0"/>
    <w:rsid w:val="008C57B2"/>
    <w:rsid w:val="008C5816"/>
    <w:rsid w:val="008C596D"/>
    <w:rsid w:val="008C5AE8"/>
    <w:rsid w:val="008C5B67"/>
    <w:rsid w:val="008C5D14"/>
    <w:rsid w:val="008C5EB1"/>
    <w:rsid w:val="008C5FFB"/>
    <w:rsid w:val="008C6009"/>
    <w:rsid w:val="008C6026"/>
    <w:rsid w:val="008C6027"/>
    <w:rsid w:val="008C60D1"/>
    <w:rsid w:val="008C62B6"/>
    <w:rsid w:val="008C6480"/>
    <w:rsid w:val="008C653D"/>
    <w:rsid w:val="008C66CB"/>
    <w:rsid w:val="008C66DA"/>
    <w:rsid w:val="008C6806"/>
    <w:rsid w:val="008C6840"/>
    <w:rsid w:val="008C6C0A"/>
    <w:rsid w:val="008C7036"/>
    <w:rsid w:val="008C7213"/>
    <w:rsid w:val="008C73D7"/>
    <w:rsid w:val="008C7470"/>
    <w:rsid w:val="008C75B8"/>
    <w:rsid w:val="008C763B"/>
    <w:rsid w:val="008C7738"/>
    <w:rsid w:val="008C7744"/>
    <w:rsid w:val="008C7807"/>
    <w:rsid w:val="008C78D4"/>
    <w:rsid w:val="008C7B80"/>
    <w:rsid w:val="008C7C34"/>
    <w:rsid w:val="008C7F36"/>
    <w:rsid w:val="008D01DF"/>
    <w:rsid w:val="008D0670"/>
    <w:rsid w:val="008D0787"/>
    <w:rsid w:val="008D0D11"/>
    <w:rsid w:val="008D0D4F"/>
    <w:rsid w:val="008D0E36"/>
    <w:rsid w:val="008D0EEE"/>
    <w:rsid w:val="008D126D"/>
    <w:rsid w:val="008D1349"/>
    <w:rsid w:val="008D1376"/>
    <w:rsid w:val="008D1960"/>
    <w:rsid w:val="008D1DFE"/>
    <w:rsid w:val="008D1E2F"/>
    <w:rsid w:val="008D1ED5"/>
    <w:rsid w:val="008D20CE"/>
    <w:rsid w:val="008D219C"/>
    <w:rsid w:val="008D21CA"/>
    <w:rsid w:val="008D21D2"/>
    <w:rsid w:val="008D2264"/>
    <w:rsid w:val="008D23DD"/>
    <w:rsid w:val="008D2461"/>
    <w:rsid w:val="008D291A"/>
    <w:rsid w:val="008D29C4"/>
    <w:rsid w:val="008D2C57"/>
    <w:rsid w:val="008D2DBC"/>
    <w:rsid w:val="008D2FE6"/>
    <w:rsid w:val="008D31CA"/>
    <w:rsid w:val="008D344C"/>
    <w:rsid w:val="008D371D"/>
    <w:rsid w:val="008D375A"/>
    <w:rsid w:val="008D38A4"/>
    <w:rsid w:val="008D3993"/>
    <w:rsid w:val="008D3D32"/>
    <w:rsid w:val="008D428E"/>
    <w:rsid w:val="008D4490"/>
    <w:rsid w:val="008D46CA"/>
    <w:rsid w:val="008D47FE"/>
    <w:rsid w:val="008D4981"/>
    <w:rsid w:val="008D4C05"/>
    <w:rsid w:val="008D4C25"/>
    <w:rsid w:val="008D4D2F"/>
    <w:rsid w:val="008D4D46"/>
    <w:rsid w:val="008D4DC0"/>
    <w:rsid w:val="008D4FE3"/>
    <w:rsid w:val="008D5192"/>
    <w:rsid w:val="008D5279"/>
    <w:rsid w:val="008D5383"/>
    <w:rsid w:val="008D54A4"/>
    <w:rsid w:val="008D5673"/>
    <w:rsid w:val="008D5970"/>
    <w:rsid w:val="008D59C1"/>
    <w:rsid w:val="008D5A3E"/>
    <w:rsid w:val="008D5A65"/>
    <w:rsid w:val="008D5C6B"/>
    <w:rsid w:val="008D5F04"/>
    <w:rsid w:val="008D5F29"/>
    <w:rsid w:val="008D5F32"/>
    <w:rsid w:val="008D62AB"/>
    <w:rsid w:val="008D62C9"/>
    <w:rsid w:val="008D6384"/>
    <w:rsid w:val="008D63FC"/>
    <w:rsid w:val="008D64F2"/>
    <w:rsid w:val="008D6755"/>
    <w:rsid w:val="008D684B"/>
    <w:rsid w:val="008D68E7"/>
    <w:rsid w:val="008D6BBB"/>
    <w:rsid w:val="008D6DD4"/>
    <w:rsid w:val="008D6F9B"/>
    <w:rsid w:val="008D6F9D"/>
    <w:rsid w:val="008D6FC7"/>
    <w:rsid w:val="008D6FEB"/>
    <w:rsid w:val="008D7304"/>
    <w:rsid w:val="008D74A8"/>
    <w:rsid w:val="008D79F6"/>
    <w:rsid w:val="008D79F8"/>
    <w:rsid w:val="008D7A62"/>
    <w:rsid w:val="008D7B44"/>
    <w:rsid w:val="008D7C80"/>
    <w:rsid w:val="008D7F28"/>
    <w:rsid w:val="008E009E"/>
    <w:rsid w:val="008E0229"/>
    <w:rsid w:val="008E02E0"/>
    <w:rsid w:val="008E0357"/>
    <w:rsid w:val="008E0393"/>
    <w:rsid w:val="008E0602"/>
    <w:rsid w:val="008E0686"/>
    <w:rsid w:val="008E06CE"/>
    <w:rsid w:val="008E07C4"/>
    <w:rsid w:val="008E0A19"/>
    <w:rsid w:val="008E0B49"/>
    <w:rsid w:val="008E0FC1"/>
    <w:rsid w:val="008E1392"/>
    <w:rsid w:val="008E1513"/>
    <w:rsid w:val="008E15A2"/>
    <w:rsid w:val="008E15F5"/>
    <w:rsid w:val="008E1A2D"/>
    <w:rsid w:val="008E1A4C"/>
    <w:rsid w:val="008E1C80"/>
    <w:rsid w:val="008E1CDB"/>
    <w:rsid w:val="008E1DAC"/>
    <w:rsid w:val="008E1DE1"/>
    <w:rsid w:val="008E1E65"/>
    <w:rsid w:val="008E2244"/>
    <w:rsid w:val="008E2257"/>
    <w:rsid w:val="008E2282"/>
    <w:rsid w:val="008E24AD"/>
    <w:rsid w:val="008E2846"/>
    <w:rsid w:val="008E2AF7"/>
    <w:rsid w:val="008E2B1D"/>
    <w:rsid w:val="008E2BAE"/>
    <w:rsid w:val="008E2BFA"/>
    <w:rsid w:val="008E2E87"/>
    <w:rsid w:val="008E3249"/>
    <w:rsid w:val="008E3256"/>
    <w:rsid w:val="008E37C4"/>
    <w:rsid w:val="008E3B67"/>
    <w:rsid w:val="008E3D07"/>
    <w:rsid w:val="008E3D38"/>
    <w:rsid w:val="008E3FB7"/>
    <w:rsid w:val="008E409D"/>
    <w:rsid w:val="008E426B"/>
    <w:rsid w:val="008E42A3"/>
    <w:rsid w:val="008E43CB"/>
    <w:rsid w:val="008E4466"/>
    <w:rsid w:val="008E47AE"/>
    <w:rsid w:val="008E4A1F"/>
    <w:rsid w:val="008E4AB7"/>
    <w:rsid w:val="008E4C24"/>
    <w:rsid w:val="008E4D8F"/>
    <w:rsid w:val="008E5150"/>
    <w:rsid w:val="008E516B"/>
    <w:rsid w:val="008E52A1"/>
    <w:rsid w:val="008E5395"/>
    <w:rsid w:val="008E53C6"/>
    <w:rsid w:val="008E549C"/>
    <w:rsid w:val="008E549E"/>
    <w:rsid w:val="008E55B8"/>
    <w:rsid w:val="008E55B9"/>
    <w:rsid w:val="008E5775"/>
    <w:rsid w:val="008E5A62"/>
    <w:rsid w:val="008E6145"/>
    <w:rsid w:val="008E633E"/>
    <w:rsid w:val="008E6412"/>
    <w:rsid w:val="008E658B"/>
    <w:rsid w:val="008E6986"/>
    <w:rsid w:val="008E6C20"/>
    <w:rsid w:val="008E6CBF"/>
    <w:rsid w:val="008E6DA6"/>
    <w:rsid w:val="008E6DE5"/>
    <w:rsid w:val="008E6F13"/>
    <w:rsid w:val="008E7158"/>
    <w:rsid w:val="008E74B9"/>
    <w:rsid w:val="008E758C"/>
    <w:rsid w:val="008E75C4"/>
    <w:rsid w:val="008E7606"/>
    <w:rsid w:val="008E76EC"/>
    <w:rsid w:val="008E7863"/>
    <w:rsid w:val="008E78D4"/>
    <w:rsid w:val="008E7990"/>
    <w:rsid w:val="008E7A83"/>
    <w:rsid w:val="008E7D04"/>
    <w:rsid w:val="008E7E70"/>
    <w:rsid w:val="008E7FB7"/>
    <w:rsid w:val="008E7FBC"/>
    <w:rsid w:val="008F0313"/>
    <w:rsid w:val="008F03EA"/>
    <w:rsid w:val="008F04A9"/>
    <w:rsid w:val="008F0559"/>
    <w:rsid w:val="008F06A6"/>
    <w:rsid w:val="008F0C03"/>
    <w:rsid w:val="008F0C8F"/>
    <w:rsid w:val="008F1385"/>
    <w:rsid w:val="008F14DA"/>
    <w:rsid w:val="008F1514"/>
    <w:rsid w:val="008F1641"/>
    <w:rsid w:val="008F16ED"/>
    <w:rsid w:val="008F1763"/>
    <w:rsid w:val="008F1785"/>
    <w:rsid w:val="008F198B"/>
    <w:rsid w:val="008F1B38"/>
    <w:rsid w:val="008F1C27"/>
    <w:rsid w:val="008F1D6C"/>
    <w:rsid w:val="008F1E72"/>
    <w:rsid w:val="008F1EFC"/>
    <w:rsid w:val="008F1FF8"/>
    <w:rsid w:val="008F2169"/>
    <w:rsid w:val="008F2384"/>
    <w:rsid w:val="008F24D8"/>
    <w:rsid w:val="008F2786"/>
    <w:rsid w:val="008F285D"/>
    <w:rsid w:val="008F28FE"/>
    <w:rsid w:val="008F2A60"/>
    <w:rsid w:val="008F2B2B"/>
    <w:rsid w:val="008F2E94"/>
    <w:rsid w:val="008F2EF7"/>
    <w:rsid w:val="008F2FA5"/>
    <w:rsid w:val="008F3315"/>
    <w:rsid w:val="008F3490"/>
    <w:rsid w:val="008F3522"/>
    <w:rsid w:val="008F355F"/>
    <w:rsid w:val="008F373D"/>
    <w:rsid w:val="008F389D"/>
    <w:rsid w:val="008F39BF"/>
    <w:rsid w:val="008F3AA1"/>
    <w:rsid w:val="008F3AE3"/>
    <w:rsid w:val="008F3BB6"/>
    <w:rsid w:val="008F422E"/>
    <w:rsid w:val="008F434B"/>
    <w:rsid w:val="008F465D"/>
    <w:rsid w:val="008F499C"/>
    <w:rsid w:val="008F49B3"/>
    <w:rsid w:val="008F4A56"/>
    <w:rsid w:val="008F4A9B"/>
    <w:rsid w:val="008F4E1F"/>
    <w:rsid w:val="008F4E53"/>
    <w:rsid w:val="008F4E91"/>
    <w:rsid w:val="008F4EC8"/>
    <w:rsid w:val="008F4EE1"/>
    <w:rsid w:val="008F50CC"/>
    <w:rsid w:val="008F54D6"/>
    <w:rsid w:val="008F5558"/>
    <w:rsid w:val="008F5583"/>
    <w:rsid w:val="008F58CB"/>
    <w:rsid w:val="008F5E4D"/>
    <w:rsid w:val="008F5E9D"/>
    <w:rsid w:val="008F6106"/>
    <w:rsid w:val="008F622D"/>
    <w:rsid w:val="008F6247"/>
    <w:rsid w:val="008F6320"/>
    <w:rsid w:val="008F637E"/>
    <w:rsid w:val="008F6392"/>
    <w:rsid w:val="008F64DB"/>
    <w:rsid w:val="008F65E4"/>
    <w:rsid w:val="008F66EC"/>
    <w:rsid w:val="008F67EB"/>
    <w:rsid w:val="008F6927"/>
    <w:rsid w:val="008F6987"/>
    <w:rsid w:val="008F6B4D"/>
    <w:rsid w:val="008F6B97"/>
    <w:rsid w:val="008F6DDD"/>
    <w:rsid w:val="008F6E30"/>
    <w:rsid w:val="008F6F36"/>
    <w:rsid w:val="008F6FD5"/>
    <w:rsid w:val="008F7023"/>
    <w:rsid w:val="008F7136"/>
    <w:rsid w:val="008F73BB"/>
    <w:rsid w:val="008F77D9"/>
    <w:rsid w:val="008F7902"/>
    <w:rsid w:val="008F79A1"/>
    <w:rsid w:val="008F7AAF"/>
    <w:rsid w:val="008F7ACC"/>
    <w:rsid w:val="008F7B29"/>
    <w:rsid w:val="008F7BBA"/>
    <w:rsid w:val="008F7CFF"/>
    <w:rsid w:val="008F7DE2"/>
    <w:rsid w:val="008F7FDC"/>
    <w:rsid w:val="008F7FEB"/>
    <w:rsid w:val="008F7FF5"/>
    <w:rsid w:val="0090000F"/>
    <w:rsid w:val="0090012C"/>
    <w:rsid w:val="0090047E"/>
    <w:rsid w:val="00900484"/>
    <w:rsid w:val="00900575"/>
    <w:rsid w:val="009006A1"/>
    <w:rsid w:val="00900817"/>
    <w:rsid w:val="00900A2A"/>
    <w:rsid w:val="00900CA2"/>
    <w:rsid w:val="00900F9F"/>
    <w:rsid w:val="00901243"/>
    <w:rsid w:val="00901278"/>
    <w:rsid w:val="009012AC"/>
    <w:rsid w:val="0090134C"/>
    <w:rsid w:val="00901443"/>
    <w:rsid w:val="009015C6"/>
    <w:rsid w:val="00901BF1"/>
    <w:rsid w:val="00901F0C"/>
    <w:rsid w:val="00901FEA"/>
    <w:rsid w:val="0090200D"/>
    <w:rsid w:val="009022D8"/>
    <w:rsid w:val="009023A1"/>
    <w:rsid w:val="009023D5"/>
    <w:rsid w:val="009025BD"/>
    <w:rsid w:val="0090265F"/>
    <w:rsid w:val="009026A3"/>
    <w:rsid w:val="009026E3"/>
    <w:rsid w:val="0090275B"/>
    <w:rsid w:val="00902800"/>
    <w:rsid w:val="009028EC"/>
    <w:rsid w:val="00902907"/>
    <w:rsid w:val="00902986"/>
    <w:rsid w:val="00902BA8"/>
    <w:rsid w:val="00902CC7"/>
    <w:rsid w:val="00902D0E"/>
    <w:rsid w:val="00902DD7"/>
    <w:rsid w:val="00903751"/>
    <w:rsid w:val="0090392A"/>
    <w:rsid w:val="00903D84"/>
    <w:rsid w:val="00903E6D"/>
    <w:rsid w:val="00903ECB"/>
    <w:rsid w:val="00903F0A"/>
    <w:rsid w:val="00903F3F"/>
    <w:rsid w:val="009041B1"/>
    <w:rsid w:val="00904224"/>
    <w:rsid w:val="00904374"/>
    <w:rsid w:val="009046C0"/>
    <w:rsid w:val="00904972"/>
    <w:rsid w:val="00904D25"/>
    <w:rsid w:val="00904D5C"/>
    <w:rsid w:val="00905311"/>
    <w:rsid w:val="00905420"/>
    <w:rsid w:val="009055E8"/>
    <w:rsid w:val="0090565E"/>
    <w:rsid w:val="009057A6"/>
    <w:rsid w:val="009057C4"/>
    <w:rsid w:val="009058D3"/>
    <w:rsid w:val="00905A18"/>
    <w:rsid w:val="00905C9B"/>
    <w:rsid w:val="00905CFD"/>
    <w:rsid w:val="009065A8"/>
    <w:rsid w:val="009065D3"/>
    <w:rsid w:val="0090668B"/>
    <w:rsid w:val="0090672F"/>
    <w:rsid w:val="009067C0"/>
    <w:rsid w:val="00906C1C"/>
    <w:rsid w:val="00906E98"/>
    <w:rsid w:val="00906FF2"/>
    <w:rsid w:val="0090701F"/>
    <w:rsid w:val="00907153"/>
    <w:rsid w:val="0090715C"/>
    <w:rsid w:val="0090730E"/>
    <w:rsid w:val="00907400"/>
    <w:rsid w:val="0090757F"/>
    <w:rsid w:val="009075B0"/>
    <w:rsid w:val="009075CB"/>
    <w:rsid w:val="0090766E"/>
    <w:rsid w:val="00907838"/>
    <w:rsid w:val="00907A0A"/>
    <w:rsid w:val="00907B23"/>
    <w:rsid w:val="00907E53"/>
    <w:rsid w:val="00907FAD"/>
    <w:rsid w:val="0090EF9B"/>
    <w:rsid w:val="00910216"/>
    <w:rsid w:val="0091023A"/>
    <w:rsid w:val="009102B9"/>
    <w:rsid w:val="0091049A"/>
    <w:rsid w:val="009104A8"/>
    <w:rsid w:val="00910509"/>
    <w:rsid w:val="0091091E"/>
    <w:rsid w:val="0091095A"/>
    <w:rsid w:val="00910CF8"/>
    <w:rsid w:val="00910D6E"/>
    <w:rsid w:val="00910EBD"/>
    <w:rsid w:val="00910ECC"/>
    <w:rsid w:val="009115E7"/>
    <w:rsid w:val="009115ED"/>
    <w:rsid w:val="00911600"/>
    <w:rsid w:val="00911648"/>
    <w:rsid w:val="0091173E"/>
    <w:rsid w:val="00911853"/>
    <w:rsid w:val="0091189A"/>
    <w:rsid w:val="0091197C"/>
    <w:rsid w:val="00911B58"/>
    <w:rsid w:val="00911E06"/>
    <w:rsid w:val="00911EDA"/>
    <w:rsid w:val="00912139"/>
    <w:rsid w:val="009121E1"/>
    <w:rsid w:val="00912268"/>
    <w:rsid w:val="009122B1"/>
    <w:rsid w:val="009122FF"/>
    <w:rsid w:val="0091236D"/>
    <w:rsid w:val="009123E5"/>
    <w:rsid w:val="009124F0"/>
    <w:rsid w:val="00912653"/>
    <w:rsid w:val="00912A74"/>
    <w:rsid w:val="00912D7B"/>
    <w:rsid w:val="00912E1B"/>
    <w:rsid w:val="00912E72"/>
    <w:rsid w:val="00912F8A"/>
    <w:rsid w:val="009130B6"/>
    <w:rsid w:val="00913138"/>
    <w:rsid w:val="0091354D"/>
    <w:rsid w:val="009136C6"/>
    <w:rsid w:val="009136E0"/>
    <w:rsid w:val="009137B2"/>
    <w:rsid w:val="00913887"/>
    <w:rsid w:val="009138E0"/>
    <w:rsid w:val="00913B9A"/>
    <w:rsid w:val="00913BB2"/>
    <w:rsid w:val="00913BBB"/>
    <w:rsid w:val="00913C4E"/>
    <w:rsid w:val="00913D1B"/>
    <w:rsid w:val="00913DE5"/>
    <w:rsid w:val="00914084"/>
    <w:rsid w:val="00914165"/>
    <w:rsid w:val="00914317"/>
    <w:rsid w:val="00914501"/>
    <w:rsid w:val="00914539"/>
    <w:rsid w:val="00914868"/>
    <w:rsid w:val="009148A4"/>
    <w:rsid w:val="00914C38"/>
    <w:rsid w:val="00914CAA"/>
    <w:rsid w:val="00914E49"/>
    <w:rsid w:val="00915086"/>
    <w:rsid w:val="00915586"/>
    <w:rsid w:val="009156F8"/>
    <w:rsid w:val="009157B7"/>
    <w:rsid w:val="00915D14"/>
    <w:rsid w:val="00915D23"/>
    <w:rsid w:val="00915D80"/>
    <w:rsid w:val="00915E0D"/>
    <w:rsid w:val="00915FA7"/>
    <w:rsid w:val="00916073"/>
    <w:rsid w:val="0091627A"/>
    <w:rsid w:val="0091634A"/>
    <w:rsid w:val="009164CF"/>
    <w:rsid w:val="00916551"/>
    <w:rsid w:val="00916883"/>
    <w:rsid w:val="009169A0"/>
    <w:rsid w:val="009169FA"/>
    <w:rsid w:val="00916B68"/>
    <w:rsid w:val="00916BBA"/>
    <w:rsid w:val="00916C46"/>
    <w:rsid w:val="00916E7D"/>
    <w:rsid w:val="00916EE7"/>
    <w:rsid w:val="009170D0"/>
    <w:rsid w:val="00917127"/>
    <w:rsid w:val="0091721D"/>
    <w:rsid w:val="00917425"/>
    <w:rsid w:val="00917435"/>
    <w:rsid w:val="0091775E"/>
    <w:rsid w:val="00917B49"/>
    <w:rsid w:val="00917C35"/>
    <w:rsid w:val="00917D10"/>
    <w:rsid w:val="00917DD6"/>
    <w:rsid w:val="00917F92"/>
    <w:rsid w:val="0092017F"/>
    <w:rsid w:val="00920452"/>
    <w:rsid w:val="009204A0"/>
    <w:rsid w:val="009205BB"/>
    <w:rsid w:val="009205C1"/>
    <w:rsid w:val="009205C4"/>
    <w:rsid w:val="00920B23"/>
    <w:rsid w:val="00920B89"/>
    <w:rsid w:val="00920C5C"/>
    <w:rsid w:val="00920E90"/>
    <w:rsid w:val="00920F44"/>
    <w:rsid w:val="00921236"/>
    <w:rsid w:val="009212DD"/>
    <w:rsid w:val="009213D6"/>
    <w:rsid w:val="0092154A"/>
    <w:rsid w:val="00921652"/>
    <w:rsid w:val="00921793"/>
    <w:rsid w:val="00921881"/>
    <w:rsid w:val="0092195A"/>
    <w:rsid w:val="00921988"/>
    <w:rsid w:val="00921A20"/>
    <w:rsid w:val="00921A33"/>
    <w:rsid w:val="00921B3A"/>
    <w:rsid w:val="00921EC8"/>
    <w:rsid w:val="00921F4A"/>
    <w:rsid w:val="00921FDA"/>
    <w:rsid w:val="0092234C"/>
    <w:rsid w:val="00922539"/>
    <w:rsid w:val="009226F0"/>
    <w:rsid w:val="0092277E"/>
    <w:rsid w:val="00922839"/>
    <w:rsid w:val="0092297D"/>
    <w:rsid w:val="009229C9"/>
    <w:rsid w:val="009229FD"/>
    <w:rsid w:val="00922BCB"/>
    <w:rsid w:val="00922BE0"/>
    <w:rsid w:val="0092346E"/>
    <w:rsid w:val="009234F5"/>
    <w:rsid w:val="00923530"/>
    <w:rsid w:val="00923828"/>
    <w:rsid w:val="009239A6"/>
    <w:rsid w:val="00923B20"/>
    <w:rsid w:val="00923B64"/>
    <w:rsid w:val="00923DB8"/>
    <w:rsid w:val="00923DCF"/>
    <w:rsid w:val="00924236"/>
    <w:rsid w:val="009242EB"/>
    <w:rsid w:val="0092436B"/>
    <w:rsid w:val="009243B1"/>
    <w:rsid w:val="0092456C"/>
    <w:rsid w:val="0092498C"/>
    <w:rsid w:val="00924C6A"/>
    <w:rsid w:val="00924F29"/>
    <w:rsid w:val="0092544B"/>
    <w:rsid w:val="00925504"/>
    <w:rsid w:val="00925712"/>
    <w:rsid w:val="0092579A"/>
    <w:rsid w:val="00925A26"/>
    <w:rsid w:val="00925A7C"/>
    <w:rsid w:val="00925D75"/>
    <w:rsid w:val="00925E03"/>
    <w:rsid w:val="0092615F"/>
    <w:rsid w:val="00926224"/>
    <w:rsid w:val="0092627D"/>
    <w:rsid w:val="009263AF"/>
    <w:rsid w:val="009263E1"/>
    <w:rsid w:val="00926485"/>
    <w:rsid w:val="009264A8"/>
    <w:rsid w:val="00926729"/>
    <w:rsid w:val="009269E1"/>
    <w:rsid w:val="00926ABF"/>
    <w:rsid w:val="00926B74"/>
    <w:rsid w:val="00926BAC"/>
    <w:rsid w:val="00926E54"/>
    <w:rsid w:val="00927178"/>
    <w:rsid w:val="0092780E"/>
    <w:rsid w:val="009278BD"/>
    <w:rsid w:val="0092793A"/>
    <w:rsid w:val="00927950"/>
    <w:rsid w:val="00927976"/>
    <w:rsid w:val="00927E5D"/>
    <w:rsid w:val="00930003"/>
    <w:rsid w:val="00930236"/>
    <w:rsid w:val="0093027E"/>
    <w:rsid w:val="00930327"/>
    <w:rsid w:val="009303EB"/>
    <w:rsid w:val="009307A3"/>
    <w:rsid w:val="00930922"/>
    <w:rsid w:val="00930972"/>
    <w:rsid w:val="00930A33"/>
    <w:rsid w:val="00930B8C"/>
    <w:rsid w:val="00930D56"/>
    <w:rsid w:val="00930EE2"/>
    <w:rsid w:val="00931120"/>
    <w:rsid w:val="00931262"/>
    <w:rsid w:val="009312DD"/>
    <w:rsid w:val="00931880"/>
    <w:rsid w:val="0093189C"/>
    <w:rsid w:val="00931A20"/>
    <w:rsid w:val="00931A57"/>
    <w:rsid w:val="00931BDD"/>
    <w:rsid w:val="00931C25"/>
    <w:rsid w:val="00931C5E"/>
    <w:rsid w:val="00931E80"/>
    <w:rsid w:val="00931ED1"/>
    <w:rsid w:val="00931F4F"/>
    <w:rsid w:val="009324B2"/>
    <w:rsid w:val="0093269B"/>
    <w:rsid w:val="009326D0"/>
    <w:rsid w:val="009326E6"/>
    <w:rsid w:val="00932800"/>
    <w:rsid w:val="009328D9"/>
    <w:rsid w:val="00932D07"/>
    <w:rsid w:val="00933053"/>
    <w:rsid w:val="00933122"/>
    <w:rsid w:val="0093314E"/>
    <w:rsid w:val="0093325E"/>
    <w:rsid w:val="00933267"/>
    <w:rsid w:val="00933287"/>
    <w:rsid w:val="009333E0"/>
    <w:rsid w:val="00933559"/>
    <w:rsid w:val="00933B5F"/>
    <w:rsid w:val="0093428B"/>
    <w:rsid w:val="009342BF"/>
    <w:rsid w:val="009342E0"/>
    <w:rsid w:val="009343C1"/>
    <w:rsid w:val="00934415"/>
    <w:rsid w:val="009344D4"/>
    <w:rsid w:val="0093457B"/>
    <w:rsid w:val="009345A4"/>
    <w:rsid w:val="009347D3"/>
    <w:rsid w:val="009348C3"/>
    <w:rsid w:val="009349EC"/>
    <w:rsid w:val="00934B25"/>
    <w:rsid w:val="00934BC7"/>
    <w:rsid w:val="00934C23"/>
    <w:rsid w:val="00934C8C"/>
    <w:rsid w:val="00934D34"/>
    <w:rsid w:val="00934F7F"/>
    <w:rsid w:val="0093514E"/>
    <w:rsid w:val="00935372"/>
    <w:rsid w:val="009354EC"/>
    <w:rsid w:val="009355C0"/>
    <w:rsid w:val="0093586C"/>
    <w:rsid w:val="00935962"/>
    <w:rsid w:val="009359B1"/>
    <w:rsid w:val="00935ADE"/>
    <w:rsid w:val="00935C94"/>
    <w:rsid w:val="00935C98"/>
    <w:rsid w:val="009361F1"/>
    <w:rsid w:val="009362E1"/>
    <w:rsid w:val="00936437"/>
    <w:rsid w:val="00936ABD"/>
    <w:rsid w:val="00936D8B"/>
    <w:rsid w:val="00936F6F"/>
    <w:rsid w:val="00936FED"/>
    <w:rsid w:val="009370C3"/>
    <w:rsid w:val="00937142"/>
    <w:rsid w:val="0093727B"/>
    <w:rsid w:val="00937355"/>
    <w:rsid w:val="00937686"/>
    <w:rsid w:val="009377E8"/>
    <w:rsid w:val="009378BB"/>
    <w:rsid w:val="00937AAC"/>
    <w:rsid w:val="00937AB4"/>
    <w:rsid w:val="00937C47"/>
    <w:rsid w:val="00937F9E"/>
    <w:rsid w:val="00937FA2"/>
    <w:rsid w:val="009400BF"/>
    <w:rsid w:val="009401D1"/>
    <w:rsid w:val="009402D7"/>
    <w:rsid w:val="009402E7"/>
    <w:rsid w:val="0094078D"/>
    <w:rsid w:val="009407F7"/>
    <w:rsid w:val="00940A1E"/>
    <w:rsid w:val="00940B55"/>
    <w:rsid w:val="00941224"/>
    <w:rsid w:val="0094123E"/>
    <w:rsid w:val="00941322"/>
    <w:rsid w:val="0094150D"/>
    <w:rsid w:val="00941530"/>
    <w:rsid w:val="00941601"/>
    <w:rsid w:val="00941689"/>
    <w:rsid w:val="0094174E"/>
    <w:rsid w:val="009418B3"/>
    <w:rsid w:val="00941B38"/>
    <w:rsid w:val="00941B48"/>
    <w:rsid w:val="00941B53"/>
    <w:rsid w:val="00941C2C"/>
    <w:rsid w:val="00941E9F"/>
    <w:rsid w:val="00941EC3"/>
    <w:rsid w:val="00941FE1"/>
    <w:rsid w:val="009420C3"/>
    <w:rsid w:val="00942129"/>
    <w:rsid w:val="0094243A"/>
    <w:rsid w:val="0094245C"/>
    <w:rsid w:val="00942BBD"/>
    <w:rsid w:val="00942DD2"/>
    <w:rsid w:val="00942DD6"/>
    <w:rsid w:val="00942EBC"/>
    <w:rsid w:val="00942F58"/>
    <w:rsid w:val="0094303C"/>
    <w:rsid w:val="00943068"/>
    <w:rsid w:val="00943094"/>
    <w:rsid w:val="00943187"/>
    <w:rsid w:val="009432C8"/>
    <w:rsid w:val="009433DC"/>
    <w:rsid w:val="00943449"/>
    <w:rsid w:val="009434AE"/>
    <w:rsid w:val="00943503"/>
    <w:rsid w:val="009435C3"/>
    <w:rsid w:val="009435D8"/>
    <w:rsid w:val="00943797"/>
    <w:rsid w:val="00943926"/>
    <w:rsid w:val="009439BE"/>
    <w:rsid w:val="00943B31"/>
    <w:rsid w:val="00943B4A"/>
    <w:rsid w:val="00943B57"/>
    <w:rsid w:val="00943BEF"/>
    <w:rsid w:val="00943CA3"/>
    <w:rsid w:val="00943D11"/>
    <w:rsid w:val="00943F92"/>
    <w:rsid w:val="009441E7"/>
    <w:rsid w:val="00944236"/>
    <w:rsid w:val="00944261"/>
    <w:rsid w:val="00944388"/>
    <w:rsid w:val="009445DF"/>
    <w:rsid w:val="009449EB"/>
    <w:rsid w:val="00944C30"/>
    <w:rsid w:val="00944F40"/>
    <w:rsid w:val="00945002"/>
    <w:rsid w:val="00945263"/>
    <w:rsid w:val="0094563C"/>
    <w:rsid w:val="00945817"/>
    <w:rsid w:val="00945898"/>
    <w:rsid w:val="00945935"/>
    <w:rsid w:val="00945952"/>
    <w:rsid w:val="009459C9"/>
    <w:rsid w:val="00945A6E"/>
    <w:rsid w:val="00945C93"/>
    <w:rsid w:val="00945DAE"/>
    <w:rsid w:val="00945DEB"/>
    <w:rsid w:val="00945FAD"/>
    <w:rsid w:val="00945FFF"/>
    <w:rsid w:val="0094610F"/>
    <w:rsid w:val="009463F5"/>
    <w:rsid w:val="00946479"/>
    <w:rsid w:val="009464B4"/>
    <w:rsid w:val="0094656E"/>
    <w:rsid w:val="0094698E"/>
    <w:rsid w:val="00946B0E"/>
    <w:rsid w:val="00946C08"/>
    <w:rsid w:val="00946CA3"/>
    <w:rsid w:val="00946DEA"/>
    <w:rsid w:val="00946FEF"/>
    <w:rsid w:val="00947001"/>
    <w:rsid w:val="0094703E"/>
    <w:rsid w:val="00947106"/>
    <w:rsid w:val="00947314"/>
    <w:rsid w:val="00947356"/>
    <w:rsid w:val="009473F6"/>
    <w:rsid w:val="00947AC1"/>
    <w:rsid w:val="00947C0B"/>
    <w:rsid w:val="00947D95"/>
    <w:rsid w:val="00950112"/>
    <w:rsid w:val="009502EB"/>
    <w:rsid w:val="0095032C"/>
    <w:rsid w:val="00950687"/>
    <w:rsid w:val="00950759"/>
    <w:rsid w:val="0095082D"/>
    <w:rsid w:val="00950837"/>
    <w:rsid w:val="0095092C"/>
    <w:rsid w:val="00950CBE"/>
    <w:rsid w:val="00950F23"/>
    <w:rsid w:val="0095165F"/>
    <w:rsid w:val="0095167A"/>
    <w:rsid w:val="00951798"/>
    <w:rsid w:val="00951A43"/>
    <w:rsid w:val="00951F0A"/>
    <w:rsid w:val="0095205F"/>
    <w:rsid w:val="009521FE"/>
    <w:rsid w:val="00952D5B"/>
    <w:rsid w:val="00952D70"/>
    <w:rsid w:val="00952DD3"/>
    <w:rsid w:val="00953037"/>
    <w:rsid w:val="0095319C"/>
    <w:rsid w:val="00953413"/>
    <w:rsid w:val="00953E60"/>
    <w:rsid w:val="009540D2"/>
    <w:rsid w:val="00954128"/>
    <w:rsid w:val="00954263"/>
    <w:rsid w:val="00954291"/>
    <w:rsid w:val="009543D1"/>
    <w:rsid w:val="00954603"/>
    <w:rsid w:val="00954618"/>
    <w:rsid w:val="00954825"/>
    <w:rsid w:val="00954D0D"/>
    <w:rsid w:val="00954E73"/>
    <w:rsid w:val="00954F0D"/>
    <w:rsid w:val="00954F67"/>
    <w:rsid w:val="0095507D"/>
    <w:rsid w:val="00955160"/>
    <w:rsid w:val="0095522F"/>
    <w:rsid w:val="00955230"/>
    <w:rsid w:val="009552FF"/>
    <w:rsid w:val="00955382"/>
    <w:rsid w:val="00955512"/>
    <w:rsid w:val="0095596F"/>
    <w:rsid w:val="00955A22"/>
    <w:rsid w:val="00955A52"/>
    <w:rsid w:val="00955AD2"/>
    <w:rsid w:val="00955B99"/>
    <w:rsid w:val="00955E77"/>
    <w:rsid w:val="00955F49"/>
    <w:rsid w:val="00955FEB"/>
    <w:rsid w:val="0095610D"/>
    <w:rsid w:val="009561C3"/>
    <w:rsid w:val="009563E7"/>
    <w:rsid w:val="00956529"/>
    <w:rsid w:val="0095665A"/>
    <w:rsid w:val="00956786"/>
    <w:rsid w:val="00956793"/>
    <w:rsid w:val="00956918"/>
    <w:rsid w:val="00956C67"/>
    <w:rsid w:val="00956D1D"/>
    <w:rsid w:val="009570C0"/>
    <w:rsid w:val="00957311"/>
    <w:rsid w:val="00957351"/>
    <w:rsid w:val="0095737F"/>
    <w:rsid w:val="009573EF"/>
    <w:rsid w:val="0095744A"/>
    <w:rsid w:val="009575EA"/>
    <w:rsid w:val="009576AF"/>
    <w:rsid w:val="00957737"/>
    <w:rsid w:val="00957889"/>
    <w:rsid w:val="009578DE"/>
    <w:rsid w:val="009578FA"/>
    <w:rsid w:val="00957DB2"/>
    <w:rsid w:val="00957DCC"/>
    <w:rsid w:val="00957EA1"/>
    <w:rsid w:val="00957FA1"/>
    <w:rsid w:val="00960025"/>
    <w:rsid w:val="00960147"/>
    <w:rsid w:val="0096037B"/>
    <w:rsid w:val="009603B7"/>
    <w:rsid w:val="009603BA"/>
    <w:rsid w:val="009603C0"/>
    <w:rsid w:val="00960679"/>
    <w:rsid w:val="0096070A"/>
    <w:rsid w:val="00960784"/>
    <w:rsid w:val="009608CC"/>
    <w:rsid w:val="0096094F"/>
    <w:rsid w:val="00960959"/>
    <w:rsid w:val="00960BE1"/>
    <w:rsid w:val="00960BE9"/>
    <w:rsid w:val="00960C1E"/>
    <w:rsid w:val="0096107C"/>
    <w:rsid w:val="009611DA"/>
    <w:rsid w:val="00961231"/>
    <w:rsid w:val="00961390"/>
    <w:rsid w:val="0096163F"/>
    <w:rsid w:val="00961A44"/>
    <w:rsid w:val="00961C53"/>
    <w:rsid w:val="00961CB4"/>
    <w:rsid w:val="00961E52"/>
    <w:rsid w:val="00961EE5"/>
    <w:rsid w:val="00961F33"/>
    <w:rsid w:val="009621F9"/>
    <w:rsid w:val="0096261B"/>
    <w:rsid w:val="00962A27"/>
    <w:rsid w:val="00962ABE"/>
    <w:rsid w:val="00962E05"/>
    <w:rsid w:val="00962E57"/>
    <w:rsid w:val="00962E6A"/>
    <w:rsid w:val="00962FA0"/>
    <w:rsid w:val="00962FB7"/>
    <w:rsid w:val="00962FD2"/>
    <w:rsid w:val="00963023"/>
    <w:rsid w:val="00963499"/>
    <w:rsid w:val="00963513"/>
    <w:rsid w:val="009637DB"/>
    <w:rsid w:val="009637DE"/>
    <w:rsid w:val="0096382F"/>
    <w:rsid w:val="00963D09"/>
    <w:rsid w:val="00963E06"/>
    <w:rsid w:val="00964084"/>
    <w:rsid w:val="00964326"/>
    <w:rsid w:val="0096466B"/>
    <w:rsid w:val="00964923"/>
    <w:rsid w:val="00964A1B"/>
    <w:rsid w:val="00964A67"/>
    <w:rsid w:val="00964AAA"/>
    <w:rsid w:val="00964AC4"/>
    <w:rsid w:val="00964BC3"/>
    <w:rsid w:val="00964DB9"/>
    <w:rsid w:val="00964ED1"/>
    <w:rsid w:val="009652AB"/>
    <w:rsid w:val="00965349"/>
    <w:rsid w:val="00965366"/>
    <w:rsid w:val="00965382"/>
    <w:rsid w:val="00965579"/>
    <w:rsid w:val="00965B0F"/>
    <w:rsid w:val="00965C74"/>
    <w:rsid w:val="00965CA9"/>
    <w:rsid w:val="00965CEE"/>
    <w:rsid w:val="00965F15"/>
    <w:rsid w:val="00966164"/>
    <w:rsid w:val="00966276"/>
    <w:rsid w:val="00966526"/>
    <w:rsid w:val="009665A5"/>
    <w:rsid w:val="00966B06"/>
    <w:rsid w:val="00966DC4"/>
    <w:rsid w:val="00966F1C"/>
    <w:rsid w:val="00966F1F"/>
    <w:rsid w:val="00967206"/>
    <w:rsid w:val="00967241"/>
    <w:rsid w:val="009678EC"/>
    <w:rsid w:val="00967924"/>
    <w:rsid w:val="009679CA"/>
    <w:rsid w:val="00967A97"/>
    <w:rsid w:val="00967B43"/>
    <w:rsid w:val="00967B64"/>
    <w:rsid w:val="00967F3A"/>
    <w:rsid w:val="009704D6"/>
    <w:rsid w:val="0097069E"/>
    <w:rsid w:val="0097072D"/>
    <w:rsid w:val="00970798"/>
    <w:rsid w:val="009708BF"/>
    <w:rsid w:val="00970952"/>
    <w:rsid w:val="009709B5"/>
    <w:rsid w:val="00970A5D"/>
    <w:rsid w:val="00970AC6"/>
    <w:rsid w:val="00970B14"/>
    <w:rsid w:val="00970DFE"/>
    <w:rsid w:val="00970FA5"/>
    <w:rsid w:val="00971117"/>
    <w:rsid w:val="009714E0"/>
    <w:rsid w:val="009715E1"/>
    <w:rsid w:val="00971666"/>
    <w:rsid w:val="00971749"/>
    <w:rsid w:val="00971799"/>
    <w:rsid w:val="00971C6A"/>
    <w:rsid w:val="00971D86"/>
    <w:rsid w:val="00972130"/>
    <w:rsid w:val="00972193"/>
    <w:rsid w:val="00972229"/>
    <w:rsid w:val="009726BE"/>
    <w:rsid w:val="00972798"/>
    <w:rsid w:val="0097289A"/>
    <w:rsid w:val="00972950"/>
    <w:rsid w:val="00972CB8"/>
    <w:rsid w:val="00972DEA"/>
    <w:rsid w:val="00972E24"/>
    <w:rsid w:val="00972EAB"/>
    <w:rsid w:val="009730D5"/>
    <w:rsid w:val="0097310A"/>
    <w:rsid w:val="0097347D"/>
    <w:rsid w:val="00973501"/>
    <w:rsid w:val="00973603"/>
    <w:rsid w:val="009736A1"/>
    <w:rsid w:val="00973823"/>
    <w:rsid w:val="00973A4C"/>
    <w:rsid w:val="00973BD0"/>
    <w:rsid w:val="00973CCF"/>
    <w:rsid w:val="00973DA1"/>
    <w:rsid w:val="0097401E"/>
    <w:rsid w:val="009740EF"/>
    <w:rsid w:val="0097411F"/>
    <w:rsid w:val="009741AA"/>
    <w:rsid w:val="009746F4"/>
    <w:rsid w:val="0097488C"/>
    <w:rsid w:val="009749FE"/>
    <w:rsid w:val="00974C81"/>
    <w:rsid w:val="00974D5D"/>
    <w:rsid w:val="00974D96"/>
    <w:rsid w:val="00974E67"/>
    <w:rsid w:val="00974E85"/>
    <w:rsid w:val="00975556"/>
    <w:rsid w:val="0097563F"/>
    <w:rsid w:val="00975850"/>
    <w:rsid w:val="00975C05"/>
    <w:rsid w:val="00975C6E"/>
    <w:rsid w:val="00975C94"/>
    <w:rsid w:val="00975E84"/>
    <w:rsid w:val="00976279"/>
    <w:rsid w:val="0097627A"/>
    <w:rsid w:val="00976413"/>
    <w:rsid w:val="0097644C"/>
    <w:rsid w:val="00976B5F"/>
    <w:rsid w:val="00976CD5"/>
    <w:rsid w:val="00976F21"/>
    <w:rsid w:val="00977155"/>
    <w:rsid w:val="00977398"/>
    <w:rsid w:val="00977501"/>
    <w:rsid w:val="0097759F"/>
    <w:rsid w:val="009776C7"/>
    <w:rsid w:val="00977763"/>
    <w:rsid w:val="00977ACC"/>
    <w:rsid w:val="00977F27"/>
    <w:rsid w:val="00977FC2"/>
    <w:rsid w:val="00980025"/>
    <w:rsid w:val="0098011C"/>
    <w:rsid w:val="0098021F"/>
    <w:rsid w:val="0098025E"/>
    <w:rsid w:val="00980304"/>
    <w:rsid w:val="00980326"/>
    <w:rsid w:val="0098037B"/>
    <w:rsid w:val="0098042D"/>
    <w:rsid w:val="0098043B"/>
    <w:rsid w:val="00980489"/>
    <w:rsid w:val="00980665"/>
    <w:rsid w:val="00980F0F"/>
    <w:rsid w:val="009814E3"/>
    <w:rsid w:val="009816E6"/>
    <w:rsid w:val="0098178F"/>
    <w:rsid w:val="009817C4"/>
    <w:rsid w:val="0098197F"/>
    <w:rsid w:val="0098198F"/>
    <w:rsid w:val="00981A4E"/>
    <w:rsid w:val="00981BC7"/>
    <w:rsid w:val="00981CF4"/>
    <w:rsid w:val="00981E30"/>
    <w:rsid w:val="00981F4D"/>
    <w:rsid w:val="0098206A"/>
    <w:rsid w:val="009820F6"/>
    <w:rsid w:val="00982159"/>
    <w:rsid w:val="0098220A"/>
    <w:rsid w:val="0098234B"/>
    <w:rsid w:val="0098249E"/>
    <w:rsid w:val="00982650"/>
    <w:rsid w:val="009827AF"/>
    <w:rsid w:val="009828CF"/>
    <w:rsid w:val="00982A69"/>
    <w:rsid w:val="00982F70"/>
    <w:rsid w:val="0098306A"/>
    <w:rsid w:val="00983076"/>
    <w:rsid w:val="00983168"/>
    <w:rsid w:val="00983913"/>
    <w:rsid w:val="00983B7E"/>
    <w:rsid w:val="00983D8F"/>
    <w:rsid w:val="00983ED5"/>
    <w:rsid w:val="00983FB2"/>
    <w:rsid w:val="00984150"/>
    <w:rsid w:val="00984185"/>
    <w:rsid w:val="0098418A"/>
    <w:rsid w:val="00984228"/>
    <w:rsid w:val="00984272"/>
    <w:rsid w:val="009844DE"/>
    <w:rsid w:val="009846B6"/>
    <w:rsid w:val="0098476D"/>
    <w:rsid w:val="009847D5"/>
    <w:rsid w:val="009848F8"/>
    <w:rsid w:val="009849AE"/>
    <w:rsid w:val="00984A39"/>
    <w:rsid w:val="00984BFF"/>
    <w:rsid w:val="00984FAF"/>
    <w:rsid w:val="00985318"/>
    <w:rsid w:val="009853B5"/>
    <w:rsid w:val="009855F3"/>
    <w:rsid w:val="009856B7"/>
    <w:rsid w:val="009858B8"/>
    <w:rsid w:val="00985987"/>
    <w:rsid w:val="0098599A"/>
    <w:rsid w:val="00985C8B"/>
    <w:rsid w:val="00985DFE"/>
    <w:rsid w:val="00985EA3"/>
    <w:rsid w:val="00985F3C"/>
    <w:rsid w:val="00985FD3"/>
    <w:rsid w:val="00985FDF"/>
    <w:rsid w:val="0098616E"/>
    <w:rsid w:val="00986189"/>
    <w:rsid w:val="009861AC"/>
    <w:rsid w:val="009862DE"/>
    <w:rsid w:val="00986899"/>
    <w:rsid w:val="00986952"/>
    <w:rsid w:val="00986A70"/>
    <w:rsid w:val="00986F99"/>
    <w:rsid w:val="00987073"/>
    <w:rsid w:val="0098710A"/>
    <w:rsid w:val="009872A7"/>
    <w:rsid w:val="00987423"/>
    <w:rsid w:val="0098778F"/>
    <w:rsid w:val="0098793B"/>
    <w:rsid w:val="00987ABD"/>
    <w:rsid w:val="00987D59"/>
    <w:rsid w:val="00987FD3"/>
    <w:rsid w:val="0099011B"/>
    <w:rsid w:val="0099012D"/>
    <w:rsid w:val="009901A1"/>
    <w:rsid w:val="009904E1"/>
    <w:rsid w:val="009905CB"/>
    <w:rsid w:val="009906B7"/>
    <w:rsid w:val="00990764"/>
    <w:rsid w:val="0099079E"/>
    <w:rsid w:val="00990A1F"/>
    <w:rsid w:val="00990DA2"/>
    <w:rsid w:val="00990E93"/>
    <w:rsid w:val="00991078"/>
    <w:rsid w:val="00991247"/>
    <w:rsid w:val="009914FA"/>
    <w:rsid w:val="00991550"/>
    <w:rsid w:val="009916E9"/>
    <w:rsid w:val="009917B8"/>
    <w:rsid w:val="009919D5"/>
    <w:rsid w:val="00991D9A"/>
    <w:rsid w:val="009920A8"/>
    <w:rsid w:val="009920BD"/>
    <w:rsid w:val="00992133"/>
    <w:rsid w:val="0099222C"/>
    <w:rsid w:val="0099244B"/>
    <w:rsid w:val="009924CC"/>
    <w:rsid w:val="009924F6"/>
    <w:rsid w:val="00992599"/>
    <w:rsid w:val="00992776"/>
    <w:rsid w:val="0099280F"/>
    <w:rsid w:val="00992ABA"/>
    <w:rsid w:val="00992B3B"/>
    <w:rsid w:val="00992B57"/>
    <w:rsid w:val="00992DF0"/>
    <w:rsid w:val="00992F74"/>
    <w:rsid w:val="009932B4"/>
    <w:rsid w:val="009932D2"/>
    <w:rsid w:val="00993344"/>
    <w:rsid w:val="00993BE7"/>
    <w:rsid w:val="00993BF2"/>
    <w:rsid w:val="00993CF6"/>
    <w:rsid w:val="00993D4A"/>
    <w:rsid w:val="00993E2E"/>
    <w:rsid w:val="00993E80"/>
    <w:rsid w:val="00994277"/>
    <w:rsid w:val="009942E0"/>
    <w:rsid w:val="00994418"/>
    <w:rsid w:val="009944E8"/>
    <w:rsid w:val="00994749"/>
    <w:rsid w:val="0099492D"/>
    <w:rsid w:val="00994A75"/>
    <w:rsid w:val="00994B69"/>
    <w:rsid w:val="00994BDC"/>
    <w:rsid w:val="00994C5E"/>
    <w:rsid w:val="00994D86"/>
    <w:rsid w:val="00994E65"/>
    <w:rsid w:val="00994EC4"/>
    <w:rsid w:val="00994FAC"/>
    <w:rsid w:val="0099508B"/>
    <w:rsid w:val="00995146"/>
    <w:rsid w:val="0099545D"/>
    <w:rsid w:val="0099556A"/>
    <w:rsid w:val="00995687"/>
    <w:rsid w:val="0099568D"/>
    <w:rsid w:val="0099575D"/>
    <w:rsid w:val="009957CE"/>
    <w:rsid w:val="00995922"/>
    <w:rsid w:val="00995988"/>
    <w:rsid w:val="00995BED"/>
    <w:rsid w:val="00995C45"/>
    <w:rsid w:val="00995F75"/>
    <w:rsid w:val="00996406"/>
    <w:rsid w:val="00996437"/>
    <w:rsid w:val="009965FA"/>
    <w:rsid w:val="00996851"/>
    <w:rsid w:val="00996E6F"/>
    <w:rsid w:val="009970A5"/>
    <w:rsid w:val="00997355"/>
    <w:rsid w:val="009975BC"/>
    <w:rsid w:val="00997608"/>
    <w:rsid w:val="009976B4"/>
    <w:rsid w:val="00997983"/>
    <w:rsid w:val="0099798B"/>
    <w:rsid w:val="00997A6A"/>
    <w:rsid w:val="00997CB5"/>
    <w:rsid w:val="00997DAD"/>
    <w:rsid w:val="009A051E"/>
    <w:rsid w:val="009A091C"/>
    <w:rsid w:val="009A09BF"/>
    <w:rsid w:val="009A0A69"/>
    <w:rsid w:val="009A0AEA"/>
    <w:rsid w:val="009A0C37"/>
    <w:rsid w:val="009A1032"/>
    <w:rsid w:val="009A1184"/>
    <w:rsid w:val="009A127D"/>
    <w:rsid w:val="009A1676"/>
    <w:rsid w:val="009A17EA"/>
    <w:rsid w:val="009A1978"/>
    <w:rsid w:val="009A1BCA"/>
    <w:rsid w:val="009A1C8E"/>
    <w:rsid w:val="009A2000"/>
    <w:rsid w:val="009A2020"/>
    <w:rsid w:val="009A2038"/>
    <w:rsid w:val="009A208C"/>
    <w:rsid w:val="009A225A"/>
    <w:rsid w:val="009A25D9"/>
    <w:rsid w:val="009A26A2"/>
    <w:rsid w:val="009A285B"/>
    <w:rsid w:val="009A28AB"/>
    <w:rsid w:val="009A28C7"/>
    <w:rsid w:val="009A2B98"/>
    <w:rsid w:val="009A2C55"/>
    <w:rsid w:val="009A2F4D"/>
    <w:rsid w:val="009A303F"/>
    <w:rsid w:val="009A31AA"/>
    <w:rsid w:val="009A31AD"/>
    <w:rsid w:val="009A3667"/>
    <w:rsid w:val="009A3676"/>
    <w:rsid w:val="009A3909"/>
    <w:rsid w:val="009A39F9"/>
    <w:rsid w:val="009A3C15"/>
    <w:rsid w:val="009A3C6C"/>
    <w:rsid w:val="009A405B"/>
    <w:rsid w:val="009A41B8"/>
    <w:rsid w:val="009A4764"/>
    <w:rsid w:val="009A482A"/>
    <w:rsid w:val="009A492A"/>
    <w:rsid w:val="009A4975"/>
    <w:rsid w:val="009A4B41"/>
    <w:rsid w:val="009A4B50"/>
    <w:rsid w:val="009A50D1"/>
    <w:rsid w:val="009A59F9"/>
    <w:rsid w:val="009A5A40"/>
    <w:rsid w:val="009A5BBC"/>
    <w:rsid w:val="009A5F78"/>
    <w:rsid w:val="009A6028"/>
    <w:rsid w:val="009A60D1"/>
    <w:rsid w:val="009A63E6"/>
    <w:rsid w:val="009A66AD"/>
    <w:rsid w:val="009A66BE"/>
    <w:rsid w:val="009A67DD"/>
    <w:rsid w:val="009A6983"/>
    <w:rsid w:val="009A6B45"/>
    <w:rsid w:val="009A6C14"/>
    <w:rsid w:val="009A6D1B"/>
    <w:rsid w:val="009A6D41"/>
    <w:rsid w:val="009A6F9D"/>
    <w:rsid w:val="009A7206"/>
    <w:rsid w:val="009A73EB"/>
    <w:rsid w:val="009A74CF"/>
    <w:rsid w:val="009A78B6"/>
    <w:rsid w:val="009A796E"/>
    <w:rsid w:val="009A7CA4"/>
    <w:rsid w:val="009A7EA1"/>
    <w:rsid w:val="009A7F20"/>
    <w:rsid w:val="009B022F"/>
    <w:rsid w:val="009B02E1"/>
    <w:rsid w:val="009B05A8"/>
    <w:rsid w:val="009B0680"/>
    <w:rsid w:val="009B06E3"/>
    <w:rsid w:val="009B07B5"/>
    <w:rsid w:val="009B0BDE"/>
    <w:rsid w:val="009B110F"/>
    <w:rsid w:val="009B1134"/>
    <w:rsid w:val="009B12F5"/>
    <w:rsid w:val="009B1324"/>
    <w:rsid w:val="009B135C"/>
    <w:rsid w:val="009B1426"/>
    <w:rsid w:val="009B1433"/>
    <w:rsid w:val="009B1475"/>
    <w:rsid w:val="009B14FE"/>
    <w:rsid w:val="009B1584"/>
    <w:rsid w:val="009B182D"/>
    <w:rsid w:val="009B184F"/>
    <w:rsid w:val="009B1AB1"/>
    <w:rsid w:val="009B1BA3"/>
    <w:rsid w:val="009B1BAB"/>
    <w:rsid w:val="009B1BB2"/>
    <w:rsid w:val="009B1C14"/>
    <w:rsid w:val="009B1C95"/>
    <w:rsid w:val="009B1D9A"/>
    <w:rsid w:val="009B2063"/>
    <w:rsid w:val="009B20E0"/>
    <w:rsid w:val="009B260A"/>
    <w:rsid w:val="009B2698"/>
    <w:rsid w:val="009B281B"/>
    <w:rsid w:val="009B2835"/>
    <w:rsid w:val="009B28B9"/>
    <w:rsid w:val="009B28C9"/>
    <w:rsid w:val="009B2936"/>
    <w:rsid w:val="009B2C9C"/>
    <w:rsid w:val="009B2CD3"/>
    <w:rsid w:val="009B2F87"/>
    <w:rsid w:val="009B3027"/>
    <w:rsid w:val="009B306C"/>
    <w:rsid w:val="009B31B0"/>
    <w:rsid w:val="009B32EE"/>
    <w:rsid w:val="009B32FF"/>
    <w:rsid w:val="009B371A"/>
    <w:rsid w:val="009B385E"/>
    <w:rsid w:val="009B38C7"/>
    <w:rsid w:val="009B3CE6"/>
    <w:rsid w:val="009B3D0A"/>
    <w:rsid w:val="009B3D94"/>
    <w:rsid w:val="009B4169"/>
    <w:rsid w:val="009B4393"/>
    <w:rsid w:val="009B43D8"/>
    <w:rsid w:val="009B43E2"/>
    <w:rsid w:val="009B44AB"/>
    <w:rsid w:val="009B44E5"/>
    <w:rsid w:val="009B45BA"/>
    <w:rsid w:val="009B469B"/>
    <w:rsid w:val="009B4850"/>
    <w:rsid w:val="009B4F6C"/>
    <w:rsid w:val="009B5007"/>
    <w:rsid w:val="009B505F"/>
    <w:rsid w:val="009B5365"/>
    <w:rsid w:val="009B5373"/>
    <w:rsid w:val="009B55D8"/>
    <w:rsid w:val="009B55DF"/>
    <w:rsid w:val="009B57EC"/>
    <w:rsid w:val="009B5924"/>
    <w:rsid w:val="009B5943"/>
    <w:rsid w:val="009B5A85"/>
    <w:rsid w:val="009B5B5B"/>
    <w:rsid w:val="009B5E20"/>
    <w:rsid w:val="009B5E2E"/>
    <w:rsid w:val="009B6051"/>
    <w:rsid w:val="009B60AE"/>
    <w:rsid w:val="009B60D0"/>
    <w:rsid w:val="009B62E5"/>
    <w:rsid w:val="009B62E7"/>
    <w:rsid w:val="009B6338"/>
    <w:rsid w:val="009B6598"/>
    <w:rsid w:val="009B66F5"/>
    <w:rsid w:val="009B67E8"/>
    <w:rsid w:val="009B6886"/>
    <w:rsid w:val="009B6C1C"/>
    <w:rsid w:val="009B6C7E"/>
    <w:rsid w:val="009B6FDE"/>
    <w:rsid w:val="009B75D5"/>
    <w:rsid w:val="009B7D4D"/>
    <w:rsid w:val="009B7D50"/>
    <w:rsid w:val="009B7FAF"/>
    <w:rsid w:val="009B7FD4"/>
    <w:rsid w:val="009C007E"/>
    <w:rsid w:val="009C0308"/>
    <w:rsid w:val="009C042D"/>
    <w:rsid w:val="009C0582"/>
    <w:rsid w:val="009C05C6"/>
    <w:rsid w:val="009C075E"/>
    <w:rsid w:val="009C0A93"/>
    <w:rsid w:val="009C0C03"/>
    <w:rsid w:val="009C0C3D"/>
    <w:rsid w:val="009C0E74"/>
    <w:rsid w:val="009C0ED2"/>
    <w:rsid w:val="009C0F73"/>
    <w:rsid w:val="009C11C0"/>
    <w:rsid w:val="009C1233"/>
    <w:rsid w:val="009C1249"/>
    <w:rsid w:val="009C13A3"/>
    <w:rsid w:val="009C17C9"/>
    <w:rsid w:val="009C1822"/>
    <w:rsid w:val="009C1A1D"/>
    <w:rsid w:val="009C1C3D"/>
    <w:rsid w:val="009C1DC7"/>
    <w:rsid w:val="009C2064"/>
    <w:rsid w:val="009C20A3"/>
    <w:rsid w:val="009C2245"/>
    <w:rsid w:val="009C28D5"/>
    <w:rsid w:val="009C2A37"/>
    <w:rsid w:val="009C2A8B"/>
    <w:rsid w:val="009C2A92"/>
    <w:rsid w:val="009C2B64"/>
    <w:rsid w:val="009C2DE5"/>
    <w:rsid w:val="009C2FD6"/>
    <w:rsid w:val="009C31AB"/>
    <w:rsid w:val="009C32AB"/>
    <w:rsid w:val="009C3660"/>
    <w:rsid w:val="009C37FE"/>
    <w:rsid w:val="009C3806"/>
    <w:rsid w:val="009C3813"/>
    <w:rsid w:val="009C3A41"/>
    <w:rsid w:val="009C3B0B"/>
    <w:rsid w:val="009C3B99"/>
    <w:rsid w:val="009C4052"/>
    <w:rsid w:val="009C4071"/>
    <w:rsid w:val="009C4161"/>
    <w:rsid w:val="009C42A9"/>
    <w:rsid w:val="009C4304"/>
    <w:rsid w:val="009C43F4"/>
    <w:rsid w:val="009C464E"/>
    <w:rsid w:val="009C4660"/>
    <w:rsid w:val="009C4672"/>
    <w:rsid w:val="009C46DE"/>
    <w:rsid w:val="009C489C"/>
    <w:rsid w:val="009C4DE8"/>
    <w:rsid w:val="009C4E64"/>
    <w:rsid w:val="009C4F54"/>
    <w:rsid w:val="009C5072"/>
    <w:rsid w:val="009C5242"/>
    <w:rsid w:val="009C5415"/>
    <w:rsid w:val="009C572C"/>
    <w:rsid w:val="009C57CF"/>
    <w:rsid w:val="009C59FB"/>
    <w:rsid w:val="009C5BEE"/>
    <w:rsid w:val="009C5BF1"/>
    <w:rsid w:val="009C5F06"/>
    <w:rsid w:val="009C5F14"/>
    <w:rsid w:val="009C5F3A"/>
    <w:rsid w:val="009C5FAA"/>
    <w:rsid w:val="009C6378"/>
    <w:rsid w:val="009C63E3"/>
    <w:rsid w:val="009C66E0"/>
    <w:rsid w:val="009C67BA"/>
    <w:rsid w:val="009C6923"/>
    <w:rsid w:val="009C6D41"/>
    <w:rsid w:val="009C7109"/>
    <w:rsid w:val="009C71CD"/>
    <w:rsid w:val="009C720F"/>
    <w:rsid w:val="009C72DB"/>
    <w:rsid w:val="009C757E"/>
    <w:rsid w:val="009C7588"/>
    <w:rsid w:val="009C7628"/>
    <w:rsid w:val="009C76CE"/>
    <w:rsid w:val="009C7730"/>
    <w:rsid w:val="009C77F7"/>
    <w:rsid w:val="009C780A"/>
    <w:rsid w:val="009C7892"/>
    <w:rsid w:val="009C7EF4"/>
    <w:rsid w:val="009C7F6A"/>
    <w:rsid w:val="009C7F7D"/>
    <w:rsid w:val="009D039A"/>
    <w:rsid w:val="009D070E"/>
    <w:rsid w:val="009D0779"/>
    <w:rsid w:val="009D079C"/>
    <w:rsid w:val="009D08A0"/>
    <w:rsid w:val="009D0C6A"/>
    <w:rsid w:val="009D0D15"/>
    <w:rsid w:val="009D0E10"/>
    <w:rsid w:val="009D0E33"/>
    <w:rsid w:val="009D0E41"/>
    <w:rsid w:val="009D1081"/>
    <w:rsid w:val="009D1141"/>
    <w:rsid w:val="009D128E"/>
    <w:rsid w:val="009D14F1"/>
    <w:rsid w:val="009D1775"/>
    <w:rsid w:val="009D1814"/>
    <w:rsid w:val="009D194B"/>
    <w:rsid w:val="009D1B8E"/>
    <w:rsid w:val="009D1BE3"/>
    <w:rsid w:val="009D1BF5"/>
    <w:rsid w:val="009D1D39"/>
    <w:rsid w:val="009D1E0A"/>
    <w:rsid w:val="009D1E6E"/>
    <w:rsid w:val="009D1E71"/>
    <w:rsid w:val="009D22E0"/>
    <w:rsid w:val="009D23E0"/>
    <w:rsid w:val="009D2471"/>
    <w:rsid w:val="009D2496"/>
    <w:rsid w:val="009D24D2"/>
    <w:rsid w:val="009D2616"/>
    <w:rsid w:val="009D28BA"/>
    <w:rsid w:val="009D28E5"/>
    <w:rsid w:val="009D297B"/>
    <w:rsid w:val="009D2981"/>
    <w:rsid w:val="009D2A88"/>
    <w:rsid w:val="009D2B15"/>
    <w:rsid w:val="009D2E86"/>
    <w:rsid w:val="009D3284"/>
    <w:rsid w:val="009D35A8"/>
    <w:rsid w:val="009D35E0"/>
    <w:rsid w:val="009D3723"/>
    <w:rsid w:val="009D388F"/>
    <w:rsid w:val="009D39BE"/>
    <w:rsid w:val="009D3AC8"/>
    <w:rsid w:val="009D3D9A"/>
    <w:rsid w:val="009D3EA8"/>
    <w:rsid w:val="009D404E"/>
    <w:rsid w:val="009D40FC"/>
    <w:rsid w:val="009D412B"/>
    <w:rsid w:val="009D414A"/>
    <w:rsid w:val="009D4158"/>
    <w:rsid w:val="009D4183"/>
    <w:rsid w:val="009D41A8"/>
    <w:rsid w:val="009D41C9"/>
    <w:rsid w:val="009D42FA"/>
    <w:rsid w:val="009D438D"/>
    <w:rsid w:val="009D44E9"/>
    <w:rsid w:val="009D46A3"/>
    <w:rsid w:val="009D46AE"/>
    <w:rsid w:val="009D47E1"/>
    <w:rsid w:val="009D4BE0"/>
    <w:rsid w:val="009D4C3E"/>
    <w:rsid w:val="009D4C44"/>
    <w:rsid w:val="009D4F02"/>
    <w:rsid w:val="009D4FAF"/>
    <w:rsid w:val="009D5150"/>
    <w:rsid w:val="009D5153"/>
    <w:rsid w:val="009D5674"/>
    <w:rsid w:val="009D579F"/>
    <w:rsid w:val="009D5AA0"/>
    <w:rsid w:val="009D5B00"/>
    <w:rsid w:val="009D5CAC"/>
    <w:rsid w:val="009D5CC3"/>
    <w:rsid w:val="009D5E2E"/>
    <w:rsid w:val="009D60CF"/>
    <w:rsid w:val="009D614E"/>
    <w:rsid w:val="009D6185"/>
    <w:rsid w:val="009D6250"/>
    <w:rsid w:val="009D62E7"/>
    <w:rsid w:val="009D63A6"/>
    <w:rsid w:val="009D6482"/>
    <w:rsid w:val="009D652E"/>
    <w:rsid w:val="009D65AE"/>
    <w:rsid w:val="009D661D"/>
    <w:rsid w:val="009D66BD"/>
    <w:rsid w:val="009D6815"/>
    <w:rsid w:val="009D6BE4"/>
    <w:rsid w:val="009D6EFB"/>
    <w:rsid w:val="009D6F06"/>
    <w:rsid w:val="009D7094"/>
    <w:rsid w:val="009D71CD"/>
    <w:rsid w:val="009D7297"/>
    <w:rsid w:val="009D744B"/>
    <w:rsid w:val="009D7617"/>
    <w:rsid w:val="009D7B74"/>
    <w:rsid w:val="009D7CDE"/>
    <w:rsid w:val="009D7E93"/>
    <w:rsid w:val="009DC070"/>
    <w:rsid w:val="009E00AB"/>
    <w:rsid w:val="009E00AE"/>
    <w:rsid w:val="009E0221"/>
    <w:rsid w:val="009E033E"/>
    <w:rsid w:val="009E040A"/>
    <w:rsid w:val="009E050A"/>
    <w:rsid w:val="009E0636"/>
    <w:rsid w:val="009E07EB"/>
    <w:rsid w:val="009E08C4"/>
    <w:rsid w:val="009E08F7"/>
    <w:rsid w:val="009E0D54"/>
    <w:rsid w:val="009E13A7"/>
    <w:rsid w:val="009E16B0"/>
    <w:rsid w:val="009E1956"/>
    <w:rsid w:val="009E1993"/>
    <w:rsid w:val="009E1B1F"/>
    <w:rsid w:val="009E1C1A"/>
    <w:rsid w:val="009E1E0A"/>
    <w:rsid w:val="009E1F91"/>
    <w:rsid w:val="009E1FE2"/>
    <w:rsid w:val="009E21DF"/>
    <w:rsid w:val="009E22D2"/>
    <w:rsid w:val="009E2402"/>
    <w:rsid w:val="009E2777"/>
    <w:rsid w:val="009E2980"/>
    <w:rsid w:val="009E29C8"/>
    <w:rsid w:val="009E2A4B"/>
    <w:rsid w:val="009E2AB7"/>
    <w:rsid w:val="009E2AC6"/>
    <w:rsid w:val="009E2C13"/>
    <w:rsid w:val="009E2DB8"/>
    <w:rsid w:val="009E2F13"/>
    <w:rsid w:val="009E2F84"/>
    <w:rsid w:val="009E3064"/>
    <w:rsid w:val="009E3146"/>
    <w:rsid w:val="009E330C"/>
    <w:rsid w:val="009E36B5"/>
    <w:rsid w:val="009E37E5"/>
    <w:rsid w:val="009E38EA"/>
    <w:rsid w:val="009E3908"/>
    <w:rsid w:val="009E3CBB"/>
    <w:rsid w:val="009E3CBE"/>
    <w:rsid w:val="009E3EDB"/>
    <w:rsid w:val="009E3FB9"/>
    <w:rsid w:val="009E40F4"/>
    <w:rsid w:val="009E4334"/>
    <w:rsid w:val="009E437C"/>
    <w:rsid w:val="009E43B0"/>
    <w:rsid w:val="009E4458"/>
    <w:rsid w:val="009E4517"/>
    <w:rsid w:val="009E45E2"/>
    <w:rsid w:val="009E477C"/>
    <w:rsid w:val="009E47D4"/>
    <w:rsid w:val="009E4919"/>
    <w:rsid w:val="009E4AD4"/>
    <w:rsid w:val="009E4C42"/>
    <w:rsid w:val="009E4D28"/>
    <w:rsid w:val="009E4E0E"/>
    <w:rsid w:val="009E4F61"/>
    <w:rsid w:val="009E5200"/>
    <w:rsid w:val="009E5560"/>
    <w:rsid w:val="009E557A"/>
    <w:rsid w:val="009E55E1"/>
    <w:rsid w:val="009E5607"/>
    <w:rsid w:val="009E56CC"/>
    <w:rsid w:val="009E5B5C"/>
    <w:rsid w:val="009E5CBA"/>
    <w:rsid w:val="009E5D96"/>
    <w:rsid w:val="009E5D97"/>
    <w:rsid w:val="009E5EF8"/>
    <w:rsid w:val="009E5F00"/>
    <w:rsid w:val="009E5F28"/>
    <w:rsid w:val="009E62AA"/>
    <w:rsid w:val="009E6562"/>
    <w:rsid w:val="009E6622"/>
    <w:rsid w:val="009E679B"/>
    <w:rsid w:val="009E68D9"/>
    <w:rsid w:val="009E6956"/>
    <w:rsid w:val="009E6B06"/>
    <w:rsid w:val="009E6B9B"/>
    <w:rsid w:val="009E6E79"/>
    <w:rsid w:val="009E6F1C"/>
    <w:rsid w:val="009E7206"/>
    <w:rsid w:val="009E7242"/>
    <w:rsid w:val="009E73DF"/>
    <w:rsid w:val="009E7552"/>
    <w:rsid w:val="009E75AF"/>
    <w:rsid w:val="009E77D6"/>
    <w:rsid w:val="009E79D1"/>
    <w:rsid w:val="009E7A01"/>
    <w:rsid w:val="009E7AB9"/>
    <w:rsid w:val="009E7E0C"/>
    <w:rsid w:val="009F00EC"/>
    <w:rsid w:val="009F02B4"/>
    <w:rsid w:val="009F041D"/>
    <w:rsid w:val="009F0425"/>
    <w:rsid w:val="009F0588"/>
    <w:rsid w:val="009F062D"/>
    <w:rsid w:val="009F084E"/>
    <w:rsid w:val="009F08E2"/>
    <w:rsid w:val="009F097D"/>
    <w:rsid w:val="009F0BD9"/>
    <w:rsid w:val="009F0BF8"/>
    <w:rsid w:val="009F0D18"/>
    <w:rsid w:val="009F0EB6"/>
    <w:rsid w:val="009F0EFE"/>
    <w:rsid w:val="009F1126"/>
    <w:rsid w:val="009F1270"/>
    <w:rsid w:val="009F1287"/>
    <w:rsid w:val="009F14A0"/>
    <w:rsid w:val="009F169F"/>
    <w:rsid w:val="009F1770"/>
    <w:rsid w:val="009F1A12"/>
    <w:rsid w:val="009F1D3D"/>
    <w:rsid w:val="009F1F84"/>
    <w:rsid w:val="009F233D"/>
    <w:rsid w:val="009F25E3"/>
    <w:rsid w:val="009F2675"/>
    <w:rsid w:val="009F2681"/>
    <w:rsid w:val="009F271A"/>
    <w:rsid w:val="009F293C"/>
    <w:rsid w:val="009F29DB"/>
    <w:rsid w:val="009F2ADD"/>
    <w:rsid w:val="009F2EFD"/>
    <w:rsid w:val="009F2FDC"/>
    <w:rsid w:val="009F324D"/>
    <w:rsid w:val="009F367B"/>
    <w:rsid w:val="009F39DC"/>
    <w:rsid w:val="009F3A36"/>
    <w:rsid w:val="009F3A4A"/>
    <w:rsid w:val="009F3A4D"/>
    <w:rsid w:val="009F3ABB"/>
    <w:rsid w:val="009F3D17"/>
    <w:rsid w:val="009F3EF7"/>
    <w:rsid w:val="009F3FE7"/>
    <w:rsid w:val="009F42E2"/>
    <w:rsid w:val="009F43B4"/>
    <w:rsid w:val="009F4733"/>
    <w:rsid w:val="009F4851"/>
    <w:rsid w:val="009F4B75"/>
    <w:rsid w:val="009F4E7E"/>
    <w:rsid w:val="009F4FD3"/>
    <w:rsid w:val="009F50B1"/>
    <w:rsid w:val="009F55A9"/>
    <w:rsid w:val="009F5719"/>
    <w:rsid w:val="009F5958"/>
    <w:rsid w:val="009F595C"/>
    <w:rsid w:val="009F5D77"/>
    <w:rsid w:val="009F5E2C"/>
    <w:rsid w:val="009F60E8"/>
    <w:rsid w:val="009F69CB"/>
    <w:rsid w:val="009F6A77"/>
    <w:rsid w:val="009F6C5C"/>
    <w:rsid w:val="009F6FA4"/>
    <w:rsid w:val="009F7111"/>
    <w:rsid w:val="009F71FD"/>
    <w:rsid w:val="009F724A"/>
    <w:rsid w:val="009F7AAC"/>
    <w:rsid w:val="009F7B79"/>
    <w:rsid w:val="009F7C24"/>
    <w:rsid w:val="009F7E54"/>
    <w:rsid w:val="009F7E5C"/>
    <w:rsid w:val="009F7EAA"/>
    <w:rsid w:val="00A00027"/>
    <w:rsid w:val="00A001DB"/>
    <w:rsid w:val="00A00578"/>
    <w:rsid w:val="00A00671"/>
    <w:rsid w:val="00A0081B"/>
    <w:rsid w:val="00A00A6F"/>
    <w:rsid w:val="00A00B3B"/>
    <w:rsid w:val="00A00BD9"/>
    <w:rsid w:val="00A00CCC"/>
    <w:rsid w:val="00A00E40"/>
    <w:rsid w:val="00A0105A"/>
    <w:rsid w:val="00A01456"/>
    <w:rsid w:val="00A01AE6"/>
    <w:rsid w:val="00A01B20"/>
    <w:rsid w:val="00A01CF2"/>
    <w:rsid w:val="00A01D39"/>
    <w:rsid w:val="00A01D3E"/>
    <w:rsid w:val="00A01D8D"/>
    <w:rsid w:val="00A01E88"/>
    <w:rsid w:val="00A01F7A"/>
    <w:rsid w:val="00A01FEC"/>
    <w:rsid w:val="00A020A6"/>
    <w:rsid w:val="00A0217D"/>
    <w:rsid w:val="00A021F3"/>
    <w:rsid w:val="00A024DF"/>
    <w:rsid w:val="00A025E2"/>
    <w:rsid w:val="00A02633"/>
    <w:rsid w:val="00A026C7"/>
    <w:rsid w:val="00A026F5"/>
    <w:rsid w:val="00A02740"/>
    <w:rsid w:val="00A0288F"/>
    <w:rsid w:val="00A028C6"/>
    <w:rsid w:val="00A029BB"/>
    <w:rsid w:val="00A02A6F"/>
    <w:rsid w:val="00A02BA1"/>
    <w:rsid w:val="00A02C41"/>
    <w:rsid w:val="00A02DC4"/>
    <w:rsid w:val="00A02E85"/>
    <w:rsid w:val="00A030B9"/>
    <w:rsid w:val="00A031C7"/>
    <w:rsid w:val="00A03222"/>
    <w:rsid w:val="00A0327F"/>
    <w:rsid w:val="00A033CF"/>
    <w:rsid w:val="00A034EC"/>
    <w:rsid w:val="00A0353E"/>
    <w:rsid w:val="00A036FF"/>
    <w:rsid w:val="00A0399B"/>
    <w:rsid w:val="00A039E9"/>
    <w:rsid w:val="00A03B5C"/>
    <w:rsid w:val="00A03C67"/>
    <w:rsid w:val="00A03D9B"/>
    <w:rsid w:val="00A0409B"/>
    <w:rsid w:val="00A04190"/>
    <w:rsid w:val="00A043BE"/>
    <w:rsid w:val="00A045B2"/>
    <w:rsid w:val="00A04710"/>
    <w:rsid w:val="00A04854"/>
    <w:rsid w:val="00A04857"/>
    <w:rsid w:val="00A04994"/>
    <w:rsid w:val="00A04A48"/>
    <w:rsid w:val="00A04B69"/>
    <w:rsid w:val="00A05012"/>
    <w:rsid w:val="00A050B5"/>
    <w:rsid w:val="00A05375"/>
    <w:rsid w:val="00A05911"/>
    <w:rsid w:val="00A05BA2"/>
    <w:rsid w:val="00A05EF5"/>
    <w:rsid w:val="00A0626E"/>
    <w:rsid w:val="00A062A3"/>
    <w:rsid w:val="00A06310"/>
    <w:rsid w:val="00A06586"/>
    <w:rsid w:val="00A068A5"/>
    <w:rsid w:val="00A0696C"/>
    <w:rsid w:val="00A06C4D"/>
    <w:rsid w:val="00A06D56"/>
    <w:rsid w:val="00A06E11"/>
    <w:rsid w:val="00A06E4E"/>
    <w:rsid w:val="00A072E0"/>
    <w:rsid w:val="00A0764C"/>
    <w:rsid w:val="00A07759"/>
    <w:rsid w:val="00A077DD"/>
    <w:rsid w:val="00A07854"/>
    <w:rsid w:val="00A07A5B"/>
    <w:rsid w:val="00A07C4F"/>
    <w:rsid w:val="00A07D73"/>
    <w:rsid w:val="00A10133"/>
    <w:rsid w:val="00A101D7"/>
    <w:rsid w:val="00A10269"/>
    <w:rsid w:val="00A10489"/>
    <w:rsid w:val="00A1048D"/>
    <w:rsid w:val="00A10728"/>
    <w:rsid w:val="00A107C1"/>
    <w:rsid w:val="00A10837"/>
    <w:rsid w:val="00A10867"/>
    <w:rsid w:val="00A10A1F"/>
    <w:rsid w:val="00A10A65"/>
    <w:rsid w:val="00A10C1B"/>
    <w:rsid w:val="00A10DEE"/>
    <w:rsid w:val="00A10DF1"/>
    <w:rsid w:val="00A10EA8"/>
    <w:rsid w:val="00A10F99"/>
    <w:rsid w:val="00A111DB"/>
    <w:rsid w:val="00A1137D"/>
    <w:rsid w:val="00A11433"/>
    <w:rsid w:val="00A114F6"/>
    <w:rsid w:val="00A118AA"/>
    <w:rsid w:val="00A118AF"/>
    <w:rsid w:val="00A11BD5"/>
    <w:rsid w:val="00A11D25"/>
    <w:rsid w:val="00A11F74"/>
    <w:rsid w:val="00A12053"/>
    <w:rsid w:val="00A122AB"/>
    <w:rsid w:val="00A12377"/>
    <w:rsid w:val="00A1245C"/>
    <w:rsid w:val="00A12496"/>
    <w:rsid w:val="00A1252A"/>
    <w:rsid w:val="00A125D2"/>
    <w:rsid w:val="00A12743"/>
    <w:rsid w:val="00A127A5"/>
    <w:rsid w:val="00A129A9"/>
    <w:rsid w:val="00A12DD5"/>
    <w:rsid w:val="00A1309C"/>
    <w:rsid w:val="00A1318F"/>
    <w:rsid w:val="00A1321C"/>
    <w:rsid w:val="00A132C3"/>
    <w:rsid w:val="00A133AB"/>
    <w:rsid w:val="00A137D4"/>
    <w:rsid w:val="00A139CC"/>
    <w:rsid w:val="00A13BAC"/>
    <w:rsid w:val="00A13C41"/>
    <w:rsid w:val="00A13DF6"/>
    <w:rsid w:val="00A13EA6"/>
    <w:rsid w:val="00A14116"/>
    <w:rsid w:val="00A14158"/>
    <w:rsid w:val="00A14193"/>
    <w:rsid w:val="00A143A4"/>
    <w:rsid w:val="00A143B0"/>
    <w:rsid w:val="00A1452A"/>
    <w:rsid w:val="00A1498B"/>
    <w:rsid w:val="00A14B4A"/>
    <w:rsid w:val="00A14B9A"/>
    <w:rsid w:val="00A14BA5"/>
    <w:rsid w:val="00A14D30"/>
    <w:rsid w:val="00A152AC"/>
    <w:rsid w:val="00A15340"/>
    <w:rsid w:val="00A15372"/>
    <w:rsid w:val="00A1538F"/>
    <w:rsid w:val="00A15703"/>
    <w:rsid w:val="00A1576E"/>
    <w:rsid w:val="00A15801"/>
    <w:rsid w:val="00A15814"/>
    <w:rsid w:val="00A158A6"/>
    <w:rsid w:val="00A15CDE"/>
    <w:rsid w:val="00A15E83"/>
    <w:rsid w:val="00A15FF1"/>
    <w:rsid w:val="00A15FFA"/>
    <w:rsid w:val="00A16076"/>
    <w:rsid w:val="00A16100"/>
    <w:rsid w:val="00A16569"/>
    <w:rsid w:val="00A16665"/>
    <w:rsid w:val="00A16717"/>
    <w:rsid w:val="00A168E4"/>
    <w:rsid w:val="00A16BB2"/>
    <w:rsid w:val="00A16BF2"/>
    <w:rsid w:val="00A1723B"/>
    <w:rsid w:val="00A1749C"/>
    <w:rsid w:val="00A1751A"/>
    <w:rsid w:val="00A17B36"/>
    <w:rsid w:val="00A17BBF"/>
    <w:rsid w:val="00A17BEA"/>
    <w:rsid w:val="00A17BFA"/>
    <w:rsid w:val="00A17C0A"/>
    <w:rsid w:val="00A17D58"/>
    <w:rsid w:val="00A17E67"/>
    <w:rsid w:val="00A17F9C"/>
    <w:rsid w:val="00A20284"/>
    <w:rsid w:val="00A2033C"/>
    <w:rsid w:val="00A204E3"/>
    <w:rsid w:val="00A20552"/>
    <w:rsid w:val="00A2060D"/>
    <w:rsid w:val="00A2072B"/>
    <w:rsid w:val="00A207FF"/>
    <w:rsid w:val="00A2095F"/>
    <w:rsid w:val="00A20A22"/>
    <w:rsid w:val="00A20BB6"/>
    <w:rsid w:val="00A20F56"/>
    <w:rsid w:val="00A20FB8"/>
    <w:rsid w:val="00A211BC"/>
    <w:rsid w:val="00A2167E"/>
    <w:rsid w:val="00A2186A"/>
    <w:rsid w:val="00A21916"/>
    <w:rsid w:val="00A219D9"/>
    <w:rsid w:val="00A21AA8"/>
    <w:rsid w:val="00A21DCF"/>
    <w:rsid w:val="00A21E32"/>
    <w:rsid w:val="00A220B0"/>
    <w:rsid w:val="00A222A1"/>
    <w:rsid w:val="00A22477"/>
    <w:rsid w:val="00A2260E"/>
    <w:rsid w:val="00A22906"/>
    <w:rsid w:val="00A22BD4"/>
    <w:rsid w:val="00A22C4B"/>
    <w:rsid w:val="00A22E79"/>
    <w:rsid w:val="00A22FDB"/>
    <w:rsid w:val="00A231C9"/>
    <w:rsid w:val="00A2322C"/>
    <w:rsid w:val="00A2338A"/>
    <w:rsid w:val="00A2356F"/>
    <w:rsid w:val="00A23722"/>
    <w:rsid w:val="00A239D0"/>
    <w:rsid w:val="00A239DF"/>
    <w:rsid w:val="00A23DD5"/>
    <w:rsid w:val="00A23F2B"/>
    <w:rsid w:val="00A23FF2"/>
    <w:rsid w:val="00A24305"/>
    <w:rsid w:val="00A243AB"/>
    <w:rsid w:val="00A24449"/>
    <w:rsid w:val="00A245E9"/>
    <w:rsid w:val="00A2466F"/>
    <w:rsid w:val="00A2477F"/>
    <w:rsid w:val="00A24CC9"/>
    <w:rsid w:val="00A24DE8"/>
    <w:rsid w:val="00A24ED4"/>
    <w:rsid w:val="00A24F18"/>
    <w:rsid w:val="00A24FF7"/>
    <w:rsid w:val="00A2504F"/>
    <w:rsid w:val="00A25244"/>
    <w:rsid w:val="00A253BB"/>
    <w:rsid w:val="00A25599"/>
    <w:rsid w:val="00A2566A"/>
    <w:rsid w:val="00A2566F"/>
    <w:rsid w:val="00A256FA"/>
    <w:rsid w:val="00A2573A"/>
    <w:rsid w:val="00A2582B"/>
    <w:rsid w:val="00A258D3"/>
    <w:rsid w:val="00A25C23"/>
    <w:rsid w:val="00A25CA1"/>
    <w:rsid w:val="00A25CF8"/>
    <w:rsid w:val="00A25DF5"/>
    <w:rsid w:val="00A25FCE"/>
    <w:rsid w:val="00A26123"/>
    <w:rsid w:val="00A263BA"/>
    <w:rsid w:val="00A2675A"/>
    <w:rsid w:val="00A26EAD"/>
    <w:rsid w:val="00A26ECF"/>
    <w:rsid w:val="00A26F1F"/>
    <w:rsid w:val="00A271D2"/>
    <w:rsid w:val="00A271D6"/>
    <w:rsid w:val="00A2730D"/>
    <w:rsid w:val="00A27548"/>
    <w:rsid w:val="00A276CA"/>
    <w:rsid w:val="00A277E1"/>
    <w:rsid w:val="00A278EF"/>
    <w:rsid w:val="00A27944"/>
    <w:rsid w:val="00A27ABB"/>
    <w:rsid w:val="00A27BA3"/>
    <w:rsid w:val="00A27BFB"/>
    <w:rsid w:val="00A27F6E"/>
    <w:rsid w:val="00A27F83"/>
    <w:rsid w:val="00A27FEA"/>
    <w:rsid w:val="00A3009E"/>
    <w:rsid w:val="00A300C4"/>
    <w:rsid w:val="00A30124"/>
    <w:rsid w:val="00A302AC"/>
    <w:rsid w:val="00A303C0"/>
    <w:rsid w:val="00A30715"/>
    <w:rsid w:val="00A3080D"/>
    <w:rsid w:val="00A3096A"/>
    <w:rsid w:val="00A30A34"/>
    <w:rsid w:val="00A30B25"/>
    <w:rsid w:val="00A30D78"/>
    <w:rsid w:val="00A30F33"/>
    <w:rsid w:val="00A31051"/>
    <w:rsid w:val="00A310BD"/>
    <w:rsid w:val="00A31301"/>
    <w:rsid w:val="00A3136E"/>
    <w:rsid w:val="00A3145D"/>
    <w:rsid w:val="00A315D2"/>
    <w:rsid w:val="00A3160F"/>
    <w:rsid w:val="00A31647"/>
    <w:rsid w:val="00A319E1"/>
    <w:rsid w:val="00A31B65"/>
    <w:rsid w:val="00A31C20"/>
    <w:rsid w:val="00A31C89"/>
    <w:rsid w:val="00A31DC8"/>
    <w:rsid w:val="00A32046"/>
    <w:rsid w:val="00A32157"/>
    <w:rsid w:val="00A321C0"/>
    <w:rsid w:val="00A3224E"/>
    <w:rsid w:val="00A32981"/>
    <w:rsid w:val="00A32A08"/>
    <w:rsid w:val="00A32AD6"/>
    <w:rsid w:val="00A32CC7"/>
    <w:rsid w:val="00A3308B"/>
    <w:rsid w:val="00A3316B"/>
    <w:rsid w:val="00A3316C"/>
    <w:rsid w:val="00A3322E"/>
    <w:rsid w:val="00A33320"/>
    <w:rsid w:val="00A3340D"/>
    <w:rsid w:val="00A33708"/>
    <w:rsid w:val="00A338E9"/>
    <w:rsid w:val="00A33972"/>
    <w:rsid w:val="00A33CA8"/>
    <w:rsid w:val="00A33DD9"/>
    <w:rsid w:val="00A33F13"/>
    <w:rsid w:val="00A3405D"/>
    <w:rsid w:val="00A341FF"/>
    <w:rsid w:val="00A3421F"/>
    <w:rsid w:val="00A34498"/>
    <w:rsid w:val="00A3452D"/>
    <w:rsid w:val="00A34577"/>
    <w:rsid w:val="00A349AE"/>
    <w:rsid w:val="00A349CD"/>
    <w:rsid w:val="00A349E3"/>
    <w:rsid w:val="00A350E6"/>
    <w:rsid w:val="00A351E2"/>
    <w:rsid w:val="00A351F0"/>
    <w:rsid w:val="00A351F9"/>
    <w:rsid w:val="00A35279"/>
    <w:rsid w:val="00A354A4"/>
    <w:rsid w:val="00A35901"/>
    <w:rsid w:val="00A359A6"/>
    <w:rsid w:val="00A35A77"/>
    <w:rsid w:val="00A35B14"/>
    <w:rsid w:val="00A35C1E"/>
    <w:rsid w:val="00A35D2D"/>
    <w:rsid w:val="00A35D8F"/>
    <w:rsid w:val="00A35E4F"/>
    <w:rsid w:val="00A35FC3"/>
    <w:rsid w:val="00A36059"/>
    <w:rsid w:val="00A36195"/>
    <w:rsid w:val="00A3633D"/>
    <w:rsid w:val="00A36472"/>
    <w:rsid w:val="00A36767"/>
    <w:rsid w:val="00A36A5A"/>
    <w:rsid w:val="00A36DF3"/>
    <w:rsid w:val="00A37183"/>
    <w:rsid w:val="00A37563"/>
    <w:rsid w:val="00A37578"/>
    <w:rsid w:val="00A3774F"/>
    <w:rsid w:val="00A378E3"/>
    <w:rsid w:val="00A37E32"/>
    <w:rsid w:val="00A40034"/>
    <w:rsid w:val="00A4022E"/>
    <w:rsid w:val="00A406B1"/>
    <w:rsid w:val="00A4075F"/>
    <w:rsid w:val="00A4080D"/>
    <w:rsid w:val="00A408FB"/>
    <w:rsid w:val="00A40C40"/>
    <w:rsid w:val="00A40C7D"/>
    <w:rsid w:val="00A40D1D"/>
    <w:rsid w:val="00A40D2A"/>
    <w:rsid w:val="00A40F49"/>
    <w:rsid w:val="00A40F74"/>
    <w:rsid w:val="00A40FF0"/>
    <w:rsid w:val="00A411B4"/>
    <w:rsid w:val="00A413C3"/>
    <w:rsid w:val="00A414B0"/>
    <w:rsid w:val="00A4151C"/>
    <w:rsid w:val="00A4163B"/>
    <w:rsid w:val="00A418B5"/>
    <w:rsid w:val="00A41A70"/>
    <w:rsid w:val="00A41AE8"/>
    <w:rsid w:val="00A41C1E"/>
    <w:rsid w:val="00A41D2B"/>
    <w:rsid w:val="00A41D44"/>
    <w:rsid w:val="00A41EB8"/>
    <w:rsid w:val="00A41F52"/>
    <w:rsid w:val="00A4223E"/>
    <w:rsid w:val="00A422C6"/>
    <w:rsid w:val="00A422FB"/>
    <w:rsid w:val="00A424CC"/>
    <w:rsid w:val="00A427E7"/>
    <w:rsid w:val="00A429DA"/>
    <w:rsid w:val="00A42A24"/>
    <w:rsid w:val="00A42ACD"/>
    <w:rsid w:val="00A42B2E"/>
    <w:rsid w:val="00A42BC3"/>
    <w:rsid w:val="00A42D38"/>
    <w:rsid w:val="00A42E49"/>
    <w:rsid w:val="00A430C4"/>
    <w:rsid w:val="00A431BD"/>
    <w:rsid w:val="00A434AC"/>
    <w:rsid w:val="00A434FB"/>
    <w:rsid w:val="00A43597"/>
    <w:rsid w:val="00A43635"/>
    <w:rsid w:val="00A438A7"/>
    <w:rsid w:val="00A439F1"/>
    <w:rsid w:val="00A43D6E"/>
    <w:rsid w:val="00A43DBB"/>
    <w:rsid w:val="00A43DCC"/>
    <w:rsid w:val="00A43E47"/>
    <w:rsid w:val="00A43EA8"/>
    <w:rsid w:val="00A44019"/>
    <w:rsid w:val="00A44104"/>
    <w:rsid w:val="00A44648"/>
    <w:rsid w:val="00A449A6"/>
    <w:rsid w:val="00A44BB3"/>
    <w:rsid w:val="00A44DF6"/>
    <w:rsid w:val="00A44FB1"/>
    <w:rsid w:val="00A44FB5"/>
    <w:rsid w:val="00A45036"/>
    <w:rsid w:val="00A4513F"/>
    <w:rsid w:val="00A451D0"/>
    <w:rsid w:val="00A45410"/>
    <w:rsid w:val="00A45860"/>
    <w:rsid w:val="00A458DA"/>
    <w:rsid w:val="00A4595A"/>
    <w:rsid w:val="00A459E6"/>
    <w:rsid w:val="00A45C5A"/>
    <w:rsid w:val="00A46267"/>
    <w:rsid w:val="00A46751"/>
    <w:rsid w:val="00A46B32"/>
    <w:rsid w:val="00A46EB7"/>
    <w:rsid w:val="00A47085"/>
    <w:rsid w:val="00A47092"/>
    <w:rsid w:val="00A4718E"/>
    <w:rsid w:val="00A471D0"/>
    <w:rsid w:val="00A471D2"/>
    <w:rsid w:val="00A4729F"/>
    <w:rsid w:val="00A472B2"/>
    <w:rsid w:val="00A477B4"/>
    <w:rsid w:val="00A479BE"/>
    <w:rsid w:val="00A47ACD"/>
    <w:rsid w:val="00A47C44"/>
    <w:rsid w:val="00A47DA5"/>
    <w:rsid w:val="00A47F5C"/>
    <w:rsid w:val="00A5008D"/>
    <w:rsid w:val="00A50132"/>
    <w:rsid w:val="00A50190"/>
    <w:rsid w:val="00A502DA"/>
    <w:rsid w:val="00A50397"/>
    <w:rsid w:val="00A503EA"/>
    <w:rsid w:val="00A504A7"/>
    <w:rsid w:val="00A506F4"/>
    <w:rsid w:val="00A50777"/>
    <w:rsid w:val="00A50979"/>
    <w:rsid w:val="00A50EDE"/>
    <w:rsid w:val="00A510D2"/>
    <w:rsid w:val="00A5113C"/>
    <w:rsid w:val="00A5122D"/>
    <w:rsid w:val="00A51600"/>
    <w:rsid w:val="00A51816"/>
    <w:rsid w:val="00A51979"/>
    <w:rsid w:val="00A519C8"/>
    <w:rsid w:val="00A51B2F"/>
    <w:rsid w:val="00A51E0E"/>
    <w:rsid w:val="00A51EF3"/>
    <w:rsid w:val="00A52373"/>
    <w:rsid w:val="00A52535"/>
    <w:rsid w:val="00A5258A"/>
    <w:rsid w:val="00A5268F"/>
    <w:rsid w:val="00A52692"/>
    <w:rsid w:val="00A52AF7"/>
    <w:rsid w:val="00A52DDC"/>
    <w:rsid w:val="00A52FA0"/>
    <w:rsid w:val="00A5317F"/>
    <w:rsid w:val="00A53237"/>
    <w:rsid w:val="00A534A4"/>
    <w:rsid w:val="00A535FE"/>
    <w:rsid w:val="00A53679"/>
    <w:rsid w:val="00A53768"/>
    <w:rsid w:val="00A53779"/>
    <w:rsid w:val="00A53780"/>
    <w:rsid w:val="00A537B0"/>
    <w:rsid w:val="00A53AD6"/>
    <w:rsid w:val="00A53B02"/>
    <w:rsid w:val="00A53E3E"/>
    <w:rsid w:val="00A53E7B"/>
    <w:rsid w:val="00A5402E"/>
    <w:rsid w:val="00A54185"/>
    <w:rsid w:val="00A5419D"/>
    <w:rsid w:val="00A5436F"/>
    <w:rsid w:val="00A544F7"/>
    <w:rsid w:val="00A54561"/>
    <w:rsid w:val="00A546D6"/>
    <w:rsid w:val="00A54798"/>
    <w:rsid w:val="00A54B0E"/>
    <w:rsid w:val="00A54E5C"/>
    <w:rsid w:val="00A5521F"/>
    <w:rsid w:val="00A5531C"/>
    <w:rsid w:val="00A553BB"/>
    <w:rsid w:val="00A5549B"/>
    <w:rsid w:val="00A55504"/>
    <w:rsid w:val="00A55701"/>
    <w:rsid w:val="00A557B6"/>
    <w:rsid w:val="00A55CF3"/>
    <w:rsid w:val="00A55D57"/>
    <w:rsid w:val="00A55F59"/>
    <w:rsid w:val="00A567BF"/>
    <w:rsid w:val="00A567F9"/>
    <w:rsid w:val="00A569DE"/>
    <w:rsid w:val="00A56DF5"/>
    <w:rsid w:val="00A56EB9"/>
    <w:rsid w:val="00A56ED9"/>
    <w:rsid w:val="00A56F17"/>
    <w:rsid w:val="00A56F3B"/>
    <w:rsid w:val="00A570E1"/>
    <w:rsid w:val="00A573BB"/>
    <w:rsid w:val="00A57630"/>
    <w:rsid w:val="00A5788C"/>
    <w:rsid w:val="00A57928"/>
    <w:rsid w:val="00A5796B"/>
    <w:rsid w:val="00A57C48"/>
    <w:rsid w:val="00A57F03"/>
    <w:rsid w:val="00A57F4D"/>
    <w:rsid w:val="00A600EA"/>
    <w:rsid w:val="00A601BA"/>
    <w:rsid w:val="00A6043A"/>
    <w:rsid w:val="00A606AF"/>
    <w:rsid w:val="00A60814"/>
    <w:rsid w:val="00A6084F"/>
    <w:rsid w:val="00A608E8"/>
    <w:rsid w:val="00A608FC"/>
    <w:rsid w:val="00A60A52"/>
    <w:rsid w:val="00A60A85"/>
    <w:rsid w:val="00A60C85"/>
    <w:rsid w:val="00A60FC3"/>
    <w:rsid w:val="00A610EE"/>
    <w:rsid w:val="00A6121E"/>
    <w:rsid w:val="00A61324"/>
    <w:rsid w:val="00A61455"/>
    <w:rsid w:val="00A615FB"/>
    <w:rsid w:val="00A61683"/>
    <w:rsid w:val="00A61D10"/>
    <w:rsid w:val="00A61D1A"/>
    <w:rsid w:val="00A61D7B"/>
    <w:rsid w:val="00A61E4D"/>
    <w:rsid w:val="00A61E61"/>
    <w:rsid w:val="00A61F57"/>
    <w:rsid w:val="00A62081"/>
    <w:rsid w:val="00A6215B"/>
    <w:rsid w:val="00A6215D"/>
    <w:rsid w:val="00A6245E"/>
    <w:rsid w:val="00A625EC"/>
    <w:rsid w:val="00A6262E"/>
    <w:rsid w:val="00A626AC"/>
    <w:rsid w:val="00A62A93"/>
    <w:rsid w:val="00A62B98"/>
    <w:rsid w:val="00A62E07"/>
    <w:rsid w:val="00A63037"/>
    <w:rsid w:val="00A630B7"/>
    <w:rsid w:val="00A63195"/>
    <w:rsid w:val="00A63197"/>
    <w:rsid w:val="00A63383"/>
    <w:rsid w:val="00A633C9"/>
    <w:rsid w:val="00A633CA"/>
    <w:rsid w:val="00A635FD"/>
    <w:rsid w:val="00A63A8E"/>
    <w:rsid w:val="00A63BDC"/>
    <w:rsid w:val="00A63D9F"/>
    <w:rsid w:val="00A643C3"/>
    <w:rsid w:val="00A645D9"/>
    <w:rsid w:val="00A64BC2"/>
    <w:rsid w:val="00A64C66"/>
    <w:rsid w:val="00A64DA6"/>
    <w:rsid w:val="00A64DCA"/>
    <w:rsid w:val="00A64F39"/>
    <w:rsid w:val="00A64F5C"/>
    <w:rsid w:val="00A65067"/>
    <w:rsid w:val="00A65109"/>
    <w:rsid w:val="00A6527F"/>
    <w:rsid w:val="00A65420"/>
    <w:rsid w:val="00A655D3"/>
    <w:rsid w:val="00A657AE"/>
    <w:rsid w:val="00A65809"/>
    <w:rsid w:val="00A65A59"/>
    <w:rsid w:val="00A65BE6"/>
    <w:rsid w:val="00A66084"/>
    <w:rsid w:val="00A6657F"/>
    <w:rsid w:val="00A6675B"/>
    <w:rsid w:val="00A667A6"/>
    <w:rsid w:val="00A66845"/>
    <w:rsid w:val="00A668A3"/>
    <w:rsid w:val="00A668F8"/>
    <w:rsid w:val="00A66A25"/>
    <w:rsid w:val="00A66A44"/>
    <w:rsid w:val="00A66D08"/>
    <w:rsid w:val="00A66E61"/>
    <w:rsid w:val="00A67094"/>
    <w:rsid w:val="00A6724D"/>
    <w:rsid w:val="00A672E1"/>
    <w:rsid w:val="00A674B5"/>
    <w:rsid w:val="00A67872"/>
    <w:rsid w:val="00A67A68"/>
    <w:rsid w:val="00A67D88"/>
    <w:rsid w:val="00A67F09"/>
    <w:rsid w:val="00A70154"/>
    <w:rsid w:val="00A701DB"/>
    <w:rsid w:val="00A7025E"/>
    <w:rsid w:val="00A70349"/>
    <w:rsid w:val="00A70442"/>
    <w:rsid w:val="00A70705"/>
    <w:rsid w:val="00A7081B"/>
    <w:rsid w:val="00A708F0"/>
    <w:rsid w:val="00A7094F"/>
    <w:rsid w:val="00A709CB"/>
    <w:rsid w:val="00A709D2"/>
    <w:rsid w:val="00A70DD0"/>
    <w:rsid w:val="00A70E31"/>
    <w:rsid w:val="00A70EA9"/>
    <w:rsid w:val="00A71141"/>
    <w:rsid w:val="00A71287"/>
    <w:rsid w:val="00A712CC"/>
    <w:rsid w:val="00A71713"/>
    <w:rsid w:val="00A71A3F"/>
    <w:rsid w:val="00A71BB7"/>
    <w:rsid w:val="00A71F09"/>
    <w:rsid w:val="00A71FF2"/>
    <w:rsid w:val="00A72072"/>
    <w:rsid w:val="00A72369"/>
    <w:rsid w:val="00A72454"/>
    <w:rsid w:val="00A725DF"/>
    <w:rsid w:val="00A72789"/>
    <w:rsid w:val="00A727AD"/>
    <w:rsid w:val="00A728A6"/>
    <w:rsid w:val="00A7296C"/>
    <w:rsid w:val="00A729BF"/>
    <w:rsid w:val="00A72B89"/>
    <w:rsid w:val="00A72C97"/>
    <w:rsid w:val="00A72DB6"/>
    <w:rsid w:val="00A72E1A"/>
    <w:rsid w:val="00A730B5"/>
    <w:rsid w:val="00A731CA"/>
    <w:rsid w:val="00A73226"/>
    <w:rsid w:val="00A733CB"/>
    <w:rsid w:val="00A733FC"/>
    <w:rsid w:val="00A734E9"/>
    <w:rsid w:val="00A73519"/>
    <w:rsid w:val="00A73697"/>
    <w:rsid w:val="00A7396A"/>
    <w:rsid w:val="00A73BDB"/>
    <w:rsid w:val="00A73C65"/>
    <w:rsid w:val="00A73C7B"/>
    <w:rsid w:val="00A74237"/>
    <w:rsid w:val="00A7423B"/>
    <w:rsid w:val="00A74323"/>
    <w:rsid w:val="00A747E8"/>
    <w:rsid w:val="00A74C07"/>
    <w:rsid w:val="00A74C61"/>
    <w:rsid w:val="00A750C1"/>
    <w:rsid w:val="00A750C9"/>
    <w:rsid w:val="00A755D0"/>
    <w:rsid w:val="00A75636"/>
    <w:rsid w:val="00A757AD"/>
    <w:rsid w:val="00A75D6F"/>
    <w:rsid w:val="00A75E71"/>
    <w:rsid w:val="00A761BA"/>
    <w:rsid w:val="00A76233"/>
    <w:rsid w:val="00A76347"/>
    <w:rsid w:val="00A763D6"/>
    <w:rsid w:val="00A7640F"/>
    <w:rsid w:val="00A76542"/>
    <w:rsid w:val="00A76FE1"/>
    <w:rsid w:val="00A77043"/>
    <w:rsid w:val="00A7708B"/>
    <w:rsid w:val="00A7732F"/>
    <w:rsid w:val="00A77368"/>
    <w:rsid w:val="00A773EB"/>
    <w:rsid w:val="00A7750B"/>
    <w:rsid w:val="00A7751E"/>
    <w:rsid w:val="00A77608"/>
    <w:rsid w:val="00A77810"/>
    <w:rsid w:val="00A779A2"/>
    <w:rsid w:val="00A77A3E"/>
    <w:rsid w:val="00A77AA8"/>
    <w:rsid w:val="00A77AF4"/>
    <w:rsid w:val="00A77B30"/>
    <w:rsid w:val="00A77CBF"/>
    <w:rsid w:val="00A77DD9"/>
    <w:rsid w:val="00A77F6A"/>
    <w:rsid w:val="00A801B1"/>
    <w:rsid w:val="00A801ED"/>
    <w:rsid w:val="00A804F8"/>
    <w:rsid w:val="00A80732"/>
    <w:rsid w:val="00A8085E"/>
    <w:rsid w:val="00A80F79"/>
    <w:rsid w:val="00A81261"/>
    <w:rsid w:val="00A812A0"/>
    <w:rsid w:val="00A8134E"/>
    <w:rsid w:val="00A81404"/>
    <w:rsid w:val="00A814A2"/>
    <w:rsid w:val="00A815C8"/>
    <w:rsid w:val="00A816C3"/>
    <w:rsid w:val="00A816F0"/>
    <w:rsid w:val="00A819A4"/>
    <w:rsid w:val="00A81BC5"/>
    <w:rsid w:val="00A81F10"/>
    <w:rsid w:val="00A81F59"/>
    <w:rsid w:val="00A81F70"/>
    <w:rsid w:val="00A823D4"/>
    <w:rsid w:val="00A82638"/>
    <w:rsid w:val="00A82823"/>
    <w:rsid w:val="00A8282C"/>
    <w:rsid w:val="00A829CB"/>
    <w:rsid w:val="00A82AE6"/>
    <w:rsid w:val="00A82CDE"/>
    <w:rsid w:val="00A82D30"/>
    <w:rsid w:val="00A82DDB"/>
    <w:rsid w:val="00A82F6C"/>
    <w:rsid w:val="00A82FD4"/>
    <w:rsid w:val="00A83237"/>
    <w:rsid w:val="00A832CF"/>
    <w:rsid w:val="00A832DB"/>
    <w:rsid w:val="00A832E0"/>
    <w:rsid w:val="00A8332E"/>
    <w:rsid w:val="00A8348C"/>
    <w:rsid w:val="00A83556"/>
    <w:rsid w:val="00A83718"/>
    <w:rsid w:val="00A837BD"/>
    <w:rsid w:val="00A837DB"/>
    <w:rsid w:val="00A838B2"/>
    <w:rsid w:val="00A838D4"/>
    <w:rsid w:val="00A83967"/>
    <w:rsid w:val="00A83AAD"/>
    <w:rsid w:val="00A83B22"/>
    <w:rsid w:val="00A83C6C"/>
    <w:rsid w:val="00A83E47"/>
    <w:rsid w:val="00A83EDD"/>
    <w:rsid w:val="00A84287"/>
    <w:rsid w:val="00A84354"/>
    <w:rsid w:val="00A843A2"/>
    <w:rsid w:val="00A8463A"/>
    <w:rsid w:val="00A84725"/>
    <w:rsid w:val="00A84B5A"/>
    <w:rsid w:val="00A84C00"/>
    <w:rsid w:val="00A84D9A"/>
    <w:rsid w:val="00A84F01"/>
    <w:rsid w:val="00A8504D"/>
    <w:rsid w:val="00A850F4"/>
    <w:rsid w:val="00A85126"/>
    <w:rsid w:val="00A852C0"/>
    <w:rsid w:val="00A852C8"/>
    <w:rsid w:val="00A854D8"/>
    <w:rsid w:val="00A8562A"/>
    <w:rsid w:val="00A85A25"/>
    <w:rsid w:val="00A85DD0"/>
    <w:rsid w:val="00A85E85"/>
    <w:rsid w:val="00A85F02"/>
    <w:rsid w:val="00A86164"/>
    <w:rsid w:val="00A861F1"/>
    <w:rsid w:val="00A86207"/>
    <w:rsid w:val="00A8627B"/>
    <w:rsid w:val="00A86900"/>
    <w:rsid w:val="00A8692B"/>
    <w:rsid w:val="00A8698A"/>
    <w:rsid w:val="00A86A61"/>
    <w:rsid w:val="00A86B21"/>
    <w:rsid w:val="00A86B6B"/>
    <w:rsid w:val="00A86B9A"/>
    <w:rsid w:val="00A86EFB"/>
    <w:rsid w:val="00A86F41"/>
    <w:rsid w:val="00A86FBB"/>
    <w:rsid w:val="00A870C1"/>
    <w:rsid w:val="00A870E9"/>
    <w:rsid w:val="00A8731E"/>
    <w:rsid w:val="00A87365"/>
    <w:rsid w:val="00A8746A"/>
    <w:rsid w:val="00A8748E"/>
    <w:rsid w:val="00A874DE"/>
    <w:rsid w:val="00A876E9"/>
    <w:rsid w:val="00A877B4"/>
    <w:rsid w:val="00A87B20"/>
    <w:rsid w:val="00A87C14"/>
    <w:rsid w:val="00A87C9D"/>
    <w:rsid w:val="00A87EA9"/>
    <w:rsid w:val="00A903F5"/>
    <w:rsid w:val="00A905B4"/>
    <w:rsid w:val="00A90717"/>
    <w:rsid w:val="00A90752"/>
    <w:rsid w:val="00A907EC"/>
    <w:rsid w:val="00A90852"/>
    <w:rsid w:val="00A90907"/>
    <w:rsid w:val="00A90C02"/>
    <w:rsid w:val="00A90CC6"/>
    <w:rsid w:val="00A90D65"/>
    <w:rsid w:val="00A90D70"/>
    <w:rsid w:val="00A90D71"/>
    <w:rsid w:val="00A90DE5"/>
    <w:rsid w:val="00A90E62"/>
    <w:rsid w:val="00A91034"/>
    <w:rsid w:val="00A91066"/>
    <w:rsid w:val="00A914E5"/>
    <w:rsid w:val="00A915FB"/>
    <w:rsid w:val="00A91A56"/>
    <w:rsid w:val="00A91D26"/>
    <w:rsid w:val="00A91ECD"/>
    <w:rsid w:val="00A91F93"/>
    <w:rsid w:val="00A91F96"/>
    <w:rsid w:val="00A9282C"/>
    <w:rsid w:val="00A9293D"/>
    <w:rsid w:val="00A92972"/>
    <w:rsid w:val="00A92C6A"/>
    <w:rsid w:val="00A92C77"/>
    <w:rsid w:val="00A92D99"/>
    <w:rsid w:val="00A92E7C"/>
    <w:rsid w:val="00A92F21"/>
    <w:rsid w:val="00A93374"/>
    <w:rsid w:val="00A934E3"/>
    <w:rsid w:val="00A935E7"/>
    <w:rsid w:val="00A93AA9"/>
    <w:rsid w:val="00A93CAF"/>
    <w:rsid w:val="00A93FEF"/>
    <w:rsid w:val="00A94573"/>
    <w:rsid w:val="00A948DB"/>
    <w:rsid w:val="00A94AB1"/>
    <w:rsid w:val="00A94CF4"/>
    <w:rsid w:val="00A951E7"/>
    <w:rsid w:val="00A952FC"/>
    <w:rsid w:val="00A95310"/>
    <w:rsid w:val="00A95725"/>
    <w:rsid w:val="00A95A22"/>
    <w:rsid w:val="00A95A97"/>
    <w:rsid w:val="00A960F8"/>
    <w:rsid w:val="00A96174"/>
    <w:rsid w:val="00A9623E"/>
    <w:rsid w:val="00A963C8"/>
    <w:rsid w:val="00A96752"/>
    <w:rsid w:val="00A96993"/>
    <w:rsid w:val="00A96A9C"/>
    <w:rsid w:val="00A96B10"/>
    <w:rsid w:val="00A96BCA"/>
    <w:rsid w:val="00A96D57"/>
    <w:rsid w:val="00A96E33"/>
    <w:rsid w:val="00A96ED2"/>
    <w:rsid w:val="00A96F19"/>
    <w:rsid w:val="00A96FC2"/>
    <w:rsid w:val="00A9706C"/>
    <w:rsid w:val="00A97179"/>
    <w:rsid w:val="00A9743E"/>
    <w:rsid w:val="00A97544"/>
    <w:rsid w:val="00A97626"/>
    <w:rsid w:val="00A978A9"/>
    <w:rsid w:val="00A97A07"/>
    <w:rsid w:val="00A97A35"/>
    <w:rsid w:val="00A97A3E"/>
    <w:rsid w:val="00A97B2D"/>
    <w:rsid w:val="00A97B6F"/>
    <w:rsid w:val="00A97B80"/>
    <w:rsid w:val="00A97FE8"/>
    <w:rsid w:val="00AA016E"/>
    <w:rsid w:val="00AA0219"/>
    <w:rsid w:val="00AA033C"/>
    <w:rsid w:val="00AA04BC"/>
    <w:rsid w:val="00AA08EC"/>
    <w:rsid w:val="00AA0B0A"/>
    <w:rsid w:val="00AA0C62"/>
    <w:rsid w:val="00AA0DF2"/>
    <w:rsid w:val="00AA0E19"/>
    <w:rsid w:val="00AA0ED1"/>
    <w:rsid w:val="00AA0F93"/>
    <w:rsid w:val="00AA10AC"/>
    <w:rsid w:val="00AA11C7"/>
    <w:rsid w:val="00AA128E"/>
    <w:rsid w:val="00AA133A"/>
    <w:rsid w:val="00AA13BA"/>
    <w:rsid w:val="00AA141B"/>
    <w:rsid w:val="00AA1430"/>
    <w:rsid w:val="00AA16A0"/>
    <w:rsid w:val="00AA176C"/>
    <w:rsid w:val="00AA18F8"/>
    <w:rsid w:val="00AA191A"/>
    <w:rsid w:val="00AA1949"/>
    <w:rsid w:val="00AA19C6"/>
    <w:rsid w:val="00AA1E48"/>
    <w:rsid w:val="00AA1E89"/>
    <w:rsid w:val="00AA1F63"/>
    <w:rsid w:val="00AA2050"/>
    <w:rsid w:val="00AA22B6"/>
    <w:rsid w:val="00AA2611"/>
    <w:rsid w:val="00AA2682"/>
    <w:rsid w:val="00AA2790"/>
    <w:rsid w:val="00AA2995"/>
    <w:rsid w:val="00AA2B7B"/>
    <w:rsid w:val="00AA2E8C"/>
    <w:rsid w:val="00AA2F2B"/>
    <w:rsid w:val="00AA36F3"/>
    <w:rsid w:val="00AA3C40"/>
    <w:rsid w:val="00AA3F31"/>
    <w:rsid w:val="00AA41A9"/>
    <w:rsid w:val="00AA41DA"/>
    <w:rsid w:val="00AA4561"/>
    <w:rsid w:val="00AA47F3"/>
    <w:rsid w:val="00AA4838"/>
    <w:rsid w:val="00AA484C"/>
    <w:rsid w:val="00AA491F"/>
    <w:rsid w:val="00AA492C"/>
    <w:rsid w:val="00AA49E6"/>
    <w:rsid w:val="00AA4CFE"/>
    <w:rsid w:val="00AA5295"/>
    <w:rsid w:val="00AA536F"/>
    <w:rsid w:val="00AA5437"/>
    <w:rsid w:val="00AA5655"/>
    <w:rsid w:val="00AA598D"/>
    <w:rsid w:val="00AA5A67"/>
    <w:rsid w:val="00AA5B1D"/>
    <w:rsid w:val="00AA5B48"/>
    <w:rsid w:val="00AA5B6F"/>
    <w:rsid w:val="00AA5CA6"/>
    <w:rsid w:val="00AA5FD4"/>
    <w:rsid w:val="00AA609E"/>
    <w:rsid w:val="00AA60C6"/>
    <w:rsid w:val="00AA6108"/>
    <w:rsid w:val="00AA622F"/>
    <w:rsid w:val="00AA65D5"/>
    <w:rsid w:val="00AA6944"/>
    <w:rsid w:val="00AA69B6"/>
    <w:rsid w:val="00AA6FF1"/>
    <w:rsid w:val="00AA7217"/>
    <w:rsid w:val="00AA73FF"/>
    <w:rsid w:val="00AA742F"/>
    <w:rsid w:val="00AA7457"/>
    <w:rsid w:val="00AA7473"/>
    <w:rsid w:val="00AA759C"/>
    <w:rsid w:val="00AA782D"/>
    <w:rsid w:val="00AA7AC8"/>
    <w:rsid w:val="00AA7CCD"/>
    <w:rsid w:val="00AA7F25"/>
    <w:rsid w:val="00AB02BD"/>
    <w:rsid w:val="00AB059D"/>
    <w:rsid w:val="00AB07F8"/>
    <w:rsid w:val="00AB09C5"/>
    <w:rsid w:val="00AB0B5C"/>
    <w:rsid w:val="00AB0D7F"/>
    <w:rsid w:val="00AB0E3D"/>
    <w:rsid w:val="00AB0EE2"/>
    <w:rsid w:val="00AB0FD4"/>
    <w:rsid w:val="00AB0FFA"/>
    <w:rsid w:val="00AB12A3"/>
    <w:rsid w:val="00AB134F"/>
    <w:rsid w:val="00AB16D9"/>
    <w:rsid w:val="00AB172F"/>
    <w:rsid w:val="00AB1A3B"/>
    <w:rsid w:val="00AB1A4C"/>
    <w:rsid w:val="00AB1A90"/>
    <w:rsid w:val="00AB1D3C"/>
    <w:rsid w:val="00AB202F"/>
    <w:rsid w:val="00AB2216"/>
    <w:rsid w:val="00AB279C"/>
    <w:rsid w:val="00AB2859"/>
    <w:rsid w:val="00AB2B10"/>
    <w:rsid w:val="00AB2BF1"/>
    <w:rsid w:val="00AB2C7B"/>
    <w:rsid w:val="00AB2D77"/>
    <w:rsid w:val="00AB2DEE"/>
    <w:rsid w:val="00AB2E3E"/>
    <w:rsid w:val="00AB2EA7"/>
    <w:rsid w:val="00AB2F2C"/>
    <w:rsid w:val="00AB2F47"/>
    <w:rsid w:val="00AB3034"/>
    <w:rsid w:val="00AB3048"/>
    <w:rsid w:val="00AB315A"/>
    <w:rsid w:val="00AB3395"/>
    <w:rsid w:val="00AB36DB"/>
    <w:rsid w:val="00AB3787"/>
    <w:rsid w:val="00AB3845"/>
    <w:rsid w:val="00AB3C03"/>
    <w:rsid w:val="00AB45E7"/>
    <w:rsid w:val="00AB4614"/>
    <w:rsid w:val="00AB4796"/>
    <w:rsid w:val="00AB48C7"/>
    <w:rsid w:val="00AB4B5A"/>
    <w:rsid w:val="00AB4C1A"/>
    <w:rsid w:val="00AB4D54"/>
    <w:rsid w:val="00AB5052"/>
    <w:rsid w:val="00AB51C4"/>
    <w:rsid w:val="00AB5207"/>
    <w:rsid w:val="00AB5295"/>
    <w:rsid w:val="00AB56E0"/>
    <w:rsid w:val="00AB5728"/>
    <w:rsid w:val="00AB5733"/>
    <w:rsid w:val="00AB58B8"/>
    <w:rsid w:val="00AB5BD9"/>
    <w:rsid w:val="00AB5CBE"/>
    <w:rsid w:val="00AB5DC8"/>
    <w:rsid w:val="00AB5F87"/>
    <w:rsid w:val="00AB6363"/>
    <w:rsid w:val="00AB656E"/>
    <w:rsid w:val="00AB6658"/>
    <w:rsid w:val="00AB6727"/>
    <w:rsid w:val="00AB677F"/>
    <w:rsid w:val="00AB682A"/>
    <w:rsid w:val="00AB6A61"/>
    <w:rsid w:val="00AB6B98"/>
    <w:rsid w:val="00AB6C7D"/>
    <w:rsid w:val="00AB6EDF"/>
    <w:rsid w:val="00AB761C"/>
    <w:rsid w:val="00AB7752"/>
    <w:rsid w:val="00AB77E4"/>
    <w:rsid w:val="00AB78DF"/>
    <w:rsid w:val="00AB78E9"/>
    <w:rsid w:val="00AB7B07"/>
    <w:rsid w:val="00AB7C75"/>
    <w:rsid w:val="00AC0311"/>
    <w:rsid w:val="00AC03DC"/>
    <w:rsid w:val="00AC0483"/>
    <w:rsid w:val="00AC078B"/>
    <w:rsid w:val="00AC0B39"/>
    <w:rsid w:val="00AC0C4C"/>
    <w:rsid w:val="00AC0CF6"/>
    <w:rsid w:val="00AC0E13"/>
    <w:rsid w:val="00AC0ED2"/>
    <w:rsid w:val="00AC0F6F"/>
    <w:rsid w:val="00AC1034"/>
    <w:rsid w:val="00AC10CD"/>
    <w:rsid w:val="00AC114C"/>
    <w:rsid w:val="00AC136F"/>
    <w:rsid w:val="00AC144A"/>
    <w:rsid w:val="00AC161C"/>
    <w:rsid w:val="00AC2065"/>
    <w:rsid w:val="00AC20E6"/>
    <w:rsid w:val="00AC2218"/>
    <w:rsid w:val="00AC22CB"/>
    <w:rsid w:val="00AC245C"/>
    <w:rsid w:val="00AC2680"/>
    <w:rsid w:val="00AC2755"/>
    <w:rsid w:val="00AC287B"/>
    <w:rsid w:val="00AC291C"/>
    <w:rsid w:val="00AC29AA"/>
    <w:rsid w:val="00AC2BE3"/>
    <w:rsid w:val="00AC2D3B"/>
    <w:rsid w:val="00AC2D47"/>
    <w:rsid w:val="00AC2ECA"/>
    <w:rsid w:val="00AC3022"/>
    <w:rsid w:val="00AC3358"/>
    <w:rsid w:val="00AC33E0"/>
    <w:rsid w:val="00AC3437"/>
    <w:rsid w:val="00AC3689"/>
    <w:rsid w:val="00AC3850"/>
    <w:rsid w:val="00AC39A3"/>
    <w:rsid w:val="00AC3BA3"/>
    <w:rsid w:val="00AC3C6C"/>
    <w:rsid w:val="00AC3EE4"/>
    <w:rsid w:val="00AC3EEF"/>
    <w:rsid w:val="00AC4030"/>
    <w:rsid w:val="00AC4180"/>
    <w:rsid w:val="00AC429E"/>
    <w:rsid w:val="00AC46CE"/>
    <w:rsid w:val="00AC473F"/>
    <w:rsid w:val="00AC4B39"/>
    <w:rsid w:val="00AC4CA7"/>
    <w:rsid w:val="00AC4CCC"/>
    <w:rsid w:val="00AC4E34"/>
    <w:rsid w:val="00AC4E7B"/>
    <w:rsid w:val="00AC4ECF"/>
    <w:rsid w:val="00AC4F74"/>
    <w:rsid w:val="00AC5147"/>
    <w:rsid w:val="00AC51C1"/>
    <w:rsid w:val="00AC540C"/>
    <w:rsid w:val="00AC56E8"/>
    <w:rsid w:val="00AC59EB"/>
    <w:rsid w:val="00AC5E2C"/>
    <w:rsid w:val="00AC6378"/>
    <w:rsid w:val="00AC6391"/>
    <w:rsid w:val="00AC64D0"/>
    <w:rsid w:val="00AC654B"/>
    <w:rsid w:val="00AC665C"/>
    <w:rsid w:val="00AC675E"/>
    <w:rsid w:val="00AC6969"/>
    <w:rsid w:val="00AC6E50"/>
    <w:rsid w:val="00AC6E89"/>
    <w:rsid w:val="00AC6EA2"/>
    <w:rsid w:val="00AC70BE"/>
    <w:rsid w:val="00AC74C3"/>
    <w:rsid w:val="00AC75F3"/>
    <w:rsid w:val="00AC7661"/>
    <w:rsid w:val="00AC7A56"/>
    <w:rsid w:val="00AC7B95"/>
    <w:rsid w:val="00AC7EB6"/>
    <w:rsid w:val="00AD0180"/>
    <w:rsid w:val="00AD03BC"/>
    <w:rsid w:val="00AD066B"/>
    <w:rsid w:val="00AD0A05"/>
    <w:rsid w:val="00AD0A0D"/>
    <w:rsid w:val="00AD103A"/>
    <w:rsid w:val="00AD1138"/>
    <w:rsid w:val="00AD122E"/>
    <w:rsid w:val="00AD1241"/>
    <w:rsid w:val="00AD1448"/>
    <w:rsid w:val="00AD178D"/>
    <w:rsid w:val="00AD1798"/>
    <w:rsid w:val="00AD17B4"/>
    <w:rsid w:val="00AD17EE"/>
    <w:rsid w:val="00AD1814"/>
    <w:rsid w:val="00AD1832"/>
    <w:rsid w:val="00AD1D03"/>
    <w:rsid w:val="00AD1E1E"/>
    <w:rsid w:val="00AD1E95"/>
    <w:rsid w:val="00AD1ED5"/>
    <w:rsid w:val="00AD2066"/>
    <w:rsid w:val="00AD218B"/>
    <w:rsid w:val="00AD2378"/>
    <w:rsid w:val="00AD2415"/>
    <w:rsid w:val="00AD2426"/>
    <w:rsid w:val="00AD24B4"/>
    <w:rsid w:val="00AD27B9"/>
    <w:rsid w:val="00AD2C1A"/>
    <w:rsid w:val="00AD2CAB"/>
    <w:rsid w:val="00AD3040"/>
    <w:rsid w:val="00AD346D"/>
    <w:rsid w:val="00AD3598"/>
    <w:rsid w:val="00AD3674"/>
    <w:rsid w:val="00AD3960"/>
    <w:rsid w:val="00AD3A02"/>
    <w:rsid w:val="00AD3B25"/>
    <w:rsid w:val="00AD3B5C"/>
    <w:rsid w:val="00AD3B95"/>
    <w:rsid w:val="00AD3BA7"/>
    <w:rsid w:val="00AD3BBD"/>
    <w:rsid w:val="00AD3BF1"/>
    <w:rsid w:val="00AD3C5B"/>
    <w:rsid w:val="00AD3F12"/>
    <w:rsid w:val="00AD4843"/>
    <w:rsid w:val="00AD49DF"/>
    <w:rsid w:val="00AD49EA"/>
    <w:rsid w:val="00AD49FA"/>
    <w:rsid w:val="00AD4C31"/>
    <w:rsid w:val="00AD51A8"/>
    <w:rsid w:val="00AD525B"/>
    <w:rsid w:val="00AD53CA"/>
    <w:rsid w:val="00AD53DC"/>
    <w:rsid w:val="00AD550A"/>
    <w:rsid w:val="00AD55B6"/>
    <w:rsid w:val="00AD5832"/>
    <w:rsid w:val="00AD590B"/>
    <w:rsid w:val="00AD5928"/>
    <w:rsid w:val="00AD5BF3"/>
    <w:rsid w:val="00AD60D5"/>
    <w:rsid w:val="00AD64B3"/>
    <w:rsid w:val="00AD65E6"/>
    <w:rsid w:val="00AD67A7"/>
    <w:rsid w:val="00AD6902"/>
    <w:rsid w:val="00AD6E17"/>
    <w:rsid w:val="00AD6ED6"/>
    <w:rsid w:val="00AD7032"/>
    <w:rsid w:val="00AD7201"/>
    <w:rsid w:val="00AD7446"/>
    <w:rsid w:val="00AD7721"/>
    <w:rsid w:val="00AD7879"/>
    <w:rsid w:val="00AD78A8"/>
    <w:rsid w:val="00AD78F5"/>
    <w:rsid w:val="00AD7B47"/>
    <w:rsid w:val="00AD7D5A"/>
    <w:rsid w:val="00AD7DA2"/>
    <w:rsid w:val="00AE007D"/>
    <w:rsid w:val="00AE04C9"/>
    <w:rsid w:val="00AE080D"/>
    <w:rsid w:val="00AE0846"/>
    <w:rsid w:val="00AE0A2E"/>
    <w:rsid w:val="00AE0A35"/>
    <w:rsid w:val="00AE0D38"/>
    <w:rsid w:val="00AE0E20"/>
    <w:rsid w:val="00AE0F46"/>
    <w:rsid w:val="00AE0FA0"/>
    <w:rsid w:val="00AE0FA1"/>
    <w:rsid w:val="00AE10E3"/>
    <w:rsid w:val="00AE1222"/>
    <w:rsid w:val="00AE1385"/>
    <w:rsid w:val="00AE139B"/>
    <w:rsid w:val="00AE160A"/>
    <w:rsid w:val="00AE16B4"/>
    <w:rsid w:val="00AE1BC7"/>
    <w:rsid w:val="00AE1D3E"/>
    <w:rsid w:val="00AE1E15"/>
    <w:rsid w:val="00AE1FEA"/>
    <w:rsid w:val="00AE20AD"/>
    <w:rsid w:val="00AE21C2"/>
    <w:rsid w:val="00AE21FE"/>
    <w:rsid w:val="00AE227C"/>
    <w:rsid w:val="00AE22B2"/>
    <w:rsid w:val="00AE2398"/>
    <w:rsid w:val="00AE25B3"/>
    <w:rsid w:val="00AE2865"/>
    <w:rsid w:val="00AE2922"/>
    <w:rsid w:val="00AE2988"/>
    <w:rsid w:val="00AE2B34"/>
    <w:rsid w:val="00AE2CD7"/>
    <w:rsid w:val="00AE31FF"/>
    <w:rsid w:val="00AE3221"/>
    <w:rsid w:val="00AE32F9"/>
    <w:rsid w:val="00AE3426"/>
    <w:rsid w:val="00AE361B"/>
    <w:rsid w:val="00AE3642"/>
    <w:rsid w:val="00AE3874"/>
    <w:rsid w:val="00AE39A8"/>
    <w:rsid w:val="00AE3AC5"/>
    <w:rsid w:val="00AE3FDB"/>
    <w:rsid w:val="00AE41B0"/>
    <w:rsid w:val="00AE4209"/>
    <w:rsid w:val="00AE425C"/>
    <w:rsid w:val="00AE4342"/>
    <w:rsid w:val="00AE43F2"/>
    <w:rsid w:val="00AE45DA"/>
    <w:rsid w:val="00AE4612"/>
    <w:rsid w:val="00AE4665"/>
    <w:rsid w:val="00AE4866"/>
    <w:rsid w:val="00AE48CA"/>
    <w:rsid w:val="00AE49BF"/>
    <w:rsid w:val="00AE4B43"/>
    <w:rsid w:val="00AE4B72"/>
    <w:rsid w:val="00AE4F6B"/>
    <w:rsid w:val="00AE5118"/>
    <w:rsid w:val="00AE518D"/>
    <w:rsid w:val="00AE5367"/>
    <w:rsid w:val="00AE550E"/>
    <w:rsid w:val="00AE5949"/>
    <w:rsid w:val="00AE596A"/>
    <w:rsid w:val="00AE5A82"/>
    <w:rsid w:val="00AE5B52"/>
    <w:rsid w:val="00AE5BB5"/>
    <w:rsid w:val="00AE5CC9"/>
    <w:rsid w:val="00AE5CE6"/>
    <w:rsid w:val="00AE5DEF"/>
    <w:rsid w:val="00AE5F90"/>
    <w:rsid w:val="00AE6525"/>
    <w:rsid w:val="00AE6961"/>
    <w:rsid w:val="00AE69D6"/>
    <w:rsid w:val="00AE6A10"/>
    <w:rsid w:val="00AE6B34"/>
    <w:rsid w:val="00AE6F90"/>
    <w:rsid w:val="00AE7060"/>
    <w:rsid w:val="00AE7368"/>
    <w:rsid w:val="00AE749D"/>
    <w:rsid w:val="00AE758F"/>
    <w:rsid w:val="00AE7A47"/>
    <w:rsid w:val="00AE7A56"/>
    <w:rsid w:val="00AE7B56"/>
    <w:rsid w:val="00AE7B5A"/>
    <w:rsid w:val="00AE7CAF"/>
    <w:rsid w:val="00AE7F87"/>
    <w:rsid w:val="00AE7FA2"/>
    <w:rsid w:val="00AE7FFD"/>
    <w:rsid w:val="00AF0166"/>
    <w:rsid w:val="00AF0261"/>
    <w:rsid w:val="00AF0C52"/>
    <w:rsid w:val="00AF0F33"/>
    <w:rsid w:val="00AF0F83"/>
    <w:rsid w:val="00AF11D3"/>
    <w:rsid w:val="00AF11D7"/>
    <w:rsid w:val="00AF153A"/>
    <w:rsid w:val="00AF15C3"/>
    <w:rsid w:val="00AF1633"/>
    <w:rsid w:val="00AF1A55"/>
    <w:rsid w:val="00AF1C5C"/>
    <w:rsid w:val="00AF1F27"/>
    <w:rsid w:val="00AF1FFD"/>
    <w:rsid w:val="00AF2084"/>
    <w:rsid w:val="00AF2493"/>
    <w:rsid w:val="00AF255D"/>
    <w:rsid w:val="00AF25CC"/>
    <w:rsid w:val="00AF277F"/>
    <w:rsid w:val="00AF27FD"/>
    <w:rsid w:val="00AF2B80"/>
    <w:rsid w:val="00AF301F"/>
    <w:rsid w:val="00AF316F"/>
    <w:rsid w:val="00AF328A"/>
    <w:rsid w:val="00AF3483"/>
    <w:rsid w:val="00AF3508"/>
    <w:rsid w:val="00AF395C"/>
    <w:rsid w:val="00AF3A82"/>
    <w:rsid w:val="00AF3C02"/>
    <w:rsid w:val="00AF3F05"/>
    <w:rsid w:val="00AF442E"/>
    <w:rsid w:val="00AF4746"/>
    <w:rsid w:val="00AF4B33"/>
    <w:rsid w:val="00AF4BBD"/>
    <w:rsid w:val="00AF516B"/>
    <w:rsid w:val="00AF521D"/>
    <w:rsid w:val="00AF533D"/>
    <w:rsid w:val="00AF53C7"/>
    <w:rsid w:val="00AF5452"/>
    <w:rsid w:val="00AF5458"/>
    <w:rsid w:val="00AF55C4"/>
    <w:rsid w:val="00AF575B"/>
    <w:rsid w:val="00AF5BEB"/>
    <w:rsid w:val="00AF5CF3"/>
    <w:rsid w:val="00AF5ECB"/>
    <w:rsid w:val="00AF5ED0"/>
    <w:rsid w:val="00AF5EE2"/>
    <w:rsid w:val="00AF64A9"/>
    <w:rsid w:val="00AF65A9"/>
    <w:rsid w:val="00AF6639"/>
    <w:rsid w:val="00AF687B"/>
    <w:rsid w:val="00AF6AF9"/>
    <w:rsid w:val="00AF6B1B"/>
    <w:rsid w:val="00AF7012"/>
    <w:rsid w:val="00AF7263"/>
    <w:rsid w:val="00AF72D3"/>
    <w:rsid w:val="00AF7315"/>
    <w:rsid w:val="00AF7385"/>
    <w:rsid w:val="00AF7543"/>
    <w:rsid w:val="00AF766B"/>
    <w:rsid w:val="00AF781F"/>
    <w:rsid w:val="00AF7843"/>
    <w:rsid w:val="00AF7891"/>
    <w:rsid w:val="00AF7DDC"/>
    <w:rsid w:val="00AF7EC7"/>
    <w:rsid w:val="00AF7EE7"/>
    <w:rsid w:val="00AF9600"/>
    <w:rsid w:val="00B00210"/>
    <w:rsid w:val="00B00620"/>
    <w:rsid w:val="00B00651"/>
    <w:rsid w:val="00B006F7"/>
    <w:rsid w:val="00B00939"/>
    <w:rsid w:val="00B00C6B"/>
    <w:rsid w:val="00B00C86"/>
    <w:rsid w:val="00B0108F"/>
    <w:rsid w:val="00B01103"/>
    <w:rsid w:val="00B01838"/>
    <w:rsid w:val="00B0199E"/>
    <w:rsid w:val="00B02068"/>
    <w:rsid w:val="00B02073"/>
    <w:rsid w:val="00B022C4"/>
    <w:rsid w:val="00B02714"/>
    <w:rsid w:val="00B0282B"/>
    <w:rsid w:val="00B028BF"/>
    <w:rsid w:val="00B02EA8"/>
    <w:rsid w:val="00B02F76"/>
    <w:rsid w:val="00B03063"/>
    <w:rsid w:val="00B0348F"/>
    <w:rsid w:val="00B0394E"/>
    <w:rsid w:val="00B03B6A"/>
    <w:rsid w:val="00B03DB2"/>
    <w:rsid w:val="00B03DE7"/>
    <w:rsid w:val="00B04063"/>
    <w:rsid w:val="00B04092"/>
    <w:rsid w:val="00B04148"/>
    <w:rsid w:val="00B043AF"/>
    <w:rsid w:val="00B0457B"/>
    <w:rsid w:val="00B04586"/>
    <w:rsid w:val="00B04614"/>
    <w:rsid w:val="00B04862"/>
    <w:rsid w:val="00B04A18"/>
    <w:rsid w:val="00B04A9B"/>
    <w:rsid w:val="00B04B3B"/>
    <w:rsid w:val="00B04DDC"/>
    <w:rsid w:val="00B051A8"/>
    <w:rsid w:val="00B053C4"/>
    <w:rsid w:val="00B05678"/>
    <w:rsid w:val="00B05777"/>
    <w:rsid w:val="00B058A0"/>
    <w:rsid w:val="00B058F1"/>
    <w:rsid w:val="00B05A7C"/>
    <w:rsid w:val="00B05B57"/>
    <w:rsid w:val="00B05ECD"/>
    <w:rsid w:val="00B05FD4"/>
    <w:rsid w:val="00B06264"/>
    <w:rsid w:val="00B062AF"/>
    <w:rsid w:val="00B066F3"/>
    <w:rsid w:val="00B066F5"/>
    <w:rsid w:val="00B06713"/>
    <w:rsid w:val="00B06778"/>
    <w:rsid w:val="00B06BD4"/>
    <w:rsid w:val="00B06EC7"/>
    <w:rsid w:val="00B06FEB"/>
    <w:rsid w:val="00B06FEC"/>
    <w:rsid w:val="00B070B4"/>
    <w:rsid w:val="00B07169"/>
    <w:rsid w:val="00B071A6"/>
    <w:rsid w:val="00B07267"/>
    <w:rsid w:val="00B072C1"/>
    <w:rsid w:val="00B0743A"/>
    <w:rsid w:val="00B07553"/>
    <w:rsid w:val="00B076B9"/>
    <w:rsid w:val="00B0781C"/>
    <w:rsid w:val="00B0789B"/>
    <w:rsid w:val="00B07CBB"/>
    <w:rsid w:val="00B07DCC"/>
    <w:rsid w:val="00B07F86"/>
    <w:rsid w:val="00B10115"/>
    <w:rsid w:val="00B10392"/>
    <w:rsid w:val="00B1043F"/>
    <w:rsid w:val="00B10478"/>
    <w:rsid w:val="00B10488"/>
    <w:rsid w:val="00B104DA"/>
    <w:rsid w:val="00B104F9"/>
    <w:rsid w:val="00B1066D"/>
    <w:rsid w:val="00B106E3"/>
    <w:rsid w:val="00B10736"/>
    <w:rsid w:val="00B10799"/>
    <w:rsid w:val="00B10843"/>
    <w:rsid w:val="00B1093D"/>
    <w:rsid w:val="00B109E0"/>
    <w:rsid w:val="00B10BD8"/>
    <w:rsid w:val="00B10CCD"/>
    <w:rsid w:val="00B10FBD"/>
    <w:rsid w:val="00B1104B"/>
    <w:rsid w:val="00B111AE"/>
    <w:rsid w:val="00B112F9"/>
    <w:rsid w:val="00B115D8"/>
    <w:rsid w:val="00B11728"/>
    <w:rsid w:val="00B1187E"/>
    <w:rsid w:val="00B118CF"/>
    <w:rsid w:val="00B119E0"/>
    <w:rsid w:val="00B12226"/>
    <w:rsid w:val="00B1231D"/>
    <w:rsid w:val="00B12459"/>
    <w:rsid w:val="00B12536"/>
    <w:rsid w:val="00B1256F"/>
    <w:rsid w:val="00B126E1"/>
    <w:rsid w:val="00B128D0"/>
    <w:rsid w:val="00B12A56"/>
    <w:rsid w:val="00B12A5C"/>
    <w:rsid w:val="00B12E97"/>
    <w:rsid w:val="00B12EDA"/>
    <w:rsid w:val="00B13085"/>
    <w:rsid w:val="00B1316A"/>
    <w:rsid w:val="00B1325B"/>
    <w:rsid w:val="00B132F3"/>
    <w:rsid w:val="00B135CF"/>
    <w:rsid w:val="00B1361C"/>
    <w:rsid w:val="00B13757"/>
    <w:rsid w:val="00B13828"/>
    <w:rsid w:val="00B13BE9"/>
    <w:rsid w:val="00B140A5"/>
    <w:rsid w:val="00B14610"/>
    <w:rsid w:val="00B14752"/>
    <w:rsid w:val="00B14823"/>
    <w:rsid w:val="00B14A80"/>
    <w:rsid w:val="00B14D1C"/>
    <w:rsid w:val="00B14EA2"/>
    <w:rsid w:val="00B152B1"/>
    <w:rsid w:val="00B154BB"/>
    <w:rsid w:val="00B15541"/>
    <w:rsid w:val="00B15ACD"/>
    <w:rsid w:val="00B15B57"/>
    <w:rsid w:val="00B15B65"/>
    <w:rsid w:val="00B15C07"/>
    <w:rsid w:val="00B15C14"/>
    <w:rsid w:val="00B15D86"/>
    <w:rsid w:val="00B15FB0"/>
    <w:rsid w:val="00B160AA"/>
    <w:rsid w:val="00B160FE"/>
    <w:rsid w:val="00B1616E"/>
    <w:rsid w:val="00B162DF"/>
    <w:rsid w:val="00B16629"/>
    <w:rsid w:val="00B16831"/>
    <w:rsid w:val="00B169A0"/>
    <w:rsid w:val="00B16B3A"/>
    <w:rsid w:val="00B16C99"/>
    <w:rsid w:val="00B16D1C"/>
    <w:rsid w:val="00B16D4C"/>
    <w:rsid w:val="00B17453"/>
    <w:rsid w:val="00B176FA"/>
    <w:rsid w:val="00B178AA"/>
    <w:rsid w:val="00B17952"/>
    <w:rsid w:val="00B179B8"/>
    <w:rsid w:val="00B179ED"/>
    <w:rsid w:val="00B17B23"/>
    <w:rsid w:val="00B17DB5"/>
    <w:rsid w:val="00B17FE8"/>
    <w:rsid w:val="00B2044E"/>
    <w:rsid w:val="00B2046B"/>
    <w:rsid w:val="00B20547"/>
    <w:rsid w:val="00B2063B"/>
    <w:rsid w:val="00B20752"/>
    <w:rsid w:val="00B208BE"/>
    <w:rsid w:val="00B208E7"/>
    <w:rsid w:val="00B20AFC"/>
    <w:rsid w:val="00B20DEA"/>
    <w:rsid w:val="00B20F1A"/>
    <w:rsid w:val="00B21084"/>
    <w:rsid w:val="00B2110C"/>
    <w:rsid w:val="00B212DF"/>
    <w:rsid w:val="00B21382"/>
    <w:rsid w:val="00B213DC"/>
    <w:rsid w:val="00B216B2"/>
    <w:rsid w:val="00B218B8"/>
    <w:rsid w:val="00B21984"/>
    <w:rsid w:val="00B21C6B"/>
    <w:rsid w:val="00B21F85"/>
    <w:rsid w:val="00B220A8"/>
    <w:rsid w:val="00B220D2"/>
    <w:rsid w:val="00B2214B"/>
    <w:rsid w:val="00B223AF"/>
    <w:rsid w:val="00B225F7"/>
    <w:rsid w:val="00B2266F"/>
    <w:rsid w:val="00B227F7"/>
    <w:rsid w:val="00B22937"/>
    <w:rsid w:val="00B2295B"/>
    <w:rsid w:val="00B22988"/>
    <w:rsid w:val="00B22A73"/>
    <w:rsid w:val="00B22C0B"/>
    <w:rsid w:val="00B22C59"/>
    <w:rsid w:val="00B22C62"/>
    <w:rsid w:val="00B22D1A"/>
    <w:rsid w:val="00B2310A"/>
    <w:rsid w:val="00B23153"/>
    <w:rsid w:val="00B231E7"/>
    <w:rsid w:val="00B232A1"/>
    <w:rsid w:val="00B23379"/>
    <w:rsid w:val="00B23464"/>
    <w:rsid w:val="00B23486"/>
    <w:rsid w:val="00B23537"/>
    <w:rsid w:val="00B2355E"/>
    <w:rsid w:val="00B23567"/>
    <w:rsid w:val="00B2366C"/>
    <w:rsid w:val="00B23691"/>
    <w:rsid w:val="00B239BF"/>
    <w:rsid w:val="00B239EE"/>
    <w:rsid w:val="00B23A8F"/>
    <w:rsid w:val="00B23C6F"/>
    <w:rsid w:val="00B23E61"/>
    <w:rsid w:val="00B23F8D"/>
    <w:rsid w:val="00B23FE7"/>
    <w:rsid w:val="00B242AB"/>
    <w:rsid w:val="00B24333"/>
    <w:rsid w:val="00B243EC"/>
    <w:rsid w:val="00B244CE"/>
    <w:rsid w:val="00B246F2"/>
    <w:rsid w:val="00B2472A"/>
    <w:rsid w:val="00B24765"/>
    <w:rsid w:val="00B247DB"/>
    <w:rsid w:val="00B2484D"/>
    <w:rsid w:val="00B248E2"/>
    <w:rsid w:val="00B249EC"/>
    <w:rsid w:val="00B24C8F"/>
    <w:rsid w:val="00B24E8B"/>
    <w:rsid w:val="00B24E9A"/>
    <w:rsid w:val="00B25067"/>
    <w:rsid w:val="00B251C8"/>
    <w:rsid w:val="00B2528E"/>
    <w:rsid w:val="00B252C0"/>
    <w:rsid w:val="00B2531C"/>
    <w:rsid w:val="00B25531"/>
    <w:rsid w:val="00B25570"/>
    <w:rsid w:val="00B256B3"/>
    <w:rsid w:val="00B25723"/>
    <w:rsid w:val="00B2579F"/>
    <w:rsid w:val="00B259C6"/>
    <w:rsid w:val="00B25B28"/>
    <w:rsid w:val="00B25D60"/>
    <w:rsid w:val="00B25DED"/>
    <w:rsid w:val="00B260A8"/>
    <w:rsid w:val="00B261D0"/>
    <w:rsid w:val="00B26339"/>
    <w:rsid w:val="00B265B9"/>
    <w:rsid w:val="00B2667B"/>
    <w:rsid w:val="00B2667E"/>
    <w:rsid w:val="00B266A1"/>
    <w:rsid w:val="00B26747"/>
    <w:rsid w:val="00B26E50"/>
    <w:rsid w:val="00B26EDE"/>
    <w:rsid w:val="00B26FBE"/>
    <w:rsid w:val="00B2794C"/>
    <w:rsid w:val="00B2799B"/>
    <w:rsid w:val="00B27D8B"/>
    <w:rsid w:val="00B30146"/>
    <w:rsid w:val="00B301CE"/>
    <w:rsid w:val="00B302D7"/>
    <w:rsid w:val="00B3054D"/>
    <w:rsid w:val="00B3077B"/>
    <w:rsid w:val="00B308DA"/>
    <w:rsid w:val="00B308E5"/>
    <w:rsid w:val="00B309BD"/>
    <w:rsid w:val="00B30B2A"/>
    <w:rsid w:val="00B30B46"/>
    <w:rsid w:val="00B30BC6"/>
    <w:rsid w:val="00B30E25"/>
    <w:rsid w:val="00B30EB7"/>
    <w:rsid w:val="00B30F69"/>
    <w:rsid w:val="00B30FBB"/>
    <w:rsid w:val="00B30FC4"/>
    <w:rsid w:val="00B310D3"/>
    <w:rsid w:val="00B3153F"/>
    <w:rsid w:val="00B3191D"/>
    <w:rsid w:val="00B31B3A"/>
    <w:rsid w:val="00B32353"/>
    <w:rsid w:val="00B32446"/>
    <w:rsid w:val="00B327DD"/>
    <w:rsid w:val="00B327F5"/>
    <w:rsid w:val="00B329F8"/>
    <w:rsid w:val="00B32A5E"/>
    <w:rsid w:val="00B32A71"/>
    <w:rsid w:val="00B32DAA"/>
    <w:rsid w:val="00B32DCD"/>
    <w:rsid w:val="00B32E20"/>
    <w:rsid w:val="00B32EEE"/>
    <w:rsid w:val="00B32F98"/>
    <w:rsid w:val="00B335AB"/>
    <w:rsid w:val="00B335D5"/>
    <w:rsid w:val="00B33621"/>
    <w:rsid w:val="00B336D7"/>
    <w:rsid w:val="00B337EA"/>
    <w:rsid w:val="00B33AEC"/>
    <w:rsid w:val="00B33BC3"/>
    <w:rsid w:val="00B33BE7"/>
    <w:rsid w:val="00B33C99"/>
    <w:rsid w:val="00B33CED"/>
    <w:rsid w:val="00B33E6E"/>
    <w:rsid w:val="00B34141"/>
    <w:rsid w:val="00B34200"/>
    <w:rsid w:val="00B34324"/>
    <w:rsid w:val="00B3438E"/>
    <w:rsid w:val="00B34673"/>
    <w:rsid w:val="00B346A1"/>
    <w:rsid w:val="00B3470E"/>
    <w:rsid w:val="00B34722"/>
    <w:rsid w:val="00B347A3"/>
    <w:rsid w:val="00B34894"/>
    <w:rsid w:val="00B34DF7"/>
    <w:rsid w:val="00B34E7B"/>
    <w:rsid w:val="00B34FCC"/>
    <w:rsid w:val="00B352E9"/>
    <w:rsid w:val="00B35454"/>
    <w:rsid w:val="00B35518"/>
    <w:rsid w:val="00B35671"/>
    <w:rsid w:val="00B35868"/>
    <w:rsid w:val="00B35A85"/>
    <w:rsid w:val="00B35C8D"/>
    <w:rsid w:val="00B360C5"/>
    <w:rsid w:val="00B361FA"/>
    <w:rsid w:val="00B36291"/>
    <w:rsid w:val="00B36349"/>
    <w:rsid w:val="00B36574"/>
    <w:rsid w:val="00B36A0F"/>
    <w:rsid w:val="00B36ADB"/>
    <w:rsid w:val="00B36B41"/>
    <w:rsid w:val="00B36BE3"/>
    <w:rsid w:val="00B36C25"/>
    <w:rsid w:val="00B36CE1"/>
    <w:rsid w:val="00B36D80"/>
    <w:rsid w:val="00B36E54"/>
    <w:rsid w:val="00B36E67"/>
    <w:rsid w:val="00B3700D"/>
    <w:rsid w:val="00B37445"/>
    <w:rsid w:val="00B376EA"/>
    <w:rsid w:val="00B37806"/>
    <w:rsid w:val="00B37A12"/>
    <w:rsid w:val="00B37B39"/>
    <w:rsid w:val="00B37BF0"/>
    <w:rsid w:val="00B37C23"/>
    <w:rsid w:val="00B37CB7"/>
    <w:rsid w:val="00B37F2D"/>
    <w:rsid w:val="00B40303"/>
    <w:rsid w:val="00B4049D"/>
    <w:rsid w:val="00B405BF"/>
    <w:rsid w:val="00B40837"/>
    <w:rsid w:val="00B409BE"/>
    <w:rsid w:val="00B40A06"/>
    <w:rsid w:val="00B40B0B"/>
    <w:rsid w:val="00B40BBF"/>
    <w:rsid w:val="00B40D3C"/>
    <w:rsid w:val="00B4100D"/>
    <w:rsid w:val="00B415F0"/>
    <w:rsid w:val="00B416E6"/>
    <w:rsid w:val="00B41937"/>
    <w:rsid w:val="00B41972"/>
    <w:rsid w:val="00B41999"/>
    <w:rsid w:val="00B41BD4"/>
    <w:rsid w:val="00B41CE1"/>
    <w:rsid w:val="00B41DE5"/>
    <w:rsid w:val="00B41F39"/>
    <w:rsid w:val="00B4211A"/>
    <w:rsid w:val="00B4244A"/>
    <w:rsid w:val="00B42620"/>
    <w:rsid w:val="00B427BB"/>
    <w:rsid w:val="00B428B6"/>
    <w:rsid w:val="00B42993"/>
    <w:rsid w:val="00B42BCC"/>
    <w:rsid w:val="00B42CEB"/>
    <w:rsid w:val="00B42E8E"/>
    <w:rsid w:val="00B42F0D"/>
    <w:rsid w:val="00B42FA7"/>
    <w:rsid w:val="00B434EF"/>
    <w:rsid w:val="00B438C7"/>
    <w:rsid w:val="00B4398E"/>
    <w:rsid w:val="00B439CF"/>
    <w:rsid w:val="00B43BDC"/>
    <w:rsid w:val="00B43D21"/>
    <w:rsid w:val="00B43EEF"/>
    <w:rsid w:val="00B43FA1"/>
    <w:rsid w:val="00B44011"/>
    <w:rsid w:val="00B44177"/>
    <w:rsid w:val="00B441D8"/>
    <w:rsid w:val="00B44242"/>
    <w:rsid w:val="00B442C6"/>
    <w:rsid w:val="00B443A4"/>
    <w:rsid w:val="00B444CD"/>
    <w:rsid w:val="00B446F5"/>
    <w:rsid w:val="00B44886"/>
    <w:rsid w:val="00B449CD"/>
    <w:rsid w:val="00B44C30"/>
    <w:rsid w:val="00B44EBA"/>
    <w:rsid w:val="00B44FFF"/>
    <w:rsid w:val="00B45263"/>
    <w:rsid w:val="00B45292"/>
    <w:rsid w:val="00B454CB"/>
    <w:rsid w:val="00B45758"/>
    <w:rsid w:val="00B458B2"/>
    <w:rsid w:val="00B45A1D"/>
    <w:rsid w:val="00B46077"/>
    <w:rsid w:val="00B461EA"/>
    <w:rsid w:val="00B4644D"/>
    <w:rsid w:val="00B46576"/>
    <w:rsid w:val="00B4685A"/>
    <w:rsid w:val="00B469F1"/>
    <w:rsid w:val="00B46ABE"/>
    <w:rsid w:val="00B46B5F"/>
    <w:rsid w:val="00B46F14"/>
    <w:rsid w:val="00B46FEC"/>
    <w:rsid w:val="00B4726C"/>
    <w:rsid w:val="00B4731D"/>
    <w:rsid w:val="00B4736D"/>
    <w:rsid w:val="00B47452"/>
    <w:rsid w:val="00B475C0"/>
    <w:rsid w:val="00B476A3"/>
    <w:rsid w:val="00B4772C"/>
    <w:rsid w:val="00B47848"/>
    <w:rsid w:val="00B478E0"/>
    <w:rsid w:val="00B47977"/>
    <w:rsid w:val="00B47C76"/>
    <w:rsid w:val="00B47D26"/>
    <w:rsid w:val="00B47F88"/>
    <w:rsid w:val="00B47F8B"/>
    <w:rsid w:val="00B47FF4"/>
    <w:rsid w:val="00B50046"/>
    <w:rsid w:val="00B501DE"/>
    <w:rsid w:val="00B50242"/>
    <w:rsid w:val="00B502F6"/>
    <w:rsid w:val="00B50331"/>
    <w:rsid w:val="00B503C0"/>
    <w:rsid w:val="00B50433"/>
    <w:rsid w:val="00B50635"/>
    <w:rsid w:val="00B506F5"/>
    <w:rsid w:val="00B508FD"/>
    <w:rsid w:val="00B509AF"/>
    <w:rsid w:val="00B509C9"/>
    <w:rsid w:val="00B50C6C"/>
    <w:rsid w:val="00B50E26"/>
    <w:rsid w:val="00B50FCE"/>
    <w:rsid w:val="00B51112"/>
    <w:rsid w:val="00B51279"/>
    <w:rsid w:val="00B512F4"/>
    <w:rsid w:val="00B5134F"/>
    <w:rsid w:val="00B51462"/>
    <w:rsid w:val="00B5155C"/>
    <w:rsid w:val="00B515CA"/>
    <w:rsid w:val="00B5174B"/>
    <w:rsid w:val="00B51976"/>
    <w:rsid w:val="00B519A9"/>
    <w:rsid w:val="00B51CF9"/>
    <w:rsid w:val="00B51DE0"/>
    <w:rsid w:val="00B51DEA"/>
    <w:rsid w:val="00B51E86"/>
    <w:rsid w:val="00B521CE"/>
    <w:rsid w:val="00B522EF"/>
    <w:rsid w:val="00B5233C"/>
    <w:rsid w:val="00B5273E"/>
    <w:rsid w:val="00B52781"/>
    <w:rsid w:val="00B5285C"/>
    <w:rsid w:val="00B52903"/>
    <w:rsid w:val="00B52981"/>
    <w:rsid w:val="00B52A19"/>
    <w:rsid w:val="00B52A47"/>
    <w:rsid w:val="00B52BCF"/>
    <w:rsid w:val="00B52CAE"/>
    <w:rsid w:val="00B52E08"/>
    <w:rsid w:val="00B52E99"/>
    <w:rsid w:val="00B52EEA"/>
    <w:rsid w:val="00B53058"/>
    <w:rsid w:val="00B5331E"/>
    <w:rsid w:val="00B5366B"/>
    <w:rsid w:val="00B53817"/>
    <w:rsid w:val="00B53826"/>
    <w:rsid w:val="00B539FB"/>
    <w:rsid w:val="00B53E01"/>
    <w:rsid w:val="00B53E3F"/>
    <w:rsid w:val="00B53EAB"/>
    <w:rsid w:val="00B53EE8"/>
    <w:rsid w:val="00B53F6B"/>
    <w:rsid w:val="00B53F89"/>
    <w:rsid w:val="00B543B7"/>
    <w:rsid w:val="00B544BE"/>
    <w:rsid w:val="00B545E8"/>
    <w:rsid w:val="00B54843"/>
    <w:rsid w:val="00B548C7"/>
    <w:rsid w:val="00B54A1A"/>
    <w:rsid w:val="00B54A30"/>
    <w:rsid w:val="00B54C8C"/>
    <w:rsid w:val="00B54F83"/>
    <w:rsid w:val="00B551C2"/>
    <w:rsid w:val="00B55212"/>
    <w:rsid w:val="00B556EC"/>
    <w:rsid w:val="00B55776"/>
    <w:rsid w:val="00B558E7"/>
    <w:rsid w:val="00B55930"/>
    <w:rsid w:val="00B559B8"/>
    <w:rsid w:val="00B55AD2"/>
    <w:rsid w:val="00B55B7A"/>
    <w:rsid w:val="00B55BA9"/>
    <w:rsid w:val="00B55BAF"/>
    <w:rsid w:val="00B55C12"/>
    <w:rsid w:val="00B55C29"/>
    <w:rsid w:val="00B55C69"/>
    <w:rsid w:val="00B55D35"/>
    <w:rsid w:val="00B55FF5"/>
    <w:rsid w:val="00B5604D"/>
    <w:rsid w:val="00B56427"/>
    <w:rsid w:val="00B56774"/>
    <w:rsid w:val="00B5678E"/>
    <w:rsid w:val="00B5690D"/>
    <w:rsid w:val="00B56B49"/>
    <w:rsid w:val="00B56C35"/>
    <w:rsid w:val="00B56CAD"/>
    <w:rsid w:val="00B571A2"/>
    <w:rsid w:val="00B5733E"/>
    <w:rsid w:val="00B5769F"/>
    <w:rsid w:val="00B57718"/>
    <w:rsid w:val="00B57A49"/>
    <w:rsid w:val="00B57A58"/>
    <w:rsid w:val="00B57BEA"/>
    <w:rsid w:val="00B57C8B"/>
    <w:rsid w:val="00B57DAF"/>
    <w:rsid w:val="00B57ECE"/>
    <w:rsid w:val="00B6007D"/>
    <w:rsid w:val="00B60141"/>
    <w:rsid w:val="00B601D3"/>
    <w:rsid w:val="00B6024B"/>
    <w:rsid w:val="00B6042F"/>
    <w:rsid w:val="00B6047A"/>
    <w:rsid w:val="00B604F4"/>
    <w:rsid w:val="00B60537"/>
    <w:rsid w:val="00B607A0"/>
    <w:rsid w:val="00B60800"/>
    <w:rsid w:val="00B608C2"/>
    <w:rsid w:val="00B60A9A"/>
    <w:rsid w:val="00B60CDD"/>
    <w:rsid w:val="00B60DE0"/>
    <w:rsid w:val="00B60E4D"/>
    <w:rsid w:val="00B60EF4"/>
    <w:rsid w:val="00B60FDA"/>
    <w:rsid w:val="00B61103"/>
    <w:rsid w:val="00B6115F"/>
    <w:rsid w:val="00B613FD"/>
    <w:rsid w:val="00B614C7"/>
    <w:rsid w:val="00B6178A"/>
    <w:rsid w:val="00B61974"/>
    <w:rsid w:val="00B61A86"/>
    <w:rsid w:val="00B61ACB"/>
    <w:rsid w:val="00B61F2C"/>
    <w:rsid w:val="00B61FC2"/>
    <w:rsid w:val="00B6235B"/>
    <w:rsid w:val="00B623C1"/>
    <w:rsid w:val="00B62697"/>
    <w:rsid w:val="00B6287E"/>
    <w:rsid w:val="00B62A21"/>
    <w:rsid w:val="00B62AF3"/>
    <w:rsid w:val="00B62B2B"/>
    <w:rsid w:val="00B62E00"/>
    <w:rsid w:val="00B63066"/>
    <w:rsid w:val="00B63152"/>
    <w:rsid w:val="00B63387"/>
    <w:rsid w:val="00B633A9"/>
    <w:rsid w:val="00B63551"/>
    <w:rsid w:val="00B63591"/>
    <w:rsid w:val="00B63970"/>
    <w:rsid w:val="00B63A79"/>
    <w:rsid w:val="00B63EC8"/>
    <w:rsid w:val="00B63EDE"/>
    <w:rsid w:val="00B63F19"/>
    <w:rsid w:val="00B645A1"/>
    <w:rsid w:val="00B646B9"/>
    <w:rsid w:val="00B64795"/>
    <w:rsid w:val="00B64827"/>
    <w:rsid w:val="00B6482E"/>
    <w:rsid w:val="00B64ABE"/>
    <w:rsid w:val="00B64DD4"/>
    <w:rsid w:val="00B651CD"/>
    <w:rsid w:val="00B654D0"/>
    <w:rsid w:val="00B65715"/>
    <w:rsid w:val="00B659E8"/>
    <w:rsid w:val="00B65AE2"/>
    <w:rsid w:val="00B6633C"/>
    <w:rsid w:val="00B663CE"/>
    <w:rsid w:val="00B665A6"/>
    <w:rsid w:val="00B66725"/>
    <w:rsid w:val="00B668B0"/>
    <w:rsid w:val="00B66CD2"/>
    <w:rsid w:val="00B66D78"/>
    <w:rsid w:val="00B66F7A"/>
    <w:rsid w:val="00B67028"/>
    <w:rsid w:val="00B6709D"/>
    <w:rsid w:val="00B671A1"/>
    <w:rsid w:val="00B67283"/>
    <w:rsid w:val="00B67395"/>
    <w:rsid w:val="00B67546"/>
    <w:rsid w:val="00B675A1"/>
    <w:rsid w:val="00B6786D"/>
    <w:rsid w:val="00B67A22"/>
    <w:rsid w:val="00B67C3C"/>
    <w:rsid w:val="00B67C61"/>
    <w:rsid w:val="00B67D87"/>
    <w:rsid w:val="00B67DAA"/>
    <w:rsid w:val="00B70029"/>
    <w:rsid w:val="00B70048"/>
    <w:rsid w:val="00B70217"/>
    <w:rsid w:val="00B7035D"/>
    <w:rsid w:val="00B703AC"/>
    <w:rsid w:val="00B704F4"/>
    <w:rsid w:val="00B7057F"/>
    <w:rsid w:val="00B70669"/>
    <w:rsid w:val="00B70704"/>
    <w:rsid w:val="00B7096E"/>
    <w:rsid w:val="00B70B29"/>
    <w:rsid w:val="00B70B7C"/>
    <w:rsid w:val="00B70D12"/>
    <w:rsid w:val="00B70E5D"/>
    <w:rsid w:val="00B70EF6"/>
    <w:rsid w:val="00B70FB9"/>
    <w:rsid w:val="00B7123F"/>
    <w:rsid w:val="00B71252"/>
    <w:rsid w:val="00B713EC"/>
    <w:rsid w:val="00B7187F"/>
    <w:rsid w:val="00B71CC1"/>
    <w:rsid w:val="00B71E2B"/>
    <w:rsid w:val="00B7206F"/>
    <w:rsid w:val="00B72153"/>
    <w:rsid w:val="00B7217F"/>
    <w:rsid w:val="00B723CC"/>
    <w:rsid w:val="00B7247F"/>
    <w:rsid w:val="00B724C3"/>
    <w:rsid w:val="00B725F2"/>
    <w:rsid w:val="00B727E5"/>
    <w:rsid w:val="00B72A87"/>
    <w:rsid w:val="00B72B8F"/>
    <w:rsid w:val="00B72BA1"/>
    <w:rsid w:val="00B72C98"/>
    <w:rsid w:val="00B72E67"/>
    <w:rsid w:val="00B72ED8"/>
    <w:rsid w:val="00B72F4E"/>
    <w:rsid w:val="00B73206"/>
    <w:rsid w:val="00B73346"/>
    <w:rsid w:val="00B7350A"/>
    <w:rsid w:val="00B73645"/>
    <w:rsid w:val="00B73682"/>
    <w:rsid w:val="00B73768"/>
    <w:rsid w:val="00B73787"/>
    <w:rsid w:val="00B7392A"/>
    <w:rsid w:val="00B739B0"/>
    <w:rsid w:val="00B739D1"/>
    <w:rsid w:val="00B73B3D"/>
    <w:rsid w:val="00B73E10"/>
    <w:rsid w:val="00B73E63"/>
    <w:rsid w:val="00B73F9F"/>
    <w:rsid w:val="00B740C3"/>
    <w:rsid w:val="00B740DD"/>
    <w:rsid w:val="00B741FF"/>
    <w:rsid w:val="00B7426F"/>
    <w:rsid w:val="00B74387"/>
    <w:rsid w:val="00B7439E"/>
    <w:rsid w:val="00B746AA"/>
    <w:rsid w:val="00B747DE"/>
    <w:rsid w:val="00B7480A"/>
    <w:rsid w:val="00B74A24"/>
    <w:rsid w:val="00B74C5C"/>
    <w:rsid w:val="00B74C73"/>
    <w:rsid w:val="00B74DEA"/>
    <w:rsid w:val="00B74EFC"/>
    <w:rsid w:val="00B74FE8"/>
    <w:rsid w:val="00B7502F"/>
    <w:rsid w:val="00B75137"/>
    <w:rsid w:val="00B75172"/>
    <w:rsid w:val="00B75705"/>
    <w:rsid w:val="00B757F1"/>
    <w:rsid w:val="00B758A4"/>
    <w:rsid w:val="00B75A05"/>
    <w:rsid w:val="00B75BAC"/>
    <w:rsid w:val="00B75D9F"/>
    <w:rsid w:val="00B75EE3"/>
    <w:rsid w:val="00B76107"/>
    <w:rsid w:val="00B76337"/>
    <w:rsid w:val="00B7661E"/>
    <w:rsid w:val="00B766CB"/>
    <w:rsid w:val="00B76833"/>
    <w:rsid w:val="00B76CE5"/>
    <w:rsid w:val="00B76F54"/>
    <w:rsid w:val="00B770AC"/>
    <w:rsid w:val="00B7721B"/>
    <w:rsid w:val="00B773D6"/>
    <w:rsid w:val="00B77516"/>
    <w:rsid w:val="00B77519"/>
    <w:rsid w:val="00B7753D"/>
    <w:rsid w:val="00B7772A"/>
    <w:rsid w:val="00B77887"/>
    <w:rsid w:val="00B778D7"/>
    <w:rsid w:val="00B7798E"/>
    <w:rsid w:val="00B77AB9"/>
    <w:rsid w:val="00B77C5D"/>
    <w:rsid w:val="00B77C72"/>
    <w:rsid w:val="00B77ED0"/>
    <w:rsid w:val="00B80081"/>
    <w:rsid w:val="00B800A0"/>
    <w:rsid w:val="00B8015A"/>
    <w:rsid w:val="00B801B8"/>
    <w:rsid w:val="00B805D3"/>
    <w:rsid w:val="00B80BDB"/>
    <w:rsid w:val="00B80CEF"/>
    <w:rsid w:val="00B80F87"/>
    <w:rsid w:val="00B80FB1"/>
    <w:rsid w:val="00B80FE4"/>
    <w:rsid w:val="00B81054"/>
    <w:rsid w:val="00B810AD"/>
    <w:rsid w:val="00B810C0"/>
    <w:rsid w:val="00B81137"/>
    <w:rsid w:val="00B81147"/>
    <w:rsid w:val="00B81229"/>
    <w:rsid w:val="00B81302"/>
    <w:rsid w:val="00B8135A"/>
    <w:rsid w:val="00B813C7"/>
    <w:rsid w:val="00B81402"/>
    <w:rsid w:val="00B81506"/>
    <w:rsid w:val="00B817CB"/>
    <w:rsid w:val="00B8197F"/>
    <w:rsid w:val="00B819E1"/>
    <w:rsid w:val="00B81A76"/>
    <w:rsid w:val="00B81B02"/>
    <w:rsid w:val="00B81DEA"/>
    <w:rsid w:val="00B82068"/>
    <w:rsid w:val="00B8215F"/>
    <w:rsid w:val="00B821CD"/>
    <w:rsid w:val="00B822F8"/>
    <w:rsid w:val="00B8230E"/>
    <w:rsid w:val="00B8242D"/>
    <w:rsid w:val="00B82471"/>
    <w:rsid w:val="00B82527"/>
    <w:rsid w:val="00B82537"/>
    <w:rsid w:val="00B8262D"/>
    <w:rsid w:val="00B82691"/>
    <w:rsid w:val="00B82740"/>
    <w:rsid w:val="00B82900"/>
    <w:rsid w:val="00B82AC8"/>
    <w:rsid w:val="00B82B1C"/>
    <w:rsid w:val="00B82CF2"/>
    <w:rsid w:val="00B83105"/>
    <w:rsid w:val="00B83449"/>
    <w:rsid w:val="00B835B2"/>
    <w:rsid w:val="00B836AA"/>
    <w:rsid w:val="00B83769"/>
    <w:rsid w:val="00B8387A"/>
    <w:rsid w:val="00B83A7A"/>
    <w:rsid w:val="00B83B2F"/>
    <w:rsid w:val="00B83D8D"/>
    <w:rsid w:val="00B83EE7"/>
    <w:rsid w:val="00B84048"/>
    <w:rsid w:val="00B844B4"/>
    <w:rsid w:val="00B844D1"/>
    <w:rsid w:val="00B84523"/>
    <w:rsid w:val="00B84578"/>
    <w:rsid w:val="00B8484F"/>
    <w:rsid w:val="00B84B19"/>
    <w:rsid w:val="00B84D18"/>
    <w:rsid w:val="00B84EAE"/>
    <w:rsid w:val="00B84FA1"/>
    <w:rsid w:val="00B85059"/>
    <w:rsid w:val="00B851DC"/>
    <w:rsid w:val="00B85212"/>
    <w:rsid w:val="00B85572"/>
    <w:rsid w:val="00B856B2"/>
    <w:rsid w:val="00B8589A"/>
    <w:rsid w:val="00B85BA7"/>
    <w:rsid w:val="00B85C84"/>
    <w:rsid w:val="00B85CCA"/>
    <w:rsid w:val="00B85CD5"/>
    <w:rsid w:val="00B85DD2"/>
    <w:rsid w:val="00B85EE0"/>
    <w:rsid w:val="00B85F5D"/>
    <w:rsid w:val="00B85F82"/>
    <w:rsid w:val="00B8603B"/>
    <w:rsid w:val="00B86054"/>
    <w:rsid w:val="00B86105"/>
    <w:rsid w:val="00B86152"/>
    <w:rsid w:val="00B86240"/>
    <w:rsid w:val="00B86298"/>
    <w:rsid w:val="00B864F4"/>
    <w:rsid w:val="00B86A89"/>
    <w:rsid w:val="00B86EE6"/>
    <w:rsid w:val="00B87065"/>
    <w:rsid w:val="00B870E5"/>
    <w:rsid w:val="00B87A43"/>
    <w:rsid w:val="00B87B63"/>
    <w:rsid w:val="00B87B92"/>
    <w:rsid w:val="00B87C02"/>
    <w:rsid w:val="00B87D10"/>
    <w:rsid w:val="00B87DBE"/>
    <w:rsid w:val="00B87FA0"/>
    <w:rsid w:val="00B90081"/>
    <w:rsid w:val="00B900D3"/>
    <w:rsid w:val="00B901A8"/>
    <w:rsid w:val="00B90519"/>
    <w:rsid w:val="00B9061D"/>
    <w:rsid w:val="00B90675"/>
    <w:rsid w:val="00B90711"/>
    <w:rsid w:val="00B90836"/>
    <w:rsid w:val="00B90904"/>
    <w:rsid w:val="00B90B95"/>
    <w:rsid w:val="00B90CCF"/>
    <w:rsid w:val="00B90D34"/>
    <w:rsid w:val="00B90D5A"/>
    <w:rsid w:val="00B90DDE"/>
    <w:rsid w:val="00B90E37"/>
    <w:rsid w:val="00B90E55"/>
    <w:rsid w:val="00B910F3"/>
    <w:rsid w:val="00B91289"/>
    <w:rsid w:val="00B913EF"/>
    <w:rsid w:val="00B91469"/>
    <w:rsid w:val="00B91566"/>
    <w:rsid w:val="00B915F5"/>
    <w:rsid w:val="00B91BD9"/>
    <w:rsid w:val="00B920E7"/>
    <w:rsid w:val="00B92162"/>
    <w:rsid w:val="00B921B1"/>
    <w:rsid w:val="00B926CB"/>
    <w:rsid w:val="00B927CE"/>
    <w:rsid w:val="00B9281F"/>
    <w:rsid w:val="00B92889"/>
    <w:rsid w:val="00B92F02"/>
    <w:rsid w:val="00B931F9"/>
    <w:rsid w:val="00B93389"/>
    <w:rsid w:val="00B93647"/>
    <w:rsid w:val="00B93659"/>
    <w:rsid w:val="00B9372D"/>
    <w:rsid w:val="00B93B57"/>
    <w:rsid w:val="00B93CE2"/>
    <w:rsid w:val="00B93DC5"/>
    <w:rsid w:val="00B93F7F"/>
    <w:rsid w:val="00B94064"/>
    <w:rsid w:val="00B94262"/>
    <w:rsid w:val="00B94704"/>
    <w:rsid w:val="00B947B4"/>
    <w:rsid w:val="00B94826"/>
    <w:rsid w:val="00B94B3A"/>
    <w:rsid w:val="00B94C0D"/>
    <w:rsid w:val="00B94CE3"/>
    <w:rsid w:val="00B94D9F"/>
    <w:rsid w:val="00B94EB9"/>
    <w:rsid w:val="00B94F03"/>
    <w:rsid w:val="00B95023"/>
    <w:rsid w:val="00B95101"/>
    <w:rsid w:val="00B95109"/>
    <w:rsid w:val="00B9513C"/>
    <w:rsid w:val="00B9523A"/>
    <w:rsid w:val="00B9547C"/>
    <w:rsid w:val="00B9577F"/>
    <w:rsid w:val="00B95888"/>
    <w:rsid w:val="00B95A5E"/>
    <w:rsid w:val="00B95BBB"/>
    <w:rsid w:val="00B95C6B"/>
    <w:rsid w:val="00B95CBC"/>
    <w:rsid w:val="00B95CE4"/>
    <w:rsid w:val="00B95DBD"/>
    <w:rsid w:val="00B95E29"/>
    <w:rsid w:val="00B95E42"/>
    <w:rsid w:val="00B95EF2"/>
    <w:rsid w:val="00B95EF8"/>
    <w:rsid w:val="00B96230"/>
    <w:rsid w:val="00B962E4"/>
    <w:rsid w:val="00B9658D"/>
    <w:rsid w:val="00B9694C"/>
    <w:rsid w:val="00B96A1B"/>
    <w:rsid w:val="00B96BD2"/>
    <w:rsid w:val="00B96D08"/>
    <w:rsid w:val="00B96DA3"/>
    <w:rsid w:val="00B971EA"/>
    <w:rsid w:val="00B97289"/>
    <w:rsid w:val="00B973D2"/>
    <w:rsid w:val="00B97437"/>
    <w:rsid w:val="00B9767F"/>
    <w:rsid w:val="00B97D4F"/>
    <w:rsid w:val="00B97DD0"/>
    <w:rsid w:val="00B97E71"/>
    <w:rsid w:val="00B97E90"/>
    <w:rsid w:val="00B97EB8"/>
    <w:rsid w:val="00B97F15"/>
    <w:rsid w:val="00B97F5E"/>
    <w:rsid w:val="00BA0267"/>
    <w:rsid w:val="00BA02A0"/>
    <w:rsid w:val="00BA033D"/>
    <w:rsid w:val="00BA0476"/>
    <w:rsid w:val="00BA052E"/>
    <w:rsid w:val="00BA05A6"/>
    <w:rsid w:val="00BA067A"/>
    <w:rsid w:val="00BA0839"/>
    <w:rsid w:val="00BA0857"/>
    <w:rsid w:val="00BA0871"/>
    <w:rsid w:val="00BA08BE"/>
    <w:rsid w:val="00BA09B3"/>
    <w:rsid w:val="00BA0AE5"/>
    <w:rsid w:val="00BA0D6B"/>
    <w:rsid w:val="00BA10E8"/>
    <w:rsid w:val="00BA1375"/>
    <w:rsid w:val="00BA1443"/>
    <w:rsid w:val="00BA15DF"/>
    <w:rsid w:val="00BA1634"/>
    <w:rsid w:val="00BA16A1"/>
    <w:rsid w:val="00BA1721"/>
    <w:rsid w:val="00BA1784"/>
    <w:rsid w:val="00BA17D8"/>
    <w:rsid w:val="00BA187C"/>
    <w:rsid w:val="00BA1C67"/>
    <w:rsid w:val="00BA1CE0"/>
    <w:rsid w:val="00BA1D8C"/>
    <w:rsid w:val="00BA1E17"/>
    <w:rsid w:val="00BA2124"/>
    <w:rsid w:val="00BA258D"/>
    <w:rsid w:val="00BA25C2"/>
    <w:rsid w:val="00BA25F3"/>
    <w:rsid w:val="00BA2825"/>
    <w:rsid w:val="00BA2896"/>
    <w:rsid w:val="00BA2904"/>
    <w:rsid w:val="00BA2AB8"/>
    <w:rsid w:val="00BA2CF4"/>
    <w:rsid w:val="00BA2DF9"/>
    <w:rsid w:val="00BA3075"/>
    <w:rsid w:val="00BA30A1"/>
    <w:rsid w:val="00BA3311"/>
    <w:rsid w:val="00BA35CD"/>
    <w:rsid w:val="00BA387B"/>
    <w:rsid w:val="00BA3882"/>
    <w:rsid w:val="00BA3A6A"/>
    <w:rsid w:val="00BA3AA9"/>
    <w:rsid w:val="00BA3B13"/>
    <w:rsid w:val="00BA3B4C"/>
    <w:rsid w:val="00BA3E4A"/>
    <w:rsid w:val="00BA3EB2"/>
    <w:rsid w:val="00BA3EC4"/>
    <w:rsid w:val="00BA41E9"/>
    <w:rsid w:val="00BA43E0"/>
    <w:rsid w:val="00BA4405"/>
    <w:rsid w:val="00BA45FF"/>
    <w:rsid w:val="00BA471E"/>
    <w:rsid w:val="00BA4771"/>
    <w:rsid w:val="00BA4B04"/>
    <w:rsid w:val="00BA4B7F"/>
    <w:rsid w:val="00BA4EC9"/>
    <w:rsid w:val="00BA5038"/>
    <w:rsid w:val="00BA5345"/>
    <w:rsid w:val="00BA5523"/>
    <w:rsid w:val="00BA5A7D"/>
    <w:rsid w:val="00BA5A92"/>
    <w:rsid w:val="00BA5A9A"/>
    <w:rsid w:val="00BA5B6F"/>
    <w:rsid w:val="00BA5BE6"/>
    <w:rsid w:val="00BA60BF"/>
    <w:rsid w:val="00BA617D"/>
    <w:rsid w:val="00BA619B"/>
    <w:rsid w:val="00BA626B"/>
    <w:rsid w:val="00BA6381"/>
    <w:rsid w:val="00BA6392"/>
    <w:rsid w:val="00BA64D5"/>
    <w:rsid w:val="00BA6533"/>
    <w:rsid w:val="00BA6688"/>
    <w:rsid w:val="00BA6BEF"/>
    <w:rsid w:val="00BA6CDE"/>
    <w:rsid w:val="00BA6EC7"/>
    <w:rsid w:val="00BA6FA2"/>
    <w:rsid w:val="00BA6FC0"/>
    <w:rsid w:val="00BA71DC"/>
    <w:rsid w:val="00BA7328"/>
    <w:rsid w:val="00BA7378"/>
    <w:rsid w:val="00BA7439"/>
    <w:rsid w:val="00BA78BC"/>
    <w:rsid w:val="00BA792D"/>
    <w:rsid w:val="00BA7A75"/>
    <w:rsid w:val="00BA7BB4"/>
    <w:rsid w:val="00BAA32E"/>
    <w:rsid w:val="00BB03DB"/>
    <w:rsid w:val="00BB0642"/>
    <w:rsid w:val="00BB070F"/>
    <w:rsid w:val="00BB0773"/>
    <w:rsid w:val="00BB07C3"/>
    <w:rsid w:val="00BB0B20"/>
    <w:rsid w:val="00BB0BED"/>
    <w:rsid w:val="00BB10A1"/>
    <w:rsid w:val="00BB1245"/>
    <w:rsid w:val="00BB1415"/>
    <w:rsid w:val="00BB153B"/>
    <w:rsid w:val="00BB1BC4"/>
    <w:rsid w:val="00BB1C2A"/>
    <w:rsid w:val="00BB1D14"/>
    <w:rsid w:val="00BB1D2D"/>
    <w:rsid w:val="00BB2048"/>
    <w:rsid w:val="00BB2079"/>
    <w:rsid w:val="00BB2141"/>
    <w:rsid w:val="00BB228A"/>
    <w:rsid w:val="00BB2505"/>
    <w:rsid w:val="00BB28A6"/>
    <w:rsid w:val="00BB2911"/>
    <w:rsid w:val="00BB2949"/>
    <w:rsid w:val="00BB2AC8"/>
    <w:rsid w:val="00BB3179"/>
    <w:rsid w:val="00BB3196"/>
    <w:rsid w:val="00BB31E9"/>
    <w:rsid w:val="00BB3276"/>
    <w:rsid w:val="00BB3309"/>
    <w:rsid w:val="00BB3370"/>
    <w:rsid w:val="00BB3536"/>
    <w:rsid w:val="00BB3605"/>
    <w:rsid w:val="00BB3687"/>
    <w:rsid w:val="00BB3842"/>
    <w:rsid w:val="00BB3C9E"/>
    <w:rsid w:val="00BB3CDB"/>
    <w:rsid w:val="00BB3D6B"/>
    <w:rsid w:val="00BB3EF3"/>
    <w:rsid w:val="00BB3F7B"/>
    <w:rsid w:val="00BB429B"/>
    <w:rsid w:val="00BB441C"/>
    <w:rsid w:val="00BB478F"/>
    <w:rsid w:val="00BB47EB"/>
    <w:rsid w:val="00BB48D3"/>
    <w:rsid w:val="00BB49B5"/>
    <w:rsid w:val="00BB4B69"/>
    <w:rsid w:val="00BB52E6"/>
    <w:rsid w:val="00BB5450"/>
    <w:rsid w:val="00BB57C7"/>
    <w:rsid w:val="00BB59B0"/>
    <w:rsid w:val="00BB5B08"/>
    <w:rsid w:val="00BB5B53"/>
    <w:rsid w:val="00BB5C57"/>
    <w:rsid w:val="00BB5D80"/>
    <w:rsid w:val="00BB5F54"/>
    <w:rsid w:val="00BB5FB3"/>
    <w:rsid w:val="00BB6114"/>
    <w:rsid w:val="00BB6252"/>
    <w:rsid w:val="00BB6525"/>
    <w:rsid w:val="00BB6614"/>
    <w:rsid w:val="00BB6769"/>
    <w:rsid w:val="00BB68FD"/>
    <w:rsid w:val="00BB6984"/>
    <w:rsid w:val="00BB6A58"/>
    <w:rsid w:val="00BB6DE6"/>
    <w:rsid w:val="00BB6E36"/>
    <w:rsid w:val="00BB6E67"/>
    <w:rsid w:val="00BB7194"/>
    <w:rsid w:val="00BB721A"/>
    <w:rsid w:val="00BB723C"/>
    <w:rsid w:val="00BB74DA"/>
    <w:rsid w:val="00BB75EC"/>
    <w:rsid w:val="00BB7676"/>
    <w:rsid w:val="00BB78A7"/>
    <w:rsid w:val="00BB7A44"/>
    <w:rsid w:val="00BB7B82"/>
    <w:rsid w:val="00BB7C16"/>
    <w:rsid w:val="00BB7DC5"/>
    <w:rsid w:val="00BB7FA8"/>
    <w:rsid w:val="00BB7FB1"/>
    <w:rsid w:val="00BC0039"/>
    <w:rsid w:val="00BC00CA"/>
    <w:rsid w:val="00BC0643"/>
    <w:rsid w:val="00BC06CE"/>
    <w:rsid w:val="00BC0741"/>
    <w:rsid w:val="00BC0AC2"/>
    <w:rsid w:val="00BC0C1E"/>
    <w:rsid w:val="00BC1102"/>
    <w:rsid w:val="00BC12EE"/>
    <w:rsid w:val="00BC1449"/>
    <w:rsid w:val="00BC185B"/>
    <w:rsid w:val="00BC1866"/>
    <w:rsid w:val="00BC1BF4"/>
    <w:rsid w:val="00BC1DDD"/>
    <w:rsid w:val="00BC1E7B"/>
    <w:rsid w:val="00BC1F6B"/>
    <w:rsid w:val="00BC206B"/>
    <w:rsid w:val="00BC22DD"/>
    <w:rsid w:val="00BC2346"/>
    <w:rsid w:val="00BC241D"/>
    <w:rsid w:val="00BC2473"/>
    <w:rsid w:val="00BC259E"/>
    <w:rsid w:val="00BC2749"/>
    <w:rsid w:val="00BC2751"/>
    <w:rsid w:val="00BC27A9"/>
    <w:rsid w:val="00BC2827"/>
    <w:rsid w:val="00BC295D"/>
    <w:rsid w:val="00BC29E4"/>
    <w:rsid w:val="00BC2C26"/>
    <w:rsid w:val="00BC2D19"/>
    <w:rsid w:val="00BC32EE"/>
    <w:rsid w:val="00BC3389"/>
    <w:rsid w:val="00BC3419"/>
    <w:rsid w:val="00BC351C"/>
    <w:rsid w:val="00BC36B8"/>
    <w:rsid w:val="00BC36C4"/>
    <w:rsid w:val="00BC389E"/>
    <w:rsid w:val="00BC3C51"/>
    <w:rsid w:val="00BC3C9E"/>
    <w:rsid w:val="00BC3D82"/>
    <w:rsid w:val="00BC3DD3"/>
    <w:rsid w:val="00BC412E"/>
    <w:rsid w:val="00BC4147"/>
    <w:rsid w:val="00BC420A"/>
    <w:rsid w:val="00BC4218"/>
    <w:rsid w:val="00BC44D7"/>
    <w:rsid w:val="00BC48B9"/>
    <w:rsid w:val="00BC48C5"/>
    <w:rsid w:val="00BC494A"/>
    <w:rsid w:val="00BC4A80"/>
    <w:rsid w:val="00BC4D23"/>
    <w:rsid w:val="00BC4E1E"/>
    <w:rsid w:val="00BC4E2E"/>
    <w:rsid w:val="00BC4EE7"/>
    <w:rsid w:val="00BC4F7B"/>
    <w:rsid w:val="00BC53AE"/>
    <w:rsid w:val="00BC5634"/>
    <w:rsid w:val="00BC5BBD"/>
    <w:rsid w:val="00BC5D38"/>
    <w:rsid w:val="00BC5D53"/>
    <w:rsid w:val="00BC60C3"/>
    <w:rsid w:val="00BC60E9"/>
    <w:rsid w:val="00BC60FA"/>
    <w:rsid w:val="00BC65B1"/>
    <w:rsid w:val="00BC66D3"/>
    <w:rsid w:val="00BC6757"/>
    <w:rsid w:val="00BC686D"/>
    <w:rsid w:val="00BC6955"/>
    <w:rsid w:val="00BC6CE5"/>
    <w:rsid w:val="00BC6E27"/>
    <w:rsid w:val="00BC6E2E"/>
    <w:rsid w:val="00BC711D"/>
    <w:rsid w:val="00BC723E"/>
    <w:rsid w:val="00BC7363"/>
    <w:rsid w:val="00BC7371"/>
    <w:rsid w:val="00BC7621"/>
    <w:rsid w:val="00BC77A9"/>
    <w:rsid w:val="00BC7AE0"/>
    <w:rsid w:val="00BC7BAD"/>
    <w:rsid w:val="00BC7BB3"/>
    <w:rsid w:val="00BC7C5F"/>
    <w:rsid w:val="00BC7CC0"/>
    <w:rsid w:val="00BD0041"/>
    <w:rsid w:val="00BD00F5"/>
    <w:rsid w:val="00BD01B4"/>
    <w:rsid w:val="00BD03A2"/>
    <w:rsid w:val="00BD065C"/>
    <w:rsid w:val="00BD06AE"/>
    <w:rsid w:val="00BD06B8"/>
    <w:rsid w:val="00BD0799"/>
    <w:rsid w:val="00BD08B8"/>
    <w:rsid w:val="00BD0C52"/>
    <w:rsid w:val="00BD0D49"/>
    <w:rsid w:val="00BD0E6C"/>
    <w:rsid w:val="00BD0EE2"/>
    <w:rsid w:val="00BD0FED"/>
    <w:rsid w:val="00BD109D"/>
    <w:rsid w:val="00BD1134"/>
    <w:rsid w:val="00BD12F5"/>
    <w:rsid w:val="00BD136D"/>
    <w:rsid w:val="00BD13FC"/>
    <w:rsid w:val="00BD141B"/>
    <w:rsid w:val="00BD1597"/>
    <w:rsid w:val="00BD15F6"/>
    <w:rsid w:val="00BD1A52"/>
    <w:rsid w:val="00BD1B4D"/>
    <w:rsid w:val="00BD1E25"/>
    <w:rsid w:val="00BD20E7"/>
    <w:rsid w:val="00BD213F"/>
    <w:rsid w:val="00BD22BD"/>
    <w:rsid w:val="00BD22D7"/>
    <w:rsid w:val="00BD247A"/>
    <w:rsid w:val="00BD2548"/>
    <w:rsid w:val="00BD297B"/>
    <w:rsid w:val="00BD2DCB"/>
    <w:rsid w:val="00BD2E7D"/>
    <w:rsid w:val="00BD3146"/>
    <w:rsid w:val="00BD325D"/>
    <w:rsid w:val="00BD32A7"/>
    <w:rsid w:val="00BD33C8"/>
    <w:rsid w:val="00BD34C9"/>
    <w:rsid w:val="00BD392A"/>
    <w:rsid w:val="00BD3AAA"/>
    <w:rsid w:val="00BD3B1E"/>
    <w:rsid w:val="00BD3F67"/>
    <w:rsid w:val="00BD406A"/>
    <w:rsid w:val="00BD40EA"/>
    <w:rsid w:val="00BD410F"/>
    <w:rsid w:val="00BD4173"/>
    <w:rsid w:val="00BD41DE"/>
    <w:rsid w:val="00BD4219"/>
    <w:rsid w:val="00BD4340"/>
    <w:rsid w:val="00BD44A0"/>
    <w:rsid w:val="00BD47C2"/>
    <w:rsid w:val="00BD4B5E"/>
    <w:rsid w:val="00BD4BE2"/>
    <w:rsid w:val="00BD4C1C"/>
    <w:rsid w:val="00BD4CBE"/>
    <w:rsid w:val="00BD4DAD"/>
    <w:rsid w:val="00BD504C"/>
    <w:rsid w:val="00BD530A"/>
    <w:rsid w:val="00BD5474"/>
    <w:rsid w:val="00BD55B8"/>
    <w:rsid w:val="00BD56CE"/>
    <w:rsid w:val="00BD5724"/>
    <w:rsid w:val="00BD57A9"/>
    <w:rsid w:val="00BD5A74"/>
    <w:rsid w:val="00BD5B09"/>
    <w:rsid w:val="00BD5E1D"/>
    <w:rsid w:val="00BD5E83"/>
    <w:rsid w:val="00BD5FC4"/>
    <w:rsid w:val="00BD5FF2"/>
    <w:rsid w:val="00BD62D5"/>
    <w:rsid w:val="00BD64A5"/>
    <w:rsid w:val="00BD6A08"/>
    <w:rsid w:val="00BD6AFF"/>
    <w:rsid w:val="00BD6C5B"/>
    <w:rsid w:val="00BD6FB3"/>
    <w:rsid w:val="00BD7218"/>
    <w:rsid w:val="00BD730E"/>
    <w:rsid w:val="00BD743B"/>
    <w:rsid w:val="00BD74E4"/>
    <w:rsid w:val="00BD75A5"/>
    <w:rsid w:val="00BD7694"/>
    <w:rsid w:val="00BD76F3"/>
    <w:rsid w:val="00BD7931"/>
    <w:rsid w:val="00BD7AA5"/>
    <w:rsid w:val="00BD7CB0"/>
    <w:rsid w:val="00BD7E3C"/>
    <w:rsid w:val="00BD7EA6"/>
    <w:rsid w:val="00BD7FA2"/>
    <w:rsid w:val="00BE0075"/>
    <w:rsid w:val="00BE0121"/>
    <w:rsid w:val="00BE019A"/>
    <w:rsid w:val="00BE01B8"/>
    <w:rsid w:val="00BE02F3"/>
    <w:rsid w:val="00BE0324"/>
    <w:rsid w:val="00BE04C2"/>
    <w:rsid w:val="00BE0568"/>
    <w:rsid w:val="00BE057B"/>
    <w:rsid w:val="00BE08FE"/>
    <w:rsid w:val="00BE0BBD"/>
    <w:rsid w:val="00BE110A"/>
    <w:rsid w:val="00BE11E7"/>
    <w:rsid w:val="00BE13EB"/>
    <w:rsid w:val="00BE183A"/>
    <w:rsid w:val="00BE1905"/>
    <w:rsid w:val="00BE1A08"/>
    <w:rsid w:val="00BE1C4A"/>
    <w:rsid w:val="00BE1D8B"/>
    <w:rsid w:val="00BE214B"/>
    <w:rsid w:val="00BE21F4"/>
    <w:rsid w:val="00BE2231"/>
    <w:rsid w:val="00BE2475"/>
    <w:rsid w:val="00BE2537"/>
    <w:rsid w:val="00BE25CC"/>
    <w:rsid w:val="00BE2753"/>
    <w:rsid w:val="00BE29B0"/>
    <w:rsid w:val="00BE2AEC"/>
    <w:rsid w:val="00BE2F36"/>
    <w:rsid w:val="00BE2F5C"/>
    <w:rsid w:val="00BE30F7"/>
    <w:rsid w:val="00BE3563"/>
    <w:rsid w:val="00BE362A"/>
    <w:rsid w:val="00BE3769"/>
    <w:rsid w:val="00BE37FA"/>
    <w:rsid w:val="00BE388D"/>
    <w:rsid w:val="00BE3B6E"/>
    <w:rsid w:val="00BE4062"/>
    <w:rsid w:val="00BE4260"/>
    <w:rsid w:val="00BE4528"/>
    <w:rsid w:val="00BE471C"/>
    <w:rsid w:val="00BE4A13"/>
    <w:rsid w:val="00BE4A52"/>
    <w:rsid w:val="00BE4D2C"/>
    <w:rsid w:val="00BE4E0C"/>
    <w:rsid w:val="00BE4E35"/>
    <w:rsid w:val="00BE509C"/>
    <w:rsid w:val="00BE56E9"/>
    <w:rsid w:val="00BE592F"/>
    <w:rsid w:val="00BE5A97"/>
    <w:rsid w:val="00BE5BB3"/>
    <w:rsid w:val="00BE5D11"/>
    <w:rsid w:val="00BE5E7A"/>
    <w:rsid w:val="00BE5EC5"/>
    <w:rsid w:val="00BE6183"/>
    <w:rsid w:val="00BE620A"/>
    <w:rsid w:val="00BE6497"/>
    <w:rsid w:val="00BE6579"/>
    <w:rsid w:val="00BE66E4"/>
    <w:rsid w:val="00BE670C"/>
    <w:rsid w:val="00BE686E"/>
    <w:rsid w:val="00BE6873"/>
    <w:rsid w:val="00BE6B6C"/>
    <w:rsid w:val="00BE6CED"/>
    <w:rsid w:val="00BE730F"/>
    <w:rsid w:val="00BE7543"/>
    <w:rsid w:val="00BE77EC"/>
    <w:rsid w:val="00BE7897"/>
    <w:rsid w:val="00BE7AA9"/>
    <w:rsid w:val="00BE7B57"/>
    <w:rsid w:val="00BE7DA6"/>
    <w:rsid w:val="00BE7E73"/>
    <w:rsid w:val="00BE7F93"/>
    <w:rsid w:val="00BF00B4"/>
    <w:rsid w:val="00BF06B4"/>
    <w:rsid w:val="00BF06B6"/>
    <w:rsid w:val="00BF07BF"/>
    <w:rsid w:val="00BF09E1"/>
    <w:rsid w:val="00BF0B10"/>
    <w:rsid w:val="00BF0B74"/>
    <w:rsid w:val="00BF0C28"/>
    <w:rsid w:val="00BF0EEE"/>
    <w:rsid w:val="00BF0F94"/>
    <w:rsid w:val="00BF1204"/>
    <w:rsid w:val="00BF129F"/>
    <w:rsid w:val="00BF12A8"/>
    <w:rsid w:val="00BF178E"/>
    <w:rsid w:val="00BF1797"/>
    <w:rsid w:val="00BF1921"/>
    <w:rsid w:val="00BF1B63"/>
    <w:rsid w:val="00BF1BE1"/>
    <w:rsid w:val="00BF1CBE"/>
    <w:rsid w:val="00BF1D64"/>
    <w:rsid w:val="00BF1D9B"/>
    <w:rsid w:val="00BF234A"/>
    <w:rsid w:val="00BF23D2"/>
    <w:rsid w:val="00BF248E"/>
    <w:rsid w:val="00BF270E"/>
    <w:rsid w:val="00BF2947"/>
    <w:rsid w:val="00BF2B25"/>
    <w:rsid w:val="00BF35D1"/>
    <w:rsid w:val="00BF3647"/>
    <w:rsid w:val="00BF3700"/>
    <w:rsid w:val="00BF38AC"/>
    <w:rsid w:val="00BF3978"/>
    <w:rsid w:val="00BF39BB"/>
    <w:rsid w:val="00BF3B1E"/>
    <w:rsid w:val="00BF3BE5"/>
    <w:rsid w:val="00BF3DFB"/>
    <w:rsid w:val="00BF3EFC"/>
    <w:rsid w:val="00BF43EB"/>
    <w:rsid w:val="00BF457D"/>
    <w:rsid w:val="00BF465B"/>
    <w:rsid w:val="00BF46E0"/>
    <w:rsid w:val="00BF4863"/>
    <w:rsid w:val="00BF49A6"/>
    <w:rsid w:val="00BF4A9E"/>
    <w:rsid w:val="00BF4C45"/>
    <w:rsid w:val="00BF4DB3"/>
    <w:rsid w:val="00BF4E04"/>
    <w:rsid w:val="00BF4FA3"/>
    <w:rsid w:val="00BF5054"/>
    <w:rsid w:val="00BF50F8"/>
    <w:rsid w:val="00BF5186"/>
    <w:rsid w:val="00BF53DC"/>
    <w:rsid w:val="00BF55BB"/>
    <w:rsid w:val="00BF565B"/>
    <w:rsid w:val="00BF597A"/>
    <w:rsid w:val="00BF5C33"/>
    <w:rsid w:val="00BF5C81"/>
    <w:rsid w:val="00BF6153"/>
    <w:rsid w:val="00BF6262"/>
    <w:rsid w:val="00BF643E"/>
    <w:rsid w:val="00BF65F1"/>
    <w:rsid w:val="00BF673A"/>
    <w:rsid w:val="00BF6804"/>
    <w:rsid w:val="00BF6939"/>
    <w:rsid w:val="00BF6A03"/>
    <w:rsid w:val="00BF6A27"/>
    <w:rsid w:val="00BF6A61"/>
    <w:rsid w:val="00BF6AA6"/>
    <w:rsid w:val="00BF6B91"/>
    <w:rsid w:val="00BF6B98"/>
    <w:rsid w:val="00BF6CCD"/>
    <w:rsid w:val="00BF71A9"/>
    <w:rsid w:val="00BF722E"/>
    <w:rsid w:val="00BF746D"/>
    <w:rsid w:val="00BF7530"/>
    <w:rsid w:val="00BF7598"/>
    <w:rsid w:val="00BF781C"/>
    <w:rsid w:val="00BF791C"/>
    <w:rsid w:val="00BF7D0C"/>
    <w:rsid w:val="00BF7E8E"/>
    <w:rsid w:val="00BF7FEF"/>
    <w:rsid w:val="00C001B6"/>
    <w:rsid w:val="00C0040B"/>
    <w:rsid w:val="00C0065C"/>
    <w:rsid w:val="00C00A2F"/>
    <w:rsid w:val="00C00D3A"/>
    <w:rsid w:val="00C00EF2"/>
    <w:rsid w:val="00C00F2B"/>
    <w:rsid w:val="00C00F4E"/>
    <w:rsid w:val="00C00F7D"/>
    <w:rsid w:val="00C00FA5"/>
    <w:rsid w:val="00C00FBA"/>
    <w:rsid w:val="00C01052"/>
    <w:rsid w:val="00C010B3"/>
    <w:rsid w:val="00C0128E"/>
    <w:rsid w:val="00C015D0"/>
    <w:rsid w:val="00C016AB"/>
    <w:rsid w:val="00C01827"/>
    <w:rsid w:val="00C01DBB"/>
    <w:rsid w:val="00C01E42"/>
    <w:rsid w:val="00C01ECC"/>
    <w:rsid w:val="00C01F1C"/>
    <w:rsid w:val="00C01F37"/>
    <w:rsid w:val="00C01FB5"/>
    <w:rsid w:val="00C0203C"/>
    <w:rsid w:val="00C020CB"/>
    <w:rsid w:val="00C022D7"/>
    <w:rsid w:val="00C023C4"/>
    <w:rsid w:val="00C02561"/>
    <w:rsid w:val="00C025E5"/>
    <w:rsid w:val="00C0263C"/>
    <w:rsid w:val="00C02C4F"/>
    <w:rsid w:val="00C02CD7"/>
    <w:rsid w:val="00C02E6F"/>
    <w:rsid w:val="00C02FCD"/>
    <w:rsid w:val="00C031C5"/>
    <w:rsid w:val="00C03313"/>
    <w:rsid w:val="00C0338A"/>
    <w:rsid w:val="00C0357C"/>
    <w:rsid w:val="00C035B9"/>
    <w:rsid w:val="00C0376E"/>
    <w:rsid w:val="00C03B58"/>
    <w:rsid w:val="00C03B76"/>
    <w:rsid w:val="00C04003"/>
    <w:rsid w:val="00C04053"/>
    <w:rsid w:val="00C040C3"/>
    <w:rsid w:val="00C040F9"/>
    <w:rsid w:val="00C042FD"/>
    <w:rsid w:val="00C04338"/>
    <w:rsid w:val="00C0437A"/>
    <w:rsid w:val="00C04719"/>
    <w:rsid w:val="00C0498E"/>
    <w:rsid w:val="00C04AF1"/>
    <w:rsid w:val="00C04B0C"/>
    <w:rsid w:val="00C04B70"/>
    <w:rsid w:val="00C04C4F"/>
    <w:rsid w:val="00C04CE4"/>
    <w:rsid w:val="00C04D2D"/>
    <w:rsid w:val="00C04DAF"/>
    <w:rsid w:val="00C04F8C"/>
    <w:rsid w:val="00C050C9"/>
    <w:rsid w:val="00C0511C"/>
    <w:rsid w:val="00C05270"/>
    <w:rsid w:val="00C0558F"/>
    <w:rsid w:val="00C055FD"/>
    <w:rsid w:val="00C0587F"/>
    <w:rsid w:val="00C0592A"/>
    <w:rsid w:val="00C05993"/>
    <w:rsid w:val="00C059F4"/>
    <w:rsid w:val="00C05BE6"/>
    <w:rsid w:val="00C05ED6"/>
    <w:rsid w:val="00C05EE3"/>
    <w:rsid w:val="00C05F6A"/>
    <w:rsid w:val="00C06373"/>
    <w:rsid w:val="00C0638C"/>
    <w:rsid w:val="00C06444"/>
    <w:rsid w:val="00C06712"/>
    <w:rsid w:val="00C06811"/>
    <w:rsid w:val="00C06923"/>
    <w:rsid w:val="00C06C43"/>
    <w:rsid w:val="00C06CB5"/>
    <w:rsid w:val="00C06D4F"/>
    <w:rsid w:val="00C072E4"/>
    <w:rsid w:val="00C072F9"/>
    <w:rsid w:val="00C07489"/>
    <w:rsid w:val="00C074D9"/>
    <w:rsid w:val="00C07569"/>
    <w:rsid w:val="00C0759F"/>
    <w:rsid w:val="00C07717"/>
    <w:rsid w:val="00C07921"/>
    <w:rsid w:val="00C07B1F"/>
    <w:rsid w:val="00C07E6B"/>
    <w:rsid w:val="00C1010A"/>
    <w:rsid w:val="00C10152"/>
    <w:rsid w:val="00C101C5"/>
    <w:rsid w:val="00C101FA"/>
    <w:rsid w:val="00C10204"/>
    <w:rsid w:val="00C10442"/>
    <w:rsid w:val="00C10764"/>
    <w:rsid w:val="00C109E2"/>
    <w:rsid w:val="00C10A07"/>
    <w:rsid w:val="00C10CA8"/>
    <w:rsid w:val="00C10D25"/>
    <w:rsid w:val="00C10D5B"/>
    <w:rsid w:val="00C1153A"/>
    <w:rsid w:val="00C11588"/>
    <w:rsid w:val="00C116C7"/>
    <w:rsid w:val="00C11986"/>
    <w:rsid w:val="00C11E09"/>
    <w:rsid w:val="00C11E1D"/>
    <w:rsid w:val="00C123D2"/>
    <w:rsid w:val="00C1246B"/>
    <w:rsid w:val="00C12526"/>
    <w:rsid w:val="00C12670"/>
    <w:rsid w:val="00C12701"/>
    <w:rsid w:val="00C1275A"/>
    <w:rsid w:val="00C12BE8"/>
    <w:rsid w:val="00C12C69"/>
    <w:rsid w:val="00C12DC8"/>
    <w:rsid w:val="00C12E57"/>
    <w:rsid w:val="00C12E65"/>
    <w:rsid w:val="00C12FCB"/>
    <w:rsid w:val="00C13045"/>
    <w:rsid w:val="00C13150"/>
    <w:rsid w:val="00C1341A"/>
    <w:rsid w:val="00C13480"/>
    <w:rsid w:val="00C13496"/>
    <w:rsid w:val="00C13645"/>
    <w:rsid w:val="00C13790"/>
    <w:rsid w:val="00C138F2"/>
    <w:rsid w:val="00C139A3"/>
    <w:rsid w:val="00C13A17"/>
    <w:rsid w:val="00C1457E"/>
    <w:rsid w:val="00C145A6"/>
    <w:rsid w:val="00C146BB"/>
    <w:rsid w:val="00C14801"/>
    <w:rsid w:val="00C14A83"/>
    <w:rsid w:val="00C14B16"/>
    <w:rsid w:val="00C14D52"/>
    <w:rsid w:val="00C14D97"/>
    <w:rsid w:val="00C15063"/>
    <w:rsid w:val="00C1515C"/>
    <w:rsid w:val="00C152EC"/>
    <w:rsid w:val="00C1558B"/>
    <w:rsid w:val="00C1559C"/>
    <w:rsid w:val="00C1560E"/>
    <w:rsid w:val="00C1563D"/>
    <w:rsid w:val="00C15756"/>
    <w:rsid w:val="00C1582A"/>
    <w:rsid w:val="00C15836"/>
    <w:rsid w:val="00C15B84"/>
    <w:rsid w:val="00C15DD9"/>
    <w:rsid w:val="00C15F46"/>
    <w:rsid w:val="00C161F7"/>
    <w:rsid w:val="00C1620C"/>
    <w:rsid w:val="00C162C5"/>
    <w:rsid w:val="00C16312"/>
    <w:rsid w:val="00C16352"/>
    <w:rsid w:val="00C163D9"/>
    <w:rsid w:val="00C164A6"/>
    <w:rsid w:val="00C16509"/>
    <w:rsid w:val="00C16625"/>
    <w:rsid w:val="00C16726"/>
    <w:rsid w:val="00C167D4"/>
    <w:rsid w:val="00C169BC"/>
    <w:rsid w:val="00C16B0C"/>
    <w:rsid w:val="00C16C53"/>
    <w:rsid w:val="00C16E0D"/>
    <w:rsid w:val="00C16E1E"/>
    <w:rsid w:val="00C16E2D"/>
    <w:rsid w:val="00C16E80"/>
    <w:rsid w:val="00C16EAD"/>
    <w:rsid w:val="00C17088"/>
    <w:rsid w:val="00C172B1"/>
    <w:rsid w:val="00C17697"/>
    <w:rsid w:val="00C179EB"/>
    <w:rsid w:val="00C17A20"/>
    <w:rsid w:val="00C17B63"/>
    <w:rsid w:val="00C17E49"/>
    <w:rsid w:val="00C17F39"/>
    <w:rsid w:val="00C20271"/>
    <w:rsid w:val="00C202C7"/>
    <w:rsid w:val="00C20478"/>
    <w:rsid w:val="00C2095C"/>
    <w:rsid w:val="00C20A73"/>
    <w:rsid w:val="00C20A7C"/>
    <w:rsid w:val="00C20EEB"/>
    <w:rsid w:val="00C20F1E"/>
    <w:rsid w:val="00C20FED"/>
    <w:rsid w:val="00C21025"/>
    <w:rsid w:val="00C21510"/>
    <w:rsid w:val="00C21759"/>
    <w:rsid w:val="00C21966"/>
    <w:rsid w:val="00C219C0"/>
    <w:rsid w:val="00C219D4"/>
    <w:rsid w:val="00C22024"/>
    <w:rsid w:val="00C220D8"/>
    <w:rsid w:val="00C221D0"/>
    <w:rsid w:val="00C22234"/>
    <w:rsid w:val="00C2225F"/>
    <w:rsid w:val="00C225FD"/>
    <w:rsid w:val="00C22B87"/>
    <w:rsid w:val="00C22BC0"/>
    <w:rsid w:val="00C22C39"/>
    <w:rsid w:val="00C2306A"/>
    <w:rsid w:val="00C23083"/>
    <w:rsid w:val="00C230BA"/>
    <w:rsid w:val="00C23253"/>
    <w:rsid w:val="00C234E6"/>
    <w:rsid w:val="00C234EA"/>
    <w:rsid w:val="00C23790"/>
    <w:rsid w:val="00C23907"/>
    <w:rsid w:val="00C23C19"/>
    <w:rsid w:val="00C23CE0"/>
    <w:rsid w:val="00C23F9E"/>
    <w:rsid w:val="00C23FED"/>
    <w:rsid w:val="00C24010"/>
    <w:rsid w:val="00C24144"/>
    <w:rsid w:val="00C241A6"/>
    <w:rsid w:val="00C241B1"/>
    <w:rsid w:val="00C2420B"/>
    <w:rsid w:val="00C2464A"/>
    <w:rsid w:val="00C246A7"/>
    <w:rsid w:val="00C2472D"/>
    <w:rsid w:val="00C247BF"/>
    <w:rsid w:val="00C248D6"/>
    <w:rsid w:val="00C2498C"/>
    <w:rsid w:val="00C24A12"/>
    <w:rsid w:val="00C24DF5"/>
    <w:rsid w:val="00C24F5D"/>
    <w:rsid w:val="00C250B3"/>
    <w:rsid w:val="00C2533B"/>
    <w:rsid w:val="00C2546D"/>
    <w:rsid w:val="00C25663"/>
    <w:rsid w:val="00C256A1"/>
    <w:rsid w:val="00C257AA"/>
    <w:rsid w:val="00C2584D"/>
    <w:rsid w:val="00C25DFA"/>
    <w:rsid w:val="00C25F41"/>
    <w:rsid w:val="00C26181"/>
    <w:rsid w:val="00C269A3"/>
    <w:rsid w:val="00C26BF9"/>
    <w:rsid w:val="00C26C16"/>
    <w:rsid w:val="00C26C41"/>
    <w:rsid w:val="00C26FBF"/>
    <w:rsid w:val="00C270C1"/>
    <w:rsid w:val="00C273C2"/>
    <w:rsid w:val="00C273FE"/>
    <w:rsid w:val="00C274F1"/>
    <w:rsid w:val="00C274F4"/>
    <w:rsid w:val="00C27981"/>
    <w:rsid w:val="00C27A1F"/>
    <w:rsid w:val="00C27ACC"/>
    <w:rsid w:val="00C27B66"/>
    <w:rsid w:val="00C27C49"/>
    <w:rsid w:val="00C27DAA"/>
    <w:rsid w:val="00C27DBE"/>
    <w:rsid w:val="00C300BF"/>
    <w:rsid w:val="00C301DB"/>
    <w:rsid w:val="00C30602"/>
    <w:rsid w:val="00C30668"/>
    <w:rsid w:val="00C30942"/>
    <w:rsid w:val="00C30A15"/>
    <w:rsid w:val="00C30BF1"/>
    <w:rsid w:val="00C30D81"/>
    <w:rsid w:val="00C30E14"/>
    <w:rsid w:val="00C30F6D"/>
    <w:rsid w:val="00C3102C"/>
    <w:rsid w:val="00C3123A"/>
    <w:rsid w:val="00C314D0"/>
    <w:rsid w:val="00C316EA"/>
    <w:rsid w:val="00C319BF"/>
    <w:rsid w:val="00C31A40"/>
    <w:rsid w:val="00C31B7A"/>
    <w:rsid w:val="00C31C95"/>
    <w:rsid w:val="00C3226C"/>
    <w:rsid w:val="00C327DA"/>
    <w:rsid w:val="00C32A35"/>
    <w:rsid w:val="00C32A6A"/>
    <w:rsid w:val="00C32B5F"/>
    <w:rsid w:val="00C32C06"/>
    <w:rsid w:val="00C330B3"/>
    <w:rsid w:val="00C33418"/>
    <w:rsid w:val="00C3352E"/>
    <w:rsid w:val="00C33705"/>
    <w:rsid w:val="00C33729"/>
    <w:rsid w:val="00C33883"/>
    <w:rsid w:val="00C339CF"/>
    <w:rsid w:val="00C33AB1"/>
    <w:rsid w:val="00C33D2E"/>
    <w:rsid w:val="00C33D88"/>
    <w:rsid w:val="00C33E8B"/>
    <w:rsid w:val="00C33FEC"/>
    <w:rsid w:val="00C33FF6"/>
    <w:rsid w:val="00C3450D"/>
    <w:rsid w:val="00C3452F"/>
    <w:rsid w:val="00C3463B"/>
    <w:rsid w:val="00C3463F"/>
    <w:rsid w:val="00C34A5E"/>
    <w:rsid w:val="00C34B72"/>
    <w:rsid w:val="00C34BCB"/>
    <w:rsid w:val="00C34C1C"/>
    <w:rsid w:val="00C34C4D"/>
    <w:rsid w:val="00C34CB6"/>
    <w:rsid w:val="00C34FBC"/>
    <w:rsid w:val="00C34FFA"/>
    <w:rsid w:val="00C350F4"/>
    <w:rsid w:val="00C35108"/>
    <w:rsid w:val="00C3515C"/>
    <w:rsid w:val="00C351FF"/>
    <w:rsid w:val="00C35249"/>
    <w:rsid w:val="00C354A3"/>
    <w:rsid w:val="00C354E6"/>
    <w:rsid w:val="00C3556F"/>
    <w:rsid w:val="00C35637"/>
    <w:rsid w:val="00C356F5"/>
    <w:rsid w:val="00C3583A"/>
    <w:rsid w:val="00C35AB9"/>
    <w:rsid w:val="00C35B42"/>
    <w:rsid w:val="00C35FB2"/>
    <w:rsid w:val="00C35FF7"/>
    <w:rsid w:val="00C36195"/>
    <w:rsid w:val="00C36328"/>
    <w:rsid w:val="00C363CA"/>
    <w:rsid w:val="00C364F0"/>
    <w:rsid w:val="00C36952"/>
    <w:rsid w:val="00C36C8E"/>
    <w:rsid w:val="00C36D78"/>
    <w:rsid w:val="00C37140"/>
    <w:rsid w:val="00C37449"/>
    <w:rsid w:val="00C3757E"/>
    <w:rsid w:val="00C375BD"/>
    <w:rsid w:val="00C379F1"/>
    <w:rsid w:val="00C37A40"/>
    <w:rsid w:val="00C37A4D"/>
    <w:rsid w:val="00C400A3"/>
    <w:rsid w:val="00C400F1"/>
    <w:rsid w:val="00C401C8"/>
    <w:rsid w:val="00C4034A"/>
    <w:rsid w:val="00C4034F"/>
    <w:rsid w:val="00C40401"/>
    <w:rsid w:val="00C40574"/>
    <w:rsid w:val="00C40793"/>
    <w:rsid w:val="00C408F1"/>
    <w:rsid w:val="00C40979"/>
    <w:rsid w:val="00C40A08"/>
    <w:rsid w:val="00C40B85"/>
    <w:rsid w:val="00C40EAA"/>
    <w:rsid w:val="00C41272"/>
    <w:rsid w:val="00C414C9"/>
    <w:rsid w:val="00C41651"/>
    <w:rsid w:val="00C41734"/>
    <w:rsid w:val="00C41741"/>
    <w:rsid w:val="00C419E6"/>
    <w:rsid w:val="00C419FA"/>
    <w:rsid w:val="00C41A7C"/>
    <w:rsid w:val="00C41AFE"/>
    <w:rsid w:val="00C41B0C"/>
    <w:rsid w:val="00C41BB1"/>
    <w:rsid w:val="00C41E2C"/>
    <w:rsid w:val="00C42054"/>
    <w:rsid w:val="00C42133"/>
    <w:rsid w:val="00C422C7"/>
    <w:rsid w:val="00C423B8"/>
    <w:rsid w:val="00C42486"/>
    <w:rsid w:val="00C42697"/>
    <w:rsid w:val="00C4285A"/>
    <w:rsid w:val="00C428B0"/>
    <w:rsid w:val="00C4299D"/>
    <w:rsid w:val="00C42AA4"/>
    <w:rsid w:val="00C42B3A"/>
    <w:rsid w:val="00C42C0C"/>
    <w:rsid w:val="00C42EEC"/>
    <w:rsid w:val="00C43084"/>
    <w:rsid w:val="00C43167"/>
    <w:rsid w:val="00C434E5"/>
    <w:rsid w:val="00C434EE"/>
    <w:rsid w:val="00C43712"/>
    <w:rsid w:val="00C438BF"/>
    <w:rsid w:val="00C439E2"/>
    <w:rsid w:val="00C43D41"/>
    <w:rsid w:val="00C43DE8"/>
    <w:rsid w:val="00C43E1F"/>
    <w:rsid w:val="00C43E96"/>
    <w:rsid w:val="00C43F4C"/>
    <w:rsid w:val="00C43FD1"/>
    <w:rsid w:val="00C44333"/>
    <w:rsid w:val="00C4444C"/>
    <w:rsid w:val="00C44479"/>
    <w:rsid w:val="00C4451C"/>
    <w:rsid w:val="00C4454D"/>
    <w:rsid w:val="00C4463E"/>
    <w:rsid w:val="00C44683"/>
    <w:rsid w:val="00C44750"/>
    <w:rsid w:val="00C448E4"/>
    <w:rsid w:val="00C4497C"/>
    <w:rsid w:val="00C44D3D"/>
    <w:rsid w:val="00C44DE4"/>
    <w:rsid w:val="00C44E9F"/>
    <w:rsid w:val="00C452C2"/>
    <w:rsid w:val="00C454B6"/>
    <w:rsid w:val="00C45896"/>
    <w:rsid w:val="00C459DD"/>
    <w:rsid w:val="00C45A7C"/>
    <w:rsid w:val="00C45B4F"/>
    <w:rsid w:val="00C45B8D"/>
    <w:rsid w:val="00C45D6D"/>
    <w:rsid w:val="00C45D70"/>
    <w:rsid w:val="00C45DFB"/>
    <w:rsid w:val="00C4603C"/>
    <w:rsid w:val="00C46074"/>
    <w:rsid w:val="00C460A0"/>
    <w:rsid w:val="00C46516"/>
    <w:rsid w:val="00C46517"/>
    <w:rsid w:val="00C46595"/>
    <w:rsid w:val="00C465C5"/>
    <w:rsid w:val="00C46B4F"/>
    <w:rsid w:val="00C46BCC"/>
    <w:rsid w:val="00C46C2E"/>
    <w:rsid w:val="00C46C8A"/>
    <w:rsid w:val="00C46C95"/>
    <w:rsid w:val="00C46DDE"/>
    <w:rsid w:val="00C46E23"/>
    <w:rsid w:val="00C46E68"/>
    <w:rsid w:val="00C46F04"/>
    <w:rsid w:val="00C46FE4"/>
    <w:rsid w:val="00C4718C"/>
    <w:rsid w:val="00C47282"/>
    <w:rsid w:val="00C477D2"/>
    <w:rsid w:val="00C47922"/>
    <w:rsid w:val="00C4794E"/>
    <w:rsid w:val="00C479D1"/>
    <w:rsid w:val="00C47A8F"/>
    <w:rsid w:val="00C47B90"/>
    <w:rsid w:val="00C47D3A"/>
    <w:rsid w:val="00C47EA7"/>
    <w:rsid w:val="00C47F42"/>
    <w:rsid w:val="00C4FD3E"/>
    <w:rsid w:val="00C5002C"/>
    <w:rsid w:val="00C501D5"/>
    <w:rsid w:val="00C5055E"/>
    <w:rsid w:val="00C5057C"/>
    <w:rsid w:val="00C50592"/>
    <w:rsid w:val="00C505F2"/>
    <w:rsid w:val="00C50666"/>
    <w:rsid w:val="00C506F3"/>
    <w:rsid w:val="00C5082D"/>
    <w:rsid w:val="00C508DE"/>
    <w:rsid w:val="00C509BA"/>
    <w:rsid w:val="00C50B62"/>
    <w:rsid w:val="00C50BF6"/>
    <w:rsid w:val="00C5142F"/>
    <w:rsid w:val="00C517C6"/>
    <w:rsid w:val="00C51841"/>
    <w:rsid w:val="00C518D5"/>
    <w:rsid w:val="00C51969"/>
    <w:rsid w:val="00C51A64"/>
    <w:rsid w:val="00C51D9B"/>
    <w:rsid w:val="00C52084"/>
    <w:rsid w:val="00C52104"/>
    <w:rsid w:val="00C52141"/>
    <w:rsid w:val="00C523B8"/>
    <w:rsid w:val="00C524AC"/>
    <w:rsid w:val="00C52941"/>
    <w:rsid w:val="00C52991"/>
    <w:rsid w:val="00C52A0A"/>
    <w:rsid w:val="00C52AF5"/>
    <w:rsid w:val="00C52D82"/>
    <w:rsid w:val="00C52D84"/>
    <w:rsid w:val="00C52D99"/>
    <w:rsid w:val="00C52DC9"/>
    <w:rsid w:val="00C5322D"/>
    <w:rsid w:val="00C53302"/>
    <w:rsid w:val="00C533CA"/>
    <w:rsid w:val="00C5378D"/>
    <w:rsid w:val="00C53AAE"/>
    <w:rsid w:val="00C53ABE"/>
    <w:rsid w:val="00C53C24"/>
    <w:rsid w:val="00C53C28"/>
    <w:rsid w:val="00C53DD0"/>
    <w:rsid w:val="00C53DDB"/>
    <w:rsid w:val="00C54301"/>
    <w:rsid w:val="00C5430A"/>
    <w:rsid w:val="00C5452C"/>
    <w:rsid w:val="00C545D5"/>
    <w:rsid w:val="00C54695"/>
    <w:rsid w:val="00C546FA"/>
    <w:rsid w:val="00C547C5"/>
    <w:rsid w:val="00C54C80"/>
    <w:rsid w:val="00C5501D"/>
    <w:rsid w:val="00C5517E"/>
    <w:rsid w:val="00C5528F"/>
    <w:rsid w:val="00C5544C"/>
    <w:rsid w:val="00C55511"/>
    <w:rsid w:val="00C556E2"/>
    <w:rsid w:val="00C557F4"/>
    <w:rsid w:val="00C55C4D"/>
    <w:rsid w:val="00C55D46"/>
    <w:rsid w:val="00C55F50"/>
    <w:rsid w:val="00C56025"/>
    <w:rsid w:val="00C56070"/>
    <w:rsid w:val="00C56071"/>
    <w:rsid w:val="00C56156"/>
    <w:rsid w:val="00C561F0"/>
    <w:rsid w:val="00C5637E"/>
    <w:rsid w:val="00C564DE"/>
    <w:rsid w:val="00C565E0"/>
    <w:rsid w:val="00C567F1"/>
    <w:rsid w:val="00C568CD"/>
    <w:rsid w:val="00C569BD"/>
    <w:rsid w:val="00C56A1D"/>
    <w:rsid w:val="00C56A5F"/>
    <w:rsid w:val="00C56B37"/>
    <w:rsid w:val="00C56BEE"/>
    <w:rsid w:val="00C56D0D"/>
    <w:rsid w:val="00C56F87"/>
    <w:rsid w:val="00C5702C"/>
    <w:rsid w:val="00C57158"/>
    <w:rsid w:val="00C57217"/>
    <w:rsid w:val="00C57218"/>
    <w:rsid w:val="00C5724B"/>
    <w:rsid w:val="00C57258"/>
    <w:rsid w:val="00C572F8"/>
    <w:rsid w:val="00C5734D"/>
    <w:rsid w:val="00C573D5"/>
    <w:rsid w:val="00C57436"/>
    <w:rsid w:val="00C5752C"/>
    <w:rsid w:val="00C57976"/>
    <w:rsid w:val="00C57B03"/>
    <w:rsid w:val="00C57C75"/>
    <w:rsid w:val="00C57DA4"/>
    <w:rsid w:val="00C57EBC"/>
    <w:rsid w:val="00C57F8E"/>
    <w:rsid w:val="00C60062"/>
    <w:rsid w:val="00C600FA"/>
    <w:rsid w:val="00C601E9"/>
    <w:rsid w:val="00C60394"/>
    <w:rsid w:val="00C603EA"/>
    <w:rsid w:val="00C603FA"/>
    <w:rsid w:val="00C6049E"/>
    <w:rsid w:val="00C605F1"/>
    <w:rsid w:val="00C60950"/>
    <w:rsid w:val="00C60990"/>
    <w:rsid w:val="00C60C03"/>
    <w:rsid w:val="00C60CC4"/>
    <w:rsid w:val="00C60EB5"/>
    <w:rsid w:val="00C60F7A"/>
    <w:rsid w:val="00C6108D"/>
    <w:rsid w:val="00C610C3"/>
    <w:rsid w:val="00C611D8"/>
    <w:rsid w:val="00C614C0"/>
    <w:rsid w:val="00C615A8"/>
    <w:rsid w:val="00C619B1"/>
    <w:rsid w:val="00C61C12"/>
    <w:rsid w:val="00C61C34"/>
    <w:rsid w:val="00C61ECD"/>
    <w:rsid w:val="00C61FDA"/>
    <w:rsid w:val="00C62076"/>
    <w:rsid w:val="00C62298"/>
    <w:rsid w:val="00C623D0"/>
    <w:rsid w:val="00C624CC"/>
    <w:rsid w:val="00C62586"/>
    <w:rsid w:val="00C6258F"/>
    <w:rsid w:val="00C627C8"/>
    <w:rsid w:val="00C629C2"/>
    <w:rsid w:val="00C62C89"/>
    <w:rsid w:val="00C62D36"/>
    <w:rsid w:val="00C62D8C"/>
    <w:rsid w:val="00C62E70"/>
    <w:rsid w:val="00C63077"/>
    <w:rsid w:val="00C63116"/>
    <w:rsid w:val="00C63247"/>
    <w:rsid w:val="00C63675"/>
    <w:rsid w:val="00C638B3"/>
    <w:rsid w:val="00C63D18"/>
    <w:rsid w:val="00C63D31"/>
    <w:rsid w:val="00C63DA7"/>
    <w:rsid w:val="00C63F35"/>
    <w:rsid w:val="00C63F64"/>
    <w:rsid w:val="00C63F87"/>
    <w:rsid w:val="00C63F9A"/>
    <w:rsid w:val="00C644FD"/>
    <w:rsid w:val="00C645DB"/>
    <w:rsid w:val="00C6473B"/>
    <w:rsid w:val="00C648CD"/>
    <w:rsid w:val="00C64905"/>
    <w:rsid w:val="00C64AAF"/>
    <w:rsid w:val="00C64AD0"/>
    <w:rsid w:val="00C64D27"/>
    <w:rsid w:val="00C64D87"/>
    <w:rsid w:val="00C64EC0"/>
    <w:rsid w:val="00C64EE5"/>
    <w:rsid w:val="00C6500B"/>
    <w:rsid w:val="00C65186"/>
    <w:rsid w:val="00C6520B"/>
    <w:rsid w:val="00C6556C"/>
    <w:rsid w:val="00C65629"/>
    <w:rsid w:val="00C65698"/>
    <w:rsid w:val="00C65729"/>
    <w:rsid w:val="00C6572F"/>
    <w:rsid w:val="00C657D6"/>
    <w:rsid w:val="00C65881"/>
    <w:rsid w:val="00C65AE7"/>
    <w:rsid w:val="00C65B96"/>
    <w:rsid w:val="00C65BF8"/>
    <w:rsid w:val="00C65C0C"/>
    <w:rsid w:val="00C65CA6"/>
    <w:rsid w:val="00C660BA"/>
    <w:rsid w:val="00C660F2"/>
    <w:rsid w:val="00C6639E"/>
    <w:rsid w:val="00C663A7"/>
    <w:rsid w:val="00C66404"/>
    <w:rsid w:val="00C66588"/>
    <w:rsid w:val="00C665F7"/>
    <w:rsid w:val="00C66A85"/>
    <w:rsid w:val="00C66C94"/>
    <w:rsid w:val="00C66D53"/>
    <w:rsid w:val="00C66DA3"/>
    <w:rsid w:val="00C66E3A"/>
    <w:rsid w:val="00C66EFA"/>
    <w:rsid w:val="00C6755C"/>
    <w:rsid w:val="00C6768F"/>
    <w:rsid w:val="00C678F1"/>
    <w:rsid w:val="00C6798E"/>
    <w:rsid w:val="00C67A33"/>
    <w:rsid w:val="00C67BC8"/>
    <w:rsid w:val="00C67C7F"/>
    <w:rsid w:val="00C67DA5"/>
    <w:rsid w:val="00C67E9D"/>
    <w:rsid w:val="00C67F92"/>
    <w:rsid w:val="00C700E3"/>
    <w:rsid w:val="00C70157"/>
    <w:rsid w:val="00C702B5"/>
    <w:rsid w:val="00C70406"/>
    <w:rsid w:val="00C70AAB"/>
    <w:rsid w:val="00C70AFA"/>
    <w:rsid w:val="00C70BA9"/>
    <w:rsid w:val="00C712D9"/>
    <w:rsid w:val="00C71400"/>
    <w:rsid w:val="00C71465"/>
    <w:rsid w:val="00C71495"/>
    <w:rsid w:val="00C71A68"/>
    <w:rsid w:val="00C71CB6"/>
    <w:rsid w:val="00C71F12"/>
    <w:rsid w:val="00C71F5E"/>
    <w:rsid w:val="00C72216"/>
    <w:rsid w:val="00C72275"/>
    <w:rsid w:val="00C72C25"/>
    <w:rsid w:val="00C72E4B"/>
    <w:rsid w:val="00C731D6"/>
    <w:rsid w:val="00C731D9"/>
    <w:rsid w:val="00C73318"/>
    <w:rsid w:val="00C7363C"/>
    <w:rsid w:val="00C73768"/>
    <w:rsid w:val="00C737B9"/>
    <w:rsid w:val="00C73981"/>
    <w:rsid w:val="00C739D6"/>
    <w:rsid w:val="00C739F4"/>
    <w:rsid w:val="00C73E0C"/>
    <w:rsid w:val="00C73F5F"/>
    <w:rsid w:val="00C740A2"/>
    <w:rsid w:val="00C7435A"/>
    <w:rsid w:val="00C7486E"/>
    <w:rsid w:val="00C7487F"/>
    <w:rsid w:val="00C748A0"/>
    <w:rsid w:val="00C74B82"/>
    <w:rsid w:val="00C74BC5"/>
    <w:rsid w:val="00C74F54"/>
    <w:rsid w:val="00C75324"/>
    <w:rsid w:val="00C75523"/>
    <w:rsid w:val="00C75978"/>
    <w:rsid w:val="00C75C90"/>
    <w:rsid w:val="00C75E05"/>
    <w:rsid w:val="00C75E79"/>
    <w:rsid w:val="00C75E87"/>
    <w:rsid w:val="00C76242"/>
    <w:rsid w:val="00C763BD"/>
    <w:rsid w:val="00C763C8"/>
    <w:rsid w:val="00C768D0"/>
    <w:rsid w:val="00C76A3C"/>
    <w:rsid w:val="00C76AF1"/>
    <w:rsid w:val="00C76BD3"/>
    <w:rsid w:val="00C76D22"/>
    <w:rsid w:val="00C76D48"/>
    <w:rsid w:val="00C76D4A"/>
    <w:rsid w:val="00C770FF"/>
    <w:rsid w:val="00C771D0"/>
    <w:rsid w:val="00C77242"/>
    <w:rsid w:val="00C7732D"/>
    <w:rsid w:val="00C7739A"/>
    <w:rsid w:val="00C773C8"/>
    <w:rsid w:val="00C77613"/>
    <w:rsid w:val="00C77656"/>
    <w:rsid w:val="00C7771D"/>
    <w:rsid w:val="00C777BF"/>
    <w:rsid w:val="00C778F9"/>
    <w:rsid w:val="00C77934"/>
    <w:rsid w:val="00C779A6"/>
    <w:rsid w:val="00C77A52"/>
    <w:rsid w:val="00C77C82"/>
    <w:rsid w:val="00C803A5"/>
    <w:rsid w:val="00C803BD"/>
    <w:rsid w:val="00C804DB"/>
    <w:rsid w:val="00C80667"/>
    <w:rsid w:val="00C80701"/>
    <w:rsid w:val="00C808BD"/>
    <w:rsid w:val="00C80B3E"/>
    <w:rsid w:val="00C80DE2"/>
    <w:rsid w:val="00C80DFC"/>
    <w:rsid w:val="00C80E08"/>
    <w:rsid w:val="00C80F46"/>
    <w:rsid w:val="00C813F9"/>
    <w:rsid w:val="00C81893"/>
    <w:rsid w:val="00C818C2"/>
    <w:rsid w:val="00C81998"/>
    <w:rsid w:val="00C81A3B"/>
    <w:rsid w:val="00C81B23"/>
    <w:rsid w:val="00C81BBB"/>
    <w:rsid w:val="00C81BDA"/>
    <w:rsid w:val="00C81CEB"/>
    <w:rsid w:val="00C82057"/>
    <w:rsid w:val="00C821C8"/>
    <w:rsid w:val="00C82310"/>
    <w:rsid w:val="00C8234B"/>
    <w:rsid w:val="00C823D9"/>
    <w:rsid w:val="00C825E5"/>
    <w:rsid w:val="00C8288D"/>
    <w:rsid w:val="00C82A4E"/>
    <w:rsid w:val="00C82B1C"/>
    <w:rsid w:val="00C82CE7"/>
    <w:rsid w:val="00C82D41"/>
    <w:rsid w:val="00C82EE7"/>
    <w:rsid w:val="00C82F71"/>
    <w:rsid w:val="00C8303F"/>
    <w:rsid w:val="00C83172"/>
    <w:rsid w:val="00C839DF"/>
    <w:rsid w:val="00C83D4B"/>
    <w:rsid w:val="00C83F94"/>
    <w:rsid w:val="00C844FE"/>
    <w:rsid w:val="00C847D8"/>
    <w:rsid w:val="00C84B81"/>
    <w:rsid w:val="00C84CD5"/>
    <w:rsid w:val="00C8509D"/>
    <w:rsid w:val="00C8522A"/>
    <w:rsid w:val="00C852BF"/>
    <w:rsid w:val="00C85383"/>
    <w:rsid w:val="00C85787"/>
    <w:rsid w:val="00C85814"/>
    <w:rsid w:val="00C85955"/>
    <w:rsid w:val="00C8596D"/>
    <w:rsid w:val="00C85A2B"/>
    <w:rsid w:val="00C85DD3"/>
    <w:rsid w:val="00C85E4E"/>
    <w:rsid w:val="00C85FD5"/>
    <w:rsid w:val="00C8606A"/>
    <w:rsid w:val="00C8621D"/>
    <w:rsid w:val="00C86536"/>
    <w:rsid w:val="00C868F9"/>
    <w:rsid w:val="00C86A56"/>
    <w:rsid w:val="00C86A6F"/>
    <w:rsid w:val="00C86C46"/>
    <w:rsid w:val="00C86D04"/>
    <w:rsid w:val="00C86F7C"/>
    <w:rsid w:val="00C86F91"/>
    <w:rsid w:val="00C87312"/>
    <w:rsid w:val="00C87319"/>
    <w:rsid w:val="00C874E7"/>
    <w:rsid w:val="00C87557"/>
    <w:rsid w:val="00C875EA"/>
    <w:rsid w:val="00C87665"/>
    <w:rsid w:val="00C876F7"/>
    <w:rsid w:val="00C877B8"/>
    <w:rsid w:val="00C87AF6"/>
    <w:rsid w:val="00C87CF4"/>
    <w:rsid w:val="00C87EC9"/>
    <w:rsid w:val="00C90141"/>
    <w:rsid w:val="00C903F2"/>
    <w:rsid w:val="00C904FC"/>
    <w:rsid w:val="00C905EF"/>
    <w:rsid w:val="00C90848"/>
    <w:rsid w:val="00C90B34"/>
    <w:rsid w:val="00C9132B"/>
    <w:rsid w:val="00C91378"/>
    <w:rsid w:val="00C913AE"/>
    <w:rsid w:val="00C9149F"/>
    <w:rsid w:val="00C914AE"/>
    <w:rsid w:val="00C91528"/>
    <w:rsid w:val="00C916CA"/>
    <w:rsid w:val="00C91774"/>
    <w:rsid w:val="00C91A70"/>
    <w:rsid w:val="00C91A71"/>
    <w:rsid w:val="00C91C6D"/>
    <w:rsid w:val="00C91ED1"/>
    <w:rsid w:val="00C91F72"/>
    <w:rsid w:val="00C92202"/>
    <w:rsid w:val="00C9223B"/>
    <w:rsid w:val="00C9229E"/>
    <w:rsid w:val="00C9235D"/>
    <w:rsid w:val="00C92382"/>
    <w:rsid w:val="00C92948"/>
    <w:rsid w:val="00C929CF"/>
    <w:rsid w:val="00C92B51"/>
    <w:rsid w:val="00C92DE5"/>
    <w:rsid w:val="00C932A4"/>
    <w:rsid w:val="00C933BB"/>
    <w:rsid w:val="00C9347F"/>
    <w:rsid w:val="00C93628"/>
    <w:rsid w:val="00C93669"/>
    <w:rsid w:val="00C938AF"/>
    <w:rsid w:val="00C93A17"/>
    <w:rsid w:val="00C93C0D"/>
    <w:rsid w:val="00C93C41"/>
    <w:rsid w:val="00C93C8C"/>
    <w:rsid w:val="00C93D70"/>
    <w:rsid w:val="00C93DCC"/>
    <w:rsid w:val="00C9400B"/>
    <w:rsid w:val="00C94101"/>
    <w:rsid w:val="00C94263"/>
    <w:rsid w:val="00C943A9"/>
    <w:rsid w:val="00C943EC"/>
    <w:rsid w:val="00C9454C"/>
    <w:rsid w:val="00C946B0"/>
    <w:rsid w:val="00C94C1A"/>
    <w:rsid w:val="00C94C5F"/>
    <w:rsid w:val="00C94DB4"/>
    <w:rsid w:val="00C94EBF"/>
    <w:rsid w:val="00C94EF6"/>
    <w:rsid w:val="00C94F6E"/>
    <w:rsid w:val="00C94F7D"/>
    <w:rsid w:val="00C95321"/>
    <w:rsid w:val="00C95698"/>
    <w:rsid w:val="00C956EA"/>
    <w:rsid w:val="00C958A7"/>
    <w:rsid w:val="00C95BA2"/>
    <w:rsid w:val="00C95C7D"/>
    <w:rsid w:val="00C95CC5"/>
    <w:rsid w:val="00C95D95"/>
    <w:rsid w:val="00C95DD0"/>
    <w:rsid w:val="00C95FC5"/>
    <w:rsid w:val="00C95FFD"/>
    <w:rsid w:val="00C960B1"/>
    <w:rsid w:val="00C961B6"/>
    <w:rsid w:val="00C96250"/>
    <w:rsid w:val="00C9627F"/>
    <w:rsid w:val="00C96571"/>
    <w:rsid w:val="00C9688D"/>
    <w:rsid w:val="00C968FB"/>
    <w:rsid w:val="00C96ED6"/>
    <w:rsid w:val="00C97166"/>
    <w:rsid w:val="00C97573"/>
    <w:rsid w:val="00C97929"/>
    <w:rsid w:val="00C979C6"/>
    <w:rsid w:val="00C97A45"/>
    <w:rsid w:val="00C97AFC"/>
    <w:rsid w:val="00C97B76"/>
    <w:rsid w:val="00C97D20"/>
    <w:rsid w:val="00C97FEA"/>
    <w:rsid w:val="00CA0382"/>
    <w:rsid w:val="00CA0399"/>
    <w:rsid w:val="00CA04F2"/>
    <w:rsid w:val="00CA060C"/>
    <w:rsid w:val="00CA0639"/>
    <w:rsid w:val="00CA06E3"/>
    <w:rsid w:val="00CA0802"/>
    <w:rsid w:val="00CA0991"/>
    <w:rsid w:val="00CA099F"/>
    <w:rsid w:val="00CA0A48"/>
    <w:rsid w:val="00CA1592"/>
    <w:rsid w:val="00CA1678"/>
    <w:rsid w:val="00CA1EAC"/>
    <w:rsid w:val="00CA218E"/>
    <w:rsid w:val="00CA22B5"/>
    <w:rsid w:val="00CA25A0"/>
    <w:rsid w:val="00CA299D"/>
    <w:rsid w:val="00CA2B19"/>
    <w:rsid w:val="00CA2BE0"/>
    <w:rsid w:val="00CA2C76"/>
    <w:rsid w:val="00CA2D21"/>
    <w:rsid w:val="00CA30CB"/>
    <w:rsid w:val="00CA31A3"/>
    <w:rsid w:val="00CA31E2"/>
    <w:rsid w:val="00CA3333"/>
    <w:rsid w:val="00CA33FA"/>
    <w:rsid w:val="00CA3425"/>
    <w:rsid w:val="00CA359E"/>
    <w:rsid w:val="00CA369C"/>
    <w:rsid w:val="00CA36BB"/>
    <w:rsid w:val="00CA398B"/>
    <w:rsid w:val="00CA3C06"/>
    <w:rsid w:val="00CA3CC5"/>
    <w:rsid w:val="00CA3D92"/>
    <w:rsid w:val="00CA3F51"/>
    <w:rsid w:val="00CA416C"/>
    <w:rsid w:val="00CA43AF"/>
    <w:rsid w:val="00CA450D"/>
    <w:rsid w:val="00CA45A8"/>
    <w:rsid w:val="00CA465C"/>
    <w:rsid w:val="00CA4743"/>
    <w:rsid w:val="00CA49D4"/>
    <w:rsid w:val="00CA4A79"/>
    <w:rsid w:val="00CA4A7D"/>
    <w:rsid w:val="00CA4B8D"/>
    <w:rsid w:val="00CA5495"/>
    <w:rsid w:val="00CA5706"/>
    <w:rsid w:val="00CA58EC"/>
    <w:rsid w:val="00CA593D"/>
    <w:rsid w:val="00CA5A23"/>
    <w:rsid w:val="00CA5BFD"/>
    <w:rsid w:val="00CA5CD1"/>
    <w:rsid w:val="00CA5EFF"/>
    <w:rsid w:val="00CA5FA4"/>
    <w:rsid w:val="00CA6016"/>
    <w:rsid w:val="00CA64CE"/>
    <w:rsid w:val="00CA652A"/>
    <w:rsid w:val="00CA652E"/>
    <w:rsid w:val="00CA66EA"/>
    <w:rsid w:val="00CA6A89"/>
    <w:rsid w:val="00CA6BD3"/>
    <w:rsid w:val="00CA6E1E"/>
    <w:rsid w:val="00CA6E83"/>
    <w:rsid w:val="00CA70EF"/>
    <w:rsid w:val="00CA72F3"/>
    <w:rsid w:val="00CA7352"/>
    <w:rsid w:val="00CA73DF"/>
    <w:rsid w:val="00CA747F"/>
    <w:rsid w:val="00CA757C"/>
    <w:rsid w:val="00CA77F3"/>
    <w:rsid w:val="00CA7D1B"/>
    <w:rsid w:val="00CA7E27"/>
    <w:rsid w:val="00CAEE25"/>
    <w:rsid w:val="00CB00C0"/>
    <w:rsid w:val="00CB00D4"/>
    <w:rsid w:val="00CB023E"/>
    <w:rsid w:val="00CB02D0"/>
    <w:rsid w:val="00CB043B"/>
    <w:rsid w:val="00CB0897"/>
    <w:rsid w:val="00CB08D6"/>
    <w:rsid w:val="00CB0A58"/>
    <w:rsid w:val="00CB0A83"/>
    <w:rsid w:val="00CB0B46"/>
    <w:rsid w:val="00CB0B75"/>
    <w:rsid w:val="00CB0BA9"/>
    <w:rsid w:val="00CB0DCD"/>
    <w:rsid w:val="00CB0E72"/>
    <w:rsid w:val="00CB108C"/>
    <w:rsid w:val="00CB1140"/>
    <w:rsid w:val="00CB1207"/>
    <w:rsid w:val="00CB1208"/>
    <w:rsid w:val="00CB1368"/>
    <w:rsid w:val="00CB1383"/>
    <w:rsid w:val="00CB13FA"/>
    <w:rsid w:val="00CB1610"/>
    <w:rsid w:val="00CB1641"/>
    <w:rsid w:val="00CB1C30"/>
    <w:rsid w:val="00CB1E9F"/>
    <w:rsid w:val="00CB212C"/>
    <w:rsid w:val="00CB228A"/>
    <w:rsid w:val="00CB2304"/>
    <w:rsid w:val="00CB2806"/>
    <w:rsid w:val="00CB2A5A"/>
    <w:rsid w:val="00CB2BCD"/>
    <w:rsid w:val="00CB2F7D"/>
    <w:rsid w:val="00CB3113"/>
    <w:rsid w:val="00CB33A3"/>
    <w:rsid w:val="00CB350A"/>
    <w:rsid w:val="00CB3524"/>
    <w:rsid w:val="00CB3573"/>
    <w:rsid w:val="00CB37D1"/>
    <w:rsid w:val="00CB3992"/>
    <w:rsid w:val="00CB39BE"/>
    <w:rsid w:val="00CB3A7F"/>
    <w:rsid w:val="00CB3B1F"/>
    <w:rsid w:val="00CB3BF7"/>
    <w:rsid w:val="00CB3C81"/>
    <w:rsid w:val="00CB3CB5"/>
    <w:rsid w:val="00CB3D31"/>
    <w:rsid w:val="00CB3D43"/>
    <w:rsid w:val="00CB3F2F"/>
    <w:rsid w:val="00CB3F6E"/>
    <w:rsid w:val="00CB3F93"/>
    <w:rsid w:val="00CB407B"/>
    <w:rsid w:val="00CB4086"/>
    <w:rsid w:val="00CB41B7"/>
    <w:rsid w:val="00CB4215"/>
    <w:rsid w:val="00CB4339"/>
    <w:rsid w:val="00CB445B"/>
    <w:rsid w:val="00CB4533"/>
    <w:rsid w:val="00CB4575"/>
    <w:rsid w:val="00CB45F5"/>
    <w:rsid w:val="00CB48B7"/>
    <w:rsid w:val="00CB48DD"/>
    <w:rsid w:val="00CB4B83"/>
    <w:rsid w:val="00CB4CC5"/>
    <w:rsid w:val="00CB4CDA"/>
    <w:rsid w:val="00CB5158"/>
    <w:rsid w:val="00CB5184"/>
    <w:rsid w:val="00CB5250"/>
    <w:rsid w:val="00CB5298"/>
    <w:rsid w:val="00CB5577"/>
    <w:rsid w:val="00CB55E4"/>
    <w:rsid w:val="00CB56DA"/>
    <w:rsid w:val="00CB5879"/>
    <w:rsid w:val="00CB5CB9"/>
    <w:rsid w:val="00CB5D98"/>
    <w:rsid w:val="00CB5F57"/>
    <w:rsid w:val="00CB5F8A"/>
    <w:rsid w:val="00CB64A7"/>
    <w:rsid w:val="00CB6598"/>
    <w:rsid w:val="00CB665A"/>
    <w:rsid w:val="00CB6EDB"/>
    <w:rsid w:val="00CB6F78"/>
    <w:rsid w:val="00CB71BF"/>
    <w:rsid w:val="00CB729A"/>
    <w:rsid w:val="00CB7462"/>
    <w:rsid w:val="00CB751E"/>
    <w:rsid w:val="00CB7618"/>
    <w:rsid w:val="00CB76A4"/>
    <w:rsid w:val="00CB77F1"/>
    <w:rsid w:val="00CB7ACA"/>
    <w:rsid w:val="00CB7B20"/>
    <w:rsid w:val="00CB7C28"/>
    <w:rsid w:val="00CB7D4B"/>
    <w:rsid w:val="00CB7E89"/>
    <w:rsid w:val="00CC0000"/>
    <w:rsid w:val="00CC012C"/>
    <w:rsid w:val="00CC0211"/>
    <w:rsid w:val="00CC0520"/>
    <w:rsid w:val="00CC05AE"/>
    <w:rsid w:val="00CC0609"/>
    <w:rsid w:val="00CC07F8"/>
    <w:rsid w:val="00CC09A2"/>
    <w:rsid w:val="00CC0C4A"/>
    <w:rsid w:val="00CC0D4F"/>
    <w:rsid w:val="00CC0D76"/>
    <w:rsid w:val="00CC0D95"/>
    <w:rsid w:val="00CC1118"/>
    <w:rsid w:val="00CC113E"/>
    <w:rsid w:val="00CC134B"/>
    <w:rsid w:val="00CC1426"/>
    <w:rsid w:val="00CC18D6"/>
    <w:rsid w:val="00CC192D"/>
    <w:rsid w:val="00CC1AAF"/>
    <w:rsid w:val="00CC1B7F"/>
    <w:rsid w:val="00CC1BD8"/>
    <w:rsid w:val="00CC1C80"/>
    <w:rsid w:val="00CC1C9B"/>
    <w:rsid w:val="00CC1CC3"/>
    <w:rsid w:val="00CC1EF4"/>
    <w:rsid w:val="00CC2650"/>
    <w:rsid w:val="00CC2765"/>
    <w:rsid w:val="00CC2A0E"/>
    <w:rsid w:val="00CC2A86"/>
    <w:rsid w:val="00CC2B72"/>
    <w:rsid w:val="00CC2DF1"/>
    <w:rsid w:val="00CC33D2"/>
    <w:rsid w:val="00CC33EC"/>
    <w:rsid w:val="00CC352D"/>
    <w:rsid w:val="00CC3792"/>
    <w:rsid w:val="00CC380C"/>
    <w:rsid w:val="00CC3857"/>
    <w:rsid w:val="00CC3959"/>
    <w:rsid w:val="00CC3FAF"/>
    <w:rsid w:val="00CC4079"/>
    <w:rsid w:val="00CC430D"/>
    <w:rsid w:val="00CC4313"/>
    <w:rsid w:val="00CC458C"/>
    <w:rsid w:val="00CC4688"/>
    <w:rsid w:val="00CC46E7"/>
    <w:rsid w:val="00CC4761"/>
    <w:rsid w:val="00CC478E"/>
    <w:rsid w:val="00CC48B5"/>
    <w:rsid w:val="00CC4B9A"/>
    <w:rsid w:val="00CC502E"/>
    <w:rsid w:val="00CC5123"/>
    <w:rsid w:val="00CC51F1"/>
    <w:rsid w:val="00CC544F"/>
    <w:rsid w:val="00CC5503"/>
    <w:rsid w:val="00CC5702"/>
    <w:rsid w:val="00CC5732"/>
    <w:rsid w:val="00CC57AB"/>
    <w:rsid w:val="00CC57E2"/>
    <w:rsid w:val="00CC57F3"/>
    <w:rsid w:val="00CC57FC"/>
    <w:rsid w:val="00CC5BE6"/>
    <w:rsid w:val="00CC5ED5"/>
    <w:rsid w:val="00CC60CA"/>
    <w:rsid w:val="00CC6283"/>
    <w:rsid w:val="00CC677D"/>
    <w:rsid w:val="00CC6882"/>
    <w:rsid w:val="00CC6975"/>
    <w:rsid w:val="00CC6AD2"/>
    <w:rsid w:val="00CC6B33"/>
    <w:rsid w:val="00CC6C46"/>
    <w:rsid w:val="00CC6E0E"/>
    <w:rsid w:val="00CC6F84"/>
    <w:rsid w:val="00CC6FDF"/>
    <w:rsid w:val="00CC705C"/>
    <w:rsid w:val="00CC70D7"/>
    <w:rsid w:val="00CC738C"/>
    <w:rsid w:val="00CC7390"/>
    <w:rsid w:val="00CC74D5"/>
    <w:rsid w:val="00CC7557"/>
    <w:rsid w:val="00CC75BC"/>
    <w:rsid w:val="00CC7A75"/>
    <w:rsid w:val="00CC7AA1"/>
    <w:rsid w:val="00CC7BAB"/>
    <w:rsid w:val="00CC7EEC"/>
    <w:rsid w:val="00CD009C"/>
    <w:rsid w:val="00CD00D7"/>
    <w:rsid w:val="00CD0106"/>
    <w:rsid w:val="00CD010A"/>
    <w:rsid w:val="00CD01C7"/>
    <w:rsid w:val="00CD0232"/>
    <w:rsid w:val="00CD025F"/>
    <w:rsid w:val="00CD027D"/>
    <w:rsid w:val="00CD0613"/>
    <w:rsid w:val="00CD0630"/>
    <w:rsid w:val="00CD0637"/>
    <w:rsid w:val="00CD092A"/>
    <w:rsid w:val="00CD0E38"/>
    <w:rsid w:val="00CD1068"/>
    <w:rsid w:val="00CD10A6"/>
    <w:rsid w:val="00CD10C0"/>
    <w:rsid w:val="00CD1201"/>
    <w:rsid w:val="00CD12C5"/>
    <w:rsid w:val="00CD12D4"/>
    <w:rsid w:val="00CD1313"/>
    <w:rsid w:val="00CD14E1"/>
    <w:rsid w:val="00CD154C"/>
    <w:rsid w:val="00CD1587"/>
    <w:rsid w:val="00CD16EF"/>
    <w:rsid w:val="00CD1788"/>
    <w:rsid w:val="00CD17D2"/>
    <w:rsid w:val="00CD19EA"/>
    <w:rsid w:val="00CD1AD7"/>
    <w:rsid w:val="00CD1BB0"/>
    <w:rsid w:val="00CD20F7"/>
    <w:rsid w:val="00CD21C6"/>
    <w:rsid w:val="00CD26F0"/>
    <w:rsid w:val="00CD2AE2"/>
    <w:rsid w:val="00CD2BEA"/>
    <w:rsid w:val="00CD2E72"/>
    <w:rsid w:val="00CD2FD5"/>
    <w:rsid w:val="00CD3161"/>
    <w:rsid w:val="00CD343E"/>
    <w:rsid w:val="00CD34B6"/>
    <w:rsid w:val="00CD3500"/>
    <w:rsid w:val="00CD3542"/>
    <w:rsid w:val="00CD356A"/>
    <w:rsid w:val="00CD35CD"/>
    <w:rsid w:val="00CD36A4"/>
    <w:rsid w:val="00CD375E"/>
    <w:rsid w:val="00CD3A49"/>
    <w:rsid w:val="00CD3D93"/>
    <w:rsid w:val="00CD4071"/>
    <w:rsid w:val="00CD4138"/>
    <w:rsid w:val="00CD4186"/>
    <w:rsid w:val="00CD4543"/>
    <w:rsid w:val="00CD460C"/>
    <w:rsid w:val="00CD4E9B"/>
    <w:rsid w:val="00CD4EED"/>
    <w:rsid w:val="00CD53E3"/>
    <w:rsid w:val="00CD56E8"/>
    <w:rsid w:val="00CD57AB"/>
    <w:rsid w:val="00CD57E5"/>
    <w:rsid w:val="00CD588D"/>
    <w:rsid w:val="00CD59D8"/>
    <w:rsid w:val="00CD5EE0"/>
    <w:rsid w:val="00CD5F4E"/>
    <w:rsid w:val="00CD60C2"/>
    <w:rsid w:val="00CD60DF"/>
    <w:rsid w:val="00CD618C"/>
    <w:rsid w:val="00CD6290"/>
    <w:rsid w:val="00CD6344"/>
    <w:rsid w:val="00CD6385"/>
    <w:rsid w:val="00CD6386"/>
    <w:rsid w:val="00CD6416"/>
    <w:rsid w:val="00CD65BA"/>
    <w:rsid w:val="00CD67EE"/>
    <w:rsid w:val="00CD6912"/>
    <w:rsid w:val="00CD6F26"/>
    <w:rsid w:val="00CD7066"/>
    <w:rsid w:val="00CD708B"/>
    <w:rsid w:val="00CD712B"/>
    <w:rsid w:val="00CD718C"/>
    <w:rsid w:val="00CD729D"/>
    <w:rsid w:val="00CD72C7"/>
    <w:rsid w:val="00CD784D"/>
    <w:rsid w:val="00CD78E1"/>
    <w:rsid w:val="00CD7957"/>
    <w:rsid w:val="00CD7B44"/>
    <w:rsid w:val="00CD7CA6"/>
    <w:rsid w:val="00CD7CAA"/>
    <w:rsid w:val="00CD7DBB"/>
    <w:rsid w:val="00CD7E4F"/>
    <w:rsid w:val="00CD7EF6"/>
    <w:rsid w:val="00CD7F6B"/>
    <w:rsid w:val="00CE00F0"/>
    <w:rsid w:val="00CE01F1"/>
    <w:rsid w:val="00CE02AF"/>
    <w:rsid w:val="00CE03DF"/>
    <w:rsid w:val="00CE048C"/>
    <w:rsid w:val="00CE0802"/>
    <w:rsid w:val="00CE09B8"/>
    <w:rsid w:val="00CE0A4C"/>
    <w:rsid w:val="00CE0A52"/>
    <w:rsid w:val="00CE0ABA"/>
    <w:rsid w:val="00CE0BAC"/>
    <w:rsid w:val="00CE0BF4"/>
    <w:rsid w:val="00CE0D5D"/>
    <w:rsid w:val="00CE0DBF"/>
    <w:rsid w:val="00CE0F2E"/>
    <w:rsid w:val="00CE0F57"/>
    <w:rsid w:val="00CE0FB8"/>
    <w:rsid w:val="00CE106B"/>
    <w:rsid w:val="00CE10BA"/>
    <w:rsid w:val="00CE1139"/>
    <w:rsid w:val="00CE1362"/>
    <w:rsid w:val="00CE13BE"/>
    <w:rsid w:val="00CE13F6"/>
    <w:rsid w:val="00CE15F9"/>
    <w:rsid w:val="00CE16AD"/>
    <w:rsid w:val="00CE18C9"/>
    <w:rsid w:val="00CE1A1B"/>
    <w:rsid w:val="00CE1AF7"/>
    <w:rsid w:val="00CE1F55"/>
    <w:rsid w:val="00CE1F74"/>
    <w:rsid w:val="00CE1F96"/>
    <w:rsid w:val="00CE2182"/>
    <w:rsid w:val="00CE2189"/>
    <w:rsid w:val="00CE24E6"/>
    <w:rsid w:val="00CE260F"/>
    <w:rsid w:val="00CE2650"/>
    <w:rsid w:val="00CE2712"/>
    <w:rsid w:val="00CE29B6"/>
    <w:rsid w:val="00CE2ABD"/>
    <w:rsid w:val="00CE2CFA"/>
    <w:rsid w:val="00CE3056"/>
    <w:rsid w:val="00CE30B0"/>
    <w:rsid w:val="00CE3394"/>
    <w:rsid w:val="00CE33BA"/>
    <w:rsid w:val="00CE3541"/>
    <w:rsid w:val="00CE3706"/>
    <w:rsid w:val="00CE3741"/>
    <w:rsid w:val="00CE3849"/>
    <w:rsid w:val="00CE394F"/>
    <w:rsid w:val="00CE3AD8"/>
    <w:rsid w:val="00CE3D88"/>
    <w:rsid w:val="00CE3F62"/>
    <w:rsid w:val="00CE428C"/>
    <w:rsid w:val="00CE4318"/>
    <w:rsid w:val="00CE4463"/>
    <w:rsid w:val="00CE45FB"/>
    <w:rsid w:val="00CE4612"/>
    <w:rsid w:val="00CE466B"/>
    <w:rsid w:val="00CE469E"/>
    <w:rsid w:val="00CE4848"/>
    <w:rsid w:val="00CE4A28"/>
    <w:rsid w:val="00CE4B6A"/>
    <w:rsid w:val="00CE4BB7"/>
    <w:rsid w:val="00CE4C04"/>
    <w:rsid w:val="00CE4E21"/>
    <w:rsid w:val="00CE50AD"/>
    <w:rsid w:val="00CE51A4"/>
    <w:rsid w:val="00CE51D5"/>
    <w:rsid w:val="00CE527F"/>
    <w:rsid w:val="00CE56DA"/>
    <w:rsid w:val="00CE581C"/>
    <w:rsid w:val="00CE5B0E"/>
    <w:rsid w:val="00CE5BF4"/>
    <w:rsid w:val="00CE5DB6"/>
    <w:rsid w:val="00CE5E00"/>
    <w:rsid w:val="00CE5E21"/>
    <w:rsid w:val="00CE5E22"/>
    <w:rsid w:val="00CE606A"/>
    <w:rsid w:val="00CE606B"/>
    <w:rsid w:val="00CE6149"/>
    <w:rsid w:val="00CE6284"/>
    <w:rsid w:val="00CE637B"/>
    <w:rsid w:val="00CE65BC"/>
    <w:rsid w:val="00CE6683"/>
    <w:rsid w:val="00CE67F4"/>
    <w:rsid w:val="00CE67FF"/>
    <w:rsid w:val="00CE691C"/>
    <w:rsid w:val="00CE6CAA"/>
    <w:rsid w:val="00CE6DC2"/>
    <w:rsid w:val="00CE6FED"/>
    <w:rsid w:val="00CE7207"/>
    <w:rsid w:val="00CE72AB"/>
    <w:rsid w:val="00CE7416"/>
    <w:rsid w:val="00CE7461"/>
    <w:rsid w:val="00CE76B1"/>
    <w:rsid w:val="00CE7806"/>
    <w:rsid w:val="00CE784F"/>
    <w:rsid w:val="00CE7867"/>
    <w:rsid w:val="00CE79B2"/>
    <w:rsid w:val="00CE79E4"/>
    <w:rsid w:val="00CE7A2D"/>
    <w:rsid w:val="00CE7E34"/>
    <w:rsid w:val="00CE7E98"/>
    <w:rsid w:val="00CE7F45"/>
    <w:rsid w:val="00CF015C"/>
    <w:rsid w:val="00CF027D"/>
    <w:rsid w:val="00CF050E"/>
    <w:rsid w:val="00CF0519"/>
    <w:rsid w:val="00CF05A1"/>
    <w:rsid w:val="00CF05F3"/>
    <w:rsid w:val="00CF05F6"/>
    <w:rsid w:val="00CF067A"/>
    <w:rsid w:val="00CF0691"/>
    <w:rsid w:val="00CF069C"/>
    <w:rsid w:val="00CF08E2"/>
    <w:rsid w:val="00CF0EFB"/>
    <w:rsid w:val="00CF0F1E"/>
    <w:rsid w:val="00CF10C3"/>
    <w:rsid w:val="00CF119B"/>
    <w:rsid w:val="00CF158B"/>
    <w:rsid w:val="00CF17CB"/>
    <w:rsid w:val="00CF1A62"/>
    <w:rsid w:val="00CF1BE1"/>
    <w:rsid w:val="00CF1C11"/>
    <w:rsid w:val="00CF1C5D"/>
    <w:rsid w:val="00CF1CA2"/>
    <w:rsid w:val="00CF1FE0"/>
    <w:rsid w:val="00CF217D"/>
    <w:rsid w:val="00CF21F5"/>
    <w:rsid w:val="00CF2214"/>
    <w:rsid w:val="00CF226B"/>
    <w:rsid w:val="00CF231D"/>
    <w:rsid w:val="00CF2370"/>
    <w:rsid w:val="00CF25D8"/>
    <w:rsid w:val="00CF272A"/>
    <w:rsid w:val="00CF2AC9"/>
    <w:rsid w:val="00CF2E9D"/>
    <w:rsid w:val="00CF3084"/>
    <w:rsid w:val="00CF3121"/>
    <w:rsid w:val="00CF3236"/>
    <w:rsid w:val="00CF3355"/>
    <w:rsid w:val="00CF3476"/>
    <w:rsid w:val="00CF3562"/>
    <w:rsid w:val="00CF35D2"/>
    <w:rsid w:val="00CF362E"/>
    <w:rsid w:val="00CF3651"/>
    <w:rsid w:val="00CF3718"/>
    <w:rsid w:val="00CF37A0"/>
    <w:rsid w:val="00CF3AA5"/>
    <w:rsid w:val="00CF3BD2"/>
    <w:rsid w:val="00CF3CE9"/>
    <w:rsid w:val="00CF3EE9"/>
    <w:rsid w:val="00CF4149"/>
    <w:rsid w:val="00CF41A8"/>
    <w:rsid w:val="00CF461E"/>
    <w:rsid w:val="00CF4680"/>
    <w:rsid w:val="00CF49D6"/>
    <w:rsid w:val="00CF4BFE"/>
    <w:rsid w:val="00CF4C9F"/>
    <w:rsid w:val="00CF4CD0"/>
    <w:rsid w:val="00CF4D7E"/>
    <w:rsid w:val="00CF4E4D"/>
    <w:rsid w:val="00CF4EB5"/>
    <w:rsid w:val="00CF517F"/>
    <w:rsid w:val="00CF5349"/>
    <w:rsid w:val="00CF572F"/>
    <w:rsid w:val="00CF573F"/>
    <w:rsid w:val="00CF5923"/>
    <w:rsid w:val="00CF5B64"/>
    <w:rsid w:val="00CF5C19"/>
    <w:rsid w:val="00CF5CE7"/>
    <w:rsid w:val="00CF5D0F"/>
    <w:rsid w:val="00CF5F4C"/>
    <w:rsid w:val="00CF636A"/>
    <w:rsid w:val="00CF6487"/>
    <w:rsid w:val="00CF64EF"/>
    <w:rsid w:val="00CF66AD"/>
    <w:rsid w:val="00CF69B5"/>
    <w:rsid w:val="00CF6ED6"/>
    <w:rsid w:val="00CF700D"/>
    <w:rsid w:val="00CF701F"/>
    <w:rsid w:val="00CF719D"/>
    <w:rsid w:val="00CF7342"/>
    <w:rsid w:val="00CF747F"/>
    <w:rsid w:val="00CF7525"/>
    <w:rsid w:val="00CF77C0"/>
    <w:rsid w:val="00CF7C2F"/>
    <w:rsid w:val="00D0030B"/>
    <w:rsid w:val="00D00374"/>
    <w:rsid w:val="00D008E9"/>
    <w:rsid w:val="00D00B6E"/>
    <w:rsid w:val="00D00C55"/>
    <w:rsid w:val="00D00D7B"/>
    <w:rsid w:val="00D00F70"/>
    <w:rsid w:val="00D011B4"/>
    <w:rsid w:val="00D013CF"/>
    <w:rsid w:val="00D01544"/>
    <w:rsid w:val="00D01663"/>
    <w:rsid w:val="00D01674"/>
    <w:rsid w:val="00D017AD"/>
    <w:rsid w:val="00D0182E"/>
    <w:rsid w:val="00D0184E"/>
    <w:rsid w:val="00D01950"/>
    <w:rsid w:val="00D01F38"/>
    <w:rsid w:val="00D020EC"/>
    <w:rsid w:val="00D0213E"/>
    <w:rsid w:val="00D0214B"/>
    <w:rsid w:val="00D026E7"/>
    <w:rsid w:val="00D02742"/>
    <w:rsid w:val="00D02998"/>
    <w:rsid w:val="00D02AFC"/>
    <w:rsid w:val="00D02D33"/>
    <w:rsid w:val="00D02ECE"/>
    <w:rsid w:val="00D02FB8"/>
    <w:rsid w:val="00D03195"/>
    <w:rsid w:val="00D03225"/>
    <w:rsid w:val="00D0353A"/>
    <w:rsid w:val="00D0376A"/>
    <w:rsid w:val="00D038B7"/>
    <w:rsid w:val="00D03A4E"/>
    <w:rsid w:val="00D03B5A"/>
    <w:rsid w:val="00D03BF2"/>
    <w:rsid w:val="00D03C0E"/>
    <w:rsid w:val="00D03DAA"/>
    <w:rsid w:val="00D03DEF"/>
    <w:rsid w:val="00D03DFD"/>
    <w:rsid w:val="00D03E4B"/>
    <w:rsid w:val="00D0400D"/>
    <w:rsid w:val="00D04177"/>
    <w:rsid w:val="00D041C6"/>
    <w:rsid w:val="00D04322"/>
    <w:rsid w:val="00D04344"/>
    <w:rsid w:val="00D04631"/>
    <w:rsid w:val="00D04B11"/>
    <w:rsid w:val="00D04B73"/>
    <w:rsid w:val="00D04BC4"/>
    <w:rsid w:val="00D04E7D"/>
    <w:rsid w:val="00D04EDA"/>
    <w:rsid w:val="00D05115"/>
    <w:rsid w:val="00D051E2"/>
    <w:rsid w:val="00D05C18"/>
    <w:rsid w:val="00D05F92"/>
    <w:rsid w:val="00D05FF1"/>
    <w:rsid w:val="00D06066"/>
    <w:rsid w:val="00D06150"/>
    <w:rsid w:val="00D061DD"/>
    <w:rsid w:val="00D06470"/>
    <w:rsid w:val="00D06485"/>
    <w:rsid w:val="00D065CD"/>
    <w:rsid w:val="00D066A4"/>
    <w:rsid w:val="00D067B8"/>
    <w:rsid w:val="00D068E3"/>
    <w:rsid w:val="00D06A02"/>
    <w:rsid w:val="00D06A2E"/>
    <w:rsid w:val="00D06C33"/>
    <w:rsid w:val="00D06D32"/>
    <w:rsid w:val="00D06F49"/>
    <w:rsid w:val="00D071E0"/>
    <w:rsid w:val="00D0723B"/>
    <w:rsid w:val="00D072B2"/>
    <w:rsid w:val="00D07333"/>
    <w:rsid w:val="00D073D2"/>
    <w:rsid w:val="00D07928"/>
    <w:rsid w:val="00D0793D"/>
    <w:rsid w:val="00D07B0E"/>
    <w:rsid w:val="00D07C39"/>
    <w:rsid w:val="00D101DA"/>
    <w:rsid w:val="00D10471"/>
    <w:rsid w:val="00D1079E"/>
    <w:rsid w:val="00D107BE"/>
    <w:rsid w:val="00D10B1D"/>
    <w:rsid w:val="00D10C52"/>
    <w:rsid w:val="00D10E6A"/>
    <w:rsid w:val="00D11081"/>
    <w:rsid w:val="00D11242"/>
    <w:rsid w:val="00D1131F"/>
    <w:rsid w:val="00D11483"/>
    <w:rsid w:val="00D11765"/>
    <w:rsid w:val="00D11A08"/>
    <w:rsid w:val="00D11CFF"/>
    <w:rsid w:val="00D11D4E"/>
    <w:rsid w:val="00D11F30"/>
    <w:rsid w:val="00D120FC"/>
    <w:rsid w:val="00D122C8"/>
    <w:rsid w:val="00D1237A"/>
    <w:rsid w:val="00D1272F"/>
    <w:rsid w:val="00D127BE"/>
    <w:rsid w:val="00D12842"/>
    <w:rsid w:val="00D128B6"/>
    <w:rsid w:val="00D129EA"/>
    <w:rsid w:val="00D130B8"/>
    <w:rsid w:val="00D130BC"/>
    <w:rsid w:val="00D130C3"/>
    <w:rsid w:val="00D13154"/>
    <w:rsid w:val="00D131AD"/>
    <w:rsid w:val="00D131F0"/>
    <w:rsid w:val="00D131FE"/>
    <w:rsid w:val="00D1366D"/>
    <w:rsid w:val="00D13CC2"/>
    <w:rsid w:val="00D13D07"/>
    <w:rsid w:val="00D13E09"/>
    <w:rsid w:val="00D13E87"/>
    <w:rsid w:val="00D13F7E"/>
    <w:rsid w:val="00D13FF1"/>
    <w:rsid w:val="00D142D7"/>
    <w:rsid w:val="00D143CA"/>
    <w:rsid w:val="00D144EA"/>
    <w:rsid w:val="00D147D6"/>
    <w:rsid w:val="00D14879"/>
    <w:rsid w:val="00D14A36"/>
    <w:rsid w:val="00D15162"/>
    <w:rsid w:val="00D151C6"/>
    <w:rsid w:val="00D152B7"/>
    <w:rsid w:val="00D152FD"/>
    <w:rsid w:val="00D153D0"/>
    <w:rsid w:val="00D155D9"/>
    <w:rsid w:val="00D15654"/>
    <w:rsid w:val="00D15803"/>
    <w:rsid w:val="00D15FC0"/>
    <w:rsid w:val="00D160D4"/>
    <w:rsid w:val="00D160DF"/>
    <w:rsid w:val="00D163D1"/>
    <w:rsid w:val="00D16625"/>
    <w:rsid w:val="00D16AB1"/>
    <w:rsid w:val="00D16C21"/>
    <w:rsid w:val="00D16CF6"/>
    <w:rsid w:val="00D16D62"/>
    <w:rsid w:val="00D16E43"/>
    <w:rsid w:val="00D16F75"/>
    <w:rsid w:val="00D170A5"/>
    <w:rsid w:val="00D171F0"/>
    <w:rsid w:val="00D172E2"/>
    <w:rsid w:val="00D17479"/>
    <w:rsid w:val="00D17600"/>
    <w:rsid w:val="00D177DF"/>
    <w:rsid w:val="00D17C1D"/>
    <w:rsid w:val="00D17C33"/>
    <w:rsid w:val="00D17CD3"/>
    <w:rsid w:val="00D200AA"/>
    <w:rsid w:val="00D200ED"/>
    <w:rsid w:val="00D20195"/>
    <w:rsid w:val="00D201D6"/>
    <w:rsid w:val="00D20359"/>
    <w:rsid w:val="00D20787"/>
    <w:rsid w:val="00D20881"/>
    <w:rsid w:val="00D20A78"/>
    <w:rsid w:val="00D20AFC"/>
    <w:rsid w:val="00D21308"/>
    <w:rsid w:val="00D21643"/>
    <w:rsid w:val="00D216D7"/>
    <w:rsid w:val="00D218D8"/>
    <w:rsid w:val="00D219E7"/>
    <w:rsid w:val="00D21C03"/>
    <w:rsid w:val="00D21DA3"/>
    <w:rsid w:val="00D21EE1"/>
    <w:rsid w:val="00D220BD"/>
    <w:rsid w:val="00D22151"/>
    <w:rsid w:val="00D22215"/>
    <w:rsid w:val="00D222BD"/>
    <w:rsid w:val="00D225EC"/>
    <w:rsid w:val="00D2278E"/>
    <w:rsid w:val="00D22B3B"/>
    <w:rsid w:val="00D22BF2"/>
    <w:rsid w:val="00D22D2C"/>
    <w:rsid w:val="00D22EC8"/>
    <w:rsid w:val="00D2300A"/>
    <w:rsid w:val="00D230FD"/>
    <w:rsid w:val="00D2318A"/>
    <w:rsid w:val="00D2323B"/>
    <w:rsid w:val="00D23308"/>
    <w:rsid w:val="00D233A2"/>
    <w:rsid w:val="00D233B3"/>
    <w:rsid w:val="00D237D1"/>
    <w:rsid w:val="00D23A5C"/>
    <w:rsid w:val="00D23A63"/>
    <w:rsid w:val="00D23B72"/>
    <w:rsid w:val="00D23CF3"/>
    <w:rsid w:val="00D241BA"/>
    <w:rsid w:val="00D2436F"/>
    <w:rsid w:val="00D244F4"/>
    <w:rsid w:val="00D24701"/>
    <w:rsid w:val="00D2480E"/>
    <w:rsid w:val="00D24933"/>
    <w:rsid w:val="00D24934"/>
    <w:rsid w:val="00D2498C"/>
    <w:rsid w:val="00D24A32"/>
    <w:rsid w:val="00D24A3E"/>
    <w:rsid w:val="00D24D2E"/>
    <w:rsid w:val="00D24EB7"/>
    <w:rsid w:val="00D25044"/>
    <w:rsid w:val="00D250E2"/>
    <w:rsid w:val="00D2519C"/>
    <w:rsid w:val="00D2529B"/>
    <w:rsid w:val="00D2532A"/>
    <w:rsid w:val="00D255A6"/>
    <w:rsid w:val="00D256C5"/>
    <w:rsid w:val="00D2578A"/>
    <w:rsid w:val="00D25822"/>
    <w:rsid w:val="00D2586B"/>
    <w:rsid w:val="00D25A40"/>
    <w:rsid w:val="00D25B9F"/>
    <w:rsid w:val="00D25C96"/>
    <w:rsid w:val="00D25D14"/>
    <w:rsid w:val="00D25DE9"/>
    <w:rsid w:val="00D25DF2"/>
    <w:rsid w:val="00D25E9E"/>
    <w:rsid w:val="00D261C3"/>
    <w:rsid w:val="00D262EC"/>
    <w:rsid w:val="00D263C7"/>
    <w:rsid w:val="00D2677B"/>
    <w:rsid w:val="00D26CA4"/>
    <w:rsid w:val="00D26CE1"/>
    <w:rsid w:val="00D26EC1"/>
    <w:rsid w:val="00D26EDD"/>
    <w:rsid w:val="00D26F6F"/>
    <w:rsid w:val="00D276B5"/>
    <w:rsid w:val="00D277EF"/>
    <w:rsid w:val="00D2788E"/>
    <w:rsid w:val="00D278DC"/>
    <w:rsid w:val="00D27A06"/>
    <w:rsid w:val="00D27C30"/>
    <w:rsid w:val="00D27DA0"/>
    <w:rsid w:val="00D27FA9"/>
    <w:rsid w:val="00D306B0"/>
    <w:rsid w:val="00D306B5"/>
    <w:rsid w:val="00D30918"/>
    <w:rsid w:val="00D309EA"/>
    <w:rsid w:val="00D30B76"/>
    <w:rsid w:val="00D30C48"/>
    <w:rsid w:val="00D30CFE"/>
    <w:rsid w:val="00D30E2F"/>
    <w:rsid w:val="00D30EFB"/>
    <w:rsid w:val="00D30F01"/>
    <w:rsid w:val="00D30F22"/>
    <w:rsid w:val="00D30FB2"/>
    <w:rsid w:val="00D3102F"/>
    <w:rsid w:val="00D313DB"/>
    <w:rsid w:val="00D3151E"/>
    <w:rsid w:val="00D3164B"/>
    <w:rsid w:val="00D31673"/>
    <w:rsid w:val="00D316FC"/>
    <w:rsid w:val="00D31896"/>
    <w:rsid w:val="00D31B68"/>
    <w:rsid w:val="00D31F0E"/>
    <w:rsid w:val="00D32013"/>
    <w:rsid w:val="00D32027"/>
    <w:rsid w:val="00D3208E"/>
    <w:rsid w:val="00D320D3"/>
    <w:rsid w:val="00D322BC"/>
    <w:rsid w:val="00D323BF"/>
    <w:rsid w:val="00D325AC"/>
    <w:rsid w:val="00D32600"/>
    <w:rsid w:val="00D32821"/>
    <w:rsid w:val="00D3286A"/>
    <w:rsid w:val="00D329A4"/>
    <w:rsid w:val="00D32A5C"/>
    <w:rsid w:val="00D32C48"/>
    <w:rsid w:val="00D32D5F"/>
    <w:rsid w:val="00D32DBA"/>
    <w:rsid w:val="00D32F06"/>
    <w:rsid w:val="00D3306B"/>
    <w:rsid w:val="00D3308D"/>
    <w:rsid w:val="00D33127"/>
    <w:rsid w:val="00D33133"/>
    <w:rsid w:val="00D3327A"/>
    <w:rsid w:val="00D333FD"/>
    <w:rsid w:val="00D3355E"/>
    <w:rsid w:val="00D335A0"/>
    <w:rsid w:val="00D33609"/>
    <w:rsid w:val="00D33A0F"/>
    <w:rsid w:val="00D33A3B"/>
    <w:rsid w:val="00D33AAC"/>
    <w:rsid w:val="00D33D3C"/>
    <w:rsid w:val="00D33E82"/>
    <w:rsid w:val="00D33EAC"/>
    <w:rsid w:val="00D33EEC"/>
    <w:rsid w:val="00D34267"/>
    <w:rsid w:val="00D3435E"/>
    <w:rsid w:val="00D34459"/>
    <w:rsid w:val="00D3462F"/>
    <w:rsid w:val="00D346F1"/>
    <w:rsid w:val="00D348B8"/>
    <w:rsid w:val="00D3494F"/>
    <w:rsid w:val="00D34A88"/>
    <w:rsid w:val="00D34CF0"/>
    <w:rsid w:val="00D34D69"/>
    <w:rsid w:val="00D34E43"/>
    <w:rsid w:val="00D34E8E"/>
    <w:rsid w:val="00D35088"/>
    <w:rsid w:val="00D352C2"/>
    <w:rsid w:val="00D352F5"/>
    <w:rsid w:val="00D35458"/>
    <w:rsid w:val="00D3547D"/>
    <w:rsid w:val="00D35503"/>
    <w:rsid w:val="00D35856"/>
    <w:rsid w:val="00D359BC"/>
    <w:rsid w:val="00D35BFD"/>
    <w:rsid w:val="00D35D30"/>
    <w:rsid w:val="00D36116"/>
    <w:rsid w:val="00D361AD"/>
    <w:rsid w:val="00D36294"/>
    <w:rsid w:val="00D36721"/>
    <w:rsid w:val="00D368B8"/>
    <w:rsid w:val="00D36A2B"/>
    <w:rsid w:val="00D36AFB"/>
    <w:rsid w:val="00D36B05"/>
    <w:rsid w:val="00D36B0F"/>
    <w:rsid w:val="00D36B1E"/>
    <w:rsid w:val="00D36D3C"/>
    <w:rsid w:val="00D36EBD"/>
    <w:rsid w:val="00D37031"/>
    <w:rsid w:val="00D37316"/>
    <w:rsid w:val="00D374E5"/>
    <w:rsid w:val="00D37547"/>
    <w:rsid w:val="00D37925"/>
    <w:rsid w:val="00D37C75"/>
    <w:rsid w:val="00D37D92"/>
    <w:rsid w:val="00D37FE1"/>
    <w:rsid w:val="00D4035D"/>
    <w:rsid w:val="00D40428"/>
    <w:rsid w:val="00D4070B"/>
    <w:rsid w:val="00D4091E"/>
    <w:rsid w:val="00D40988"/>
    <w:rsid w:val="00D40A7B"/>
    <w:rsid w:val="00D40D35"/>
    <w:rsid w:val="00D40F81"/>
    <w:rsid w:val="00D411E2"/>
    <w:rsid w:val="00D41347"/>
    <w:rsid w:val="00D4151B"/>
    <w:rsid w:val="00D41569"/>
    <w:rsid w:val="00D41672"/>
    <w:rsid w:val="00D41709"/>
    <w:rsid w:val="00D41924"/>
    <w:rsid w:val="00D41931"/>
    <w:rsid w:val="00D4197A"/>
    <w:rsid w:val="00D419C6"/>
    <w:rsid w:val="00D41B41"/>
    <w:rsid w:val="00D41CE2"/>
    <w:rsid w:val="00D42535"/>
    <w:rsid w:val="00D4269A"/>
    <w:rsid w:val="00D4284A"/>
    <w:rsid w:val="00D4299A"/>
    <w:rsid w:val="00D42A8E"/>
    <w:rsid w:val="00D42C94"/>
    <w:rsid w:val="00D42D7B"/>
    <w:rsid w:val="00D432D8"/>
    <w:rsid w:val="00D43484"/>
    <w:rsid w:val="00D4352D"/>
    <w:rsid w:val="00D43563"/>
    <w:rsid w:val="00D43740"/>
    <w:rsid w:val="00D43B9E"/>
    <w:rsid w:val="00D43CD0"/>
    <w:rsid w:val="00D44180"/>
    <w:rsid w:val="00D44453"/>
    <w:rsid w:val="00D44849"/>
    <w:rsid w:val="00D4492B"/>
    <w:rsid w:val="00D44A61"/>
    <w:rsid w:val="00D44A68"/>
    <w:rsid w:val="00D44B66"/>
    <w:rsid w:val="00D44C2B"/>
    <w:rsid w:val="00D44D8B"/>
    <w:rsid w:val="00D44DC8"/>
    <w:rsid w:val="00D44E2F"/>
    <w:rsid w:val="00D44F23"/>
    <w:rsid w:val="00D44F54"/>
    <w:rsid w:val="00D4508D"/>
    <w:rsid w:val="00D45628"/>
    <w:rsid w:val="00D457A7"/>
    <w:rsid w:val="00D457D2"/>
    <w:rsid w:val="00D458AA"/>
    <w:rsid w:val="00D45D1A"/>
    <w:rsid w:val="00D45D1D"/>
    <w:rsid w:val="00D45DBB"/>
    <w:rsid w:val="00D460B1"/>
    <w:rsid w:val="00D4610B"/>
    <w:rsid w:val="00D46185"/>
    <w:rsid w:val="00D4619B"/>
    <w:rsid w:val="00D46387"/>
    <w:rsid w:val="00D46548"/>
    <w:rsid w:val="00D465E8"/>
    <w:rsid w:val="00D469AB"/>
    <w:rsid w:val="00D469CC"/>
    <w:rsid w:val="00D46BD4"/>
    <w:rsid w:val="00D46C33"/>
    <w:rsid w:val="00D46CBD"/>
    <w:rsid w:val="00D46CFD"/>
    <w:rsid w:val="00D474DC"/>
    <w:rsid w:val="00D4768F"/>
    <w:rsid w:val="00D476AC"/>
    <w:rsid w:val="00D4770E"/>
    <w:rsid w:val="00D47793"/>
    <w:rsid w:val="00D478D2"/>
    <w:rsid w:val="00D47C3C"/>
    <w:rsid w:val="00D47D8E"/>
    <w:rsid w:val="00D501F4"/>
    <w:rsid w:val="00D5030F"/>
    <w:rsid w:val="00D50323"/>
    <w:rsid w:val="00D503DF"/>
    <w:rsid w:val="00D505AA"/>
    <w:rsid w:val="00D50635"/>
    <w:rsid w:val="00D50700"/>
    <w:rsid w:val="00D50D13"/>
    <w:rsid w:val="00D50E62"/>
    <w:rsid w:val="00D50F53"/>
    <w:rsid w:val="00D510B5"/>
    <w:rsid w:val="00D5125B"/>
    <w:rsid w:val="00D5129F"/>
    <w:rsid w:val="00D513C3"/>
    <w:rsid w:val="00D51534"/>
    <w:rsid w:val="00D518B7"/>
    <w:rsid w:val="00D51A3F"/>
    <w:rsid w:val="00D51AAA"/>
    <w:rsid w:val="00D51CD0"/>
    <w:rsid w:val="00D51CDD"/>
    <w:rsid w:val="00D51E39"/>
    <w:rsid w:val="00D51E9D"/>
    <w:rsid w:val="00D520ED"/>
    <w:rsid w:val="00D52398"/>
    <w:rsid w:val="00D5255B"/>
    <w:rsid w:val="00D525A8"/>
    <w:rsid w:val="00D529BB"/>
    <w:rsid w:val="00D52D0E"/>
    <w:rsid w:val="00D52DD8"/>
    <w:rsid w:val="00D53156"/>
    <w:rsid w:val="00D5319D"/>
    <w:rsid w:val="00D531BD"/>
    <w:rsid w:val="00D53201"/>
    <w:rsid w:val="00D5332B"/>
    <w:rsid w:val="00D5346E"/>
    <w:rsid w:val="00D53A47"/>
    <w:rsid w:val="00D53BCA"/>
    <w:rsid w:val="00D53E97"/>
    <w:rsid w:val="00D54148"/>
    <w:rsid w:val="00D541AD"/>
    <w:rsid w:val="00D54280"/>
    <w:rsid w:val="00D543EF"/>
    <w:rsid w:val="00D5452F"/>
    <w:rsid w:val="00D547FF"/>
    <w:rsid w:val="00D54932"/>
    <w:rsid w:val="00D54A54"/>
    <w:rsid w:val="00D54B53"/>
    <w:rsid w:val="00D54BAA"/>
    <w:rsid w:val="00D54F98"/>
    <w:rsid w:val="00D55368"/>
    <w:rsid w:val="00D55540"/>
    <w:rsid w:val="00D55554"/>
    <w:rsid w:val="00D5562A"/>
    <w:rsid w:val="00D556EE"/>
    <w:rsid w:val="00D5579E"/>
    <w:rsid w:val="00D557F1"/>
    <w:rsid w:val="00D558AD"/>
    <w:rsid w:val="00D559B7"/>
    <w:rsid w:val="00D55B9F"/>
    <w:rsid w:val="00D55BCF"/>
    <w:rsid w:val="00D55C9F"/>
    <w:rsid w:val="00D55D06"/>
    <w:rsid w:val="00D55D98"/>
    <w:rsid w:val="00D55E0B"/>
    <w:rsid w:val="00D55F13"/>
    <w:rsid w:val="00D56027"/>
    <w:rsid w:val="00D561B1"/>
    <w:rsid w:val="00D561D4"/>
    <w:rsid w:val="00D562C7"/>
    <w:rsid w:val="00D56456"/>
    <w:rsid w:val="00D565B5"/>
    <w:rsid w:val="00D567C7"/>
    <w:rsid w:val="00D56843"/>
    <w:rsid w:val="00D568BF"/>
    <w:rsid w:val="00D568DF"/>
    <w:rsid w:val="00D56A11"/>
    <w:rsid w:val="00D56AEE"/>
    <w:rsid w:val="00D56B41"/>
    <w:rsid w:val="00D56C4C"/>
    <w:rsid w:val="00D56DC4"/>
    <w:rsid w:val="00D56DEB"/>
    <w:rsid w:val="00D56F8A"/>
    <w:rsid w:val="00D56FF9"/>
    <w:rsid w:val="00D57282"/>
    <w:rsid w:val="00D572FF"/>
    <w:rsid w:val="00D57524"/>
    <w:rsid w:val="00D57888"/>
    <w:rsid w:val="00D578D0"/>
    <w:rsid w:val="00D57B36"/>
    <w:rsid w:val="00D57C22"/>
    <w:rsid w:val="00D57C25"/>
    <w:rsid w:val="00D57DD5"/>
    <w:rsid w:val="00D602C9"/>
    <w:rsid w:val="00D60364"/>
    <w:rsid w:val="00D6040B"/>
    <w:rsid w:val="00D60475"/>
    <w:rsid w:val="00D605B0"/>
    <w:rsid w:val="00D6064A"/>
    <w:rsid w:val="00D60B6F"/>
    <w:rsid w:val="00D60D2E"/>
    <w:rsid w:val="00D60E1C"/>
    <w:rsid w:val="00D60E77"/>
    <w:rsid w:val="00D610A4"/>
    <w:rsid w:val="00D61215"/>
    <w:rsid w:val="00D61589"/>
    <w:rsid w:val="00D61597"/>
    <w:rsid w:val="00D61937"/>
    <w:rsid w:val="00D61B8C"/>
    <w:rsid w:val="00D61D1B"/>
    <w:rsid w:val="00D622FF"/>
    <w:rsid w:val="00D62308"/>
    <w:rsid w:val="00D6231D"/>
    <w:rsid w:val="00D623B5"/>
    <w:rsid w:val="00D6248F"/>
    <w:rsid w:val="00D62498"/>
    <w:rsid w:val="00D62688"/>
    <w:rsid w:val="00D62D23"/>
    <w:rsid w:val="00D62DA7"/>
    <w:rsid w:val="00D62EEA"/>
    <w:rsid w:val="00D62F56"/>
    <w:rsid w:val="00D62FDA"/>
    <w:rsid w:val="00D6326D"/>
    <w:rsid w:val="00D632ED"/>
    <w:rsid w:val="00D63389"/>
    <w:rsid w:val="00D63610"/>
    <w:rsid w:val="00D639B8"/>
    <w:rsid w:val="00D63B77"/>
    <w:rsid w:val="00D63E64"/>
    <w:rsid w:val="00D64048"/>
    <w:rsid w:val="00D64165"/>
    <w:rsid w:val="00D6425B"/>
    <w:rsid w:val="00D6426B"/>
    <w:rsid w:val="00D64392"/>
    <w:rsid w:val="00D64444"/>
    <w:rsid w:val="00D64464"/>
    <w:rsid w:val="00D645ED"/>
    <w:rsid w:val="00D6462E"/>
    <w:rsid w:val="00D64688"/>
    <w:rsid w:val="00D6483A"/>
    <w:rsid w:val="00D648B6"/>
    <w:rsid w:val="00D64A1C"/>
    <w:rsid w:val="00D64A4F"/>
    <w:rsid w:val="00D6504F"/>
    <w:rsid w:val="00D6512C"/>
    <w:rsid w:val="00D651C8"/>
    <w:rsid w:val="00D652D9"/>
    <w:rsid w:val="00D65364"/>
    <w:rsid w:val="00D6547E"/>
    <w:rsid w:val="00D654DD"/>
    <w:rsid w:val="00D6558A"/>
    <w:rsid w:val="00D65673"/>
    <w:rsid w:val="00D65772"/>
    <w:rsid w:val="00D65853"/>
    <w:rsid w:val="00D65897"/>
    <w:rsid w:val="00D658B5"/>
    <w:rsid w:val="00D659A5"/>
    <w:rsid w:val="00D65A75"/>
    <w:rsid w:val="00D65AEE"/>
    <w:rsid w:val="00D65B1D"/>
    <w:rsid w:val="00D65DA8"/>
    <w:rsid w:val="00D65DFA"/>
    <w:rsid w:val="00D65EFC"/>
    <w:rsid w:val="00D660F1"/>
    <w:rsid w:val="00D6656E"/>
    <w:rsid w:val="00D665A9"/>
    <w:rsid w:val="00D666D4"/>
    <w:rsid w:val="00D667A4"/>
    <w:rsid w:val="00D66872"/>
    <w:rsid w:val="00D66959"/>
    <w:rsid w:val="00D669F0"/>
    <w:rsid w:val="00D66B91"/>
    <w:rsid w:val="00D66D82"/>
    <w:rsid w:val="00D671CC"/>
    <w:rsid w:val="00D67213"/>
    <w:rsid w:val="00D672A0"/>
    <w:rsid w:val="00D67325"/>
    <w:rsid w:val="00D673AD"/>
    <w:rsid w:val="00D673D4"/>
    <w:rsid w:val="00D6749B"/>
    <w:rsid w:val="00D67514"/>
    <w:rsid w:val="00D676B6"/>
    <w:rsid w:val="00D67784"/>
    <w:rsid w:val="00D67833"/>
    <w:rsid w:val="00D6795C"/>
    <w:rsid w:val="00D67A90"/>
    <w:rsid w:val="00D67B06"/>
    <w:rsid w:val="00D67C2A"/>
    <w:rsid w:val="00D67E30"/>
    <w:rsid w:val="00D67E67"/>
    <w:rsid w:val="00D67E6F"/>
    <w:rsid w:val="00D67EEA"/>
    <w:rsid w:val="00D701CC"/>
    <w:rsid w:val="00D70855"/>
    <w:rsid w:val="00D70933"/>
    <w:rsid w:val="00D70CEE"/>
    <w:rsid w:val="00D70DCE"/>
    <w:rsid w:val="00D70FD0"/>
    <w:rsid w:val="00D710B2"/>
    <w:rsid w:val="00D713FD"/>
    <w:rsid w:val="00D7162A"/>
    <w:rsid w:val="00D7167D"/>
    <w:rsid w:val="00D717FD"/>
    <w:rsid w:val="00D71C17"/>
    <w:rsid w:val="00D7215A"/>
    <w:rsid w:val="00D72312"/>
    <w:rsid w:val="00D72734"/>
    <w:rsid w:val="00D728F4"/>
    <w:rsid w:val="00D72AA2"/>
    <w:rsid w:val="00D72D7E"/>
    <w:rsid w:val="00D72DE2"/>
    <w:rsid w:val="00D72E89"/>
    <w:rsid w:val="00D73042"/>
    <w:rsid w:val="00D730F8"/>
    <w:rsid w:val="00D7312D"/>
    <w:rsid w:val="00D7324B"/>
    <w:rsid w:val="00D73321"/>
    <w:rsid w:val="00D73391"/>
    <w:rsid w:val="00D733D7"/>
    <w:rsid w:val="00D734B7"/>
    <w:rsid w:val="00D734C7"/>
    <w:rsid w:val="00D7354D"/>
    <w:rsid w:val="00D7370E"/>
    <w:rsid w:val="00D739D7"/>
    <w:rsid w:val="00D73CD7"/>
    <w:rsid w:val="00D73D99"/>
    <w:rsid w:val="00D73DE8"/>
    <w:rsid w:val="00D73EB5"/>
    <w:rsid w:val="00D73EDE"/>
    <w:rsid w:val="00D74133"/>
    <w:rsid w:val="00D7413A"/>
    <w:rsid w:val="00D7417F"/>
    <w:rsid w:val="00D74200"/>
    <w:rsid w:val="00D7424A"/>
    <w:rsid w:val="00D74354"/>
    <w:rsid w:val="00D743A0"/>
    <w:rsid w:val="00D7449E"/>
    <w:rsid w:val="00D748DA"/>
    <w:rsid w:val="00D74ABA"/>
    <w:rsid w:val="00D74CBB"/>
    <w:rsid w:val="00D74D8F"/>
    <w:rsid w:val="00D74E0B"/>
    <w:rsid w:val="00D74E53"/>
    <w:rsid w:val="00D750DE"/>
    <w:rsid w:val="00D7510C"/>
    <w:rsid w:val="00D75413"/>
    <w:rsid w:val="00D75566"/>
    <w:rsid w:val="00D759C6"/>
    <w:rsid w:val="00D75AE0"/>
    <w:rsid w:val="00D75BC8"/>
    <w:rsid w:val="00D75FB8"/>
    <w:rsid w:val="00D76144"/>
    <w:rsid w:val="00D76320"/>
    <w:rsid w:val="00D76352"/>
    <w:rsid w:val="00D76479"/>
    <w:rsid w:val="00D765F6"/>
    <w:rsid w:val="00D76714"/>
    <w:rsid w:val="00D76821"/>
    <w:rsid w:val="00D769B1"/>
    <w:rsid w:val="00D76ABD"/>
    <w:rsid w:val="00D76FB7"/>
    <w:rsid w:val="00D77409"/>
    <w:rsid w:val="00D7741C"/>
    <w:rsid w:val="00D7742A"/>
    <w:rsid w:val="00D774CD"/>
    <w:rsid w:val="00D777C9"/>
    <w:rsid w:val="00D778FD"/>
    <w:rsid w:val="00D77AA9"/>
    <w:rsid w:val="00D77B98"/>
    <w:rsid w:val="00D77D3A"/>
    <w:rsid w:val="00D77D5A"/>
    <w:rsid w:val="00D77E09"/>
    <w:rsid w:val="00D80255"/>
    <w:rsid w:val="00D802A5"/>
    <w:rsid w:val="00D80470"/>
    <w:rsid w:val="00D804B0"/>
    <w:rsid w:val="00D80675"/>
    <w:rsid w:val="00D80715"/>
    <w:rsid w:val="00D8093D"/>
    <w:rsid w:val="00D80A7D"/>
    <w:rsid w:val="00D80B6C"/>
    <w:rsid w:val="00D80E88"/>
    <w:rsid w:val="00D81117"/>
    <w:rsid w:val="00D8114E"/>
    <w:rsid w:val="00D8126D"/>
    <w:rsid w:val="00D813DE"/>
    <w:rsid w:val="00D814DB"/>
    <w:rsid w:val="00D8164E"/>
    <w:rsid w:val="00D818C7"/>
    <w:rsid w:val="00D81B98"/>
    <w:rsid w:val="00D81D94"/>
    <w:rsid w:val="00D8203A"/>
    <w:rsid w:val="00D82243"/>
    <w:rsid w:val="00D8227B"/>
    <w:rsid w:val="00D82363"/>
    <w:rsid w:val="00D826B0"/>
    <w:rsid w:val="00D82965"/>
    <w:rsid w:val="00D82B19"/>
    <w:rsid w:val="00D82BBD"/>
    <w:rsid w:val="00D82F7A"/>
    <w:rsid w:val="00D82FDE"/>
    <w:rsid w:val="00D82FF3"/>
    <w:rsid w:val="00D8315E"/>
    <w:rsid w:val="00D83283"/>
    <w:rsid w:val="00D834D9"/>
    <w:rsid w:val="00D83626"/>
    <w:rsid w:val="00D8375F"/>
    <w:rsid w:val="00D83D48"/>
    <w:rsid w:val="00D83E0B"/>
    <w:rsid w:val="00D83E40"/>
    <w:rsid w:val="00D8407C"/>
    <w:rsid w:val="00D841DE"/>
    <w:rsid w:val="00D841E1"/>
    <w:rsid w:val="00D8439A"/>
    <w:rsid w:val="00D84731"/>
    <w:rsid w:val="00D8479C"/>
    <w:rsid w:val="00D84AA4"/>
    <w:rsid w:val="00D84F78"/>
    <w:rsid w:val="00D84FC3"/>
    <w:rsid w:val="00D8572D"/>
    <w:rsid w:val="00D85D0C"/>
    <w:rsid w:val="00D85D6D"/>
    <w:rsid w:val="00D85F66"/>
    <w:rsid w:val="00D860E6"/>
    <w:rsid w:val="00D8615B"/>
    <w:rsid w:val="00D8647B"/>
    <w:rsid w:val="00D8656B"/>
    <w:rsid w:val="00D866B3"/>
    <w:rsid w:val="00D86713"/>
    <w:rsid w:val="00D86CE4"/>
    <w:rsid w:val="00D86DBD"/>
    <w:rsid w:val="00D86FC3"/>
    <w:rsid w:val="00D87077"/>
    <w:rsid w:val="00D87271"/>
    <w:rsid w:val="00D873F1"/>
    <w:rsid w:val="00D8797E"/>
    <w:rsid w:val="00D87A64"/>
    <w:rsid w:val="00D87A82"/>
    <w:rsid w:val="00D87E5F"/>
    <w:rsid w:val="00D87EA2"/>
    <w:rsid w:val="00D87F77"/>
    <w:rsid w:val="00D9007F"/>
    <w:rsid w:val="00D903F0"/>
    <w:rsid w:val="00D9062C"/>
    <w:rsid w:val="00D9065F"/>
    <w:rsid w:val="00D906C7"/>
    <w:rsid w:val="00D909BF"/>
    <w:rsid w:val="00D909ED"/>
    <w:rsid w:val="00D90C01"/>
    <w:rsid w:val="00D90C57"/>
    <w:rsid w:val="00D90E56"/>
    <w:rsid w:val="00D90ED2"/>
    <w:rsid w:val="00D90F56"/>
    <w:rsid w:val="00D90FCB"/>
    <w:rsid w:val="00D911F4"/>
    <w:rsid w:val="00D9121C"/>
    <w:rsid w:val="00D914AF"/>
    <w:rsid w:val="00D914E5"/>
    <w:rsid w:val="00D915A1"/>
    <w:rsid w:val="00D91661"/>
    <w:rsid w:val="00D91B04"/>
    <w:rsid w:val="00D91B1A"/>
    <w:rsid w:val="00D91CE5"/>
    <w:rsid w:val="00D92066"/>
    <w:rsid w:val="00D920CB"/>
    <w:rsid w:val="00D92226"/>
    <w:rsid w:val="00D92370"/>
    <w:rsid w:val="00D92446"/>
    <w:rsid w:val="00D9248E"/>
    <w:rsid w:val="00D9268D"/>
    <w:rsid w:val="00D9275C"/>
    <w:rsid w:val="00D92BB1"/>
    <w:rsid w:val="00D92DA2"/>
    <w:rsid w:val="00D92DCD"/>
    <w:rsid w:val="00D92E46"/>
    <w:rsid w:val="00D92E87"/>
    <w:rsid w:val="00D92EE3"/>
    <w:rsid w:val="00D92FD0"/>
    <w:rsid w:val="00D9308B"/>
    <w:rsid w:val="00D931E9"/>
    <w:rsid w:val="00D93298"/>
    <w:rsid w:val="00D9329D"/>
    <w:rsid w:val="00D93487"/>
    <w:rsid w:val="00D936EE"/>
    <w:rsid w:val="00D93712"/>
    <w:rsid w:val="00D9386D"/>
    <w:rsid w:val="00D938EB"/>
    <w:rsid w:val="00D93E36"/>
    <w:rsid w:val="00D941A4"/>
    <w:rsid w:val="00D9421F"/>
    <w:rsid w:val="00D942A5"/>
    <w:rsid w:val="00D943A0"/>
    <w:rsid w:val="00D94481"/>
    <w:rsid w:val="00D9455D"/>
    <w:rsid w:val="00D94650"/>
    <w:rsid w:val="00D94757"/>
    <w:rsid w:val="00D94882"/>
    <w:rsid w:val="00D9489B"/>
    <w:rsid w:val="00D94B8F"/>
    <w:rsid w:val="00D94D87"/>
    <w:rsid w:val="00D94D96"/>
    <w:rsid w:val="00D94F86"/>
    <w:rsid w:val="00D94FFC"/>
    <w:rsid w:val="00D95056"/>
    <w:rsid w:val="00D9516B"/>
    <w:rsid w:val="00D952CC"/>
    <w:rsid w:val="00D955F4"/>
    <w:rsid w:val="00D957EF"/>
    <w:rsid w:val="00D95914"/>
    <w:rsid w:val="00D9596A"/>
    <w:rsid w:val="00D95A67"/>
    <w:rsid w:val="00D95C9F"/>
    <w:rsid w:val="00D95D75"/>
    <w:rsid w:val="00D95E66"/>
    <w:rsid w:val="00D95E92"/>
    <w:rsid w:val="00D95EE0"/>
    <w:rsid w:val="00D9617F"/>
    <w:rsid w:val="00D961C5"/>
    <w:rsid w:val="00D9637F"/>
    <w:rsid w:val="00D9651E"/>
    <w:rsid w:val="00D9674D"/>
    <w:rsid w:val="00D967FC"/>
    <w:rsid w:val="00D96C55"/>
    <w:rsid w:val="00D96D59"/>
    <w:rsid w:val="00D96E77"/>
    <w:rsid w:val="00D96F4D"/>
    <w:rsid w:val="00D972F5"/>
    <w:rsid w:val="00D97363"/>
    <w:rsid w:val="00D974DF"/>
    <w:rsid w:val="00D976E3"/>
    <w:rsid w:val="00D97814"/>
    <w:rsid w:val="00D97853"/>
    <w:rsid w:val="00D97876"/>
    <w:rsid w:val="00D97AF8"/>
    <w:rsid w:val="00D97B1F"/>
    <w:rsid w:val="00D97CD0"/>
    <w:rsid w:val="00D97D87"/>
    <w:rsid w:val="00DA0009"/>
    <w:rsid w:val="00DA00C5"/>
    <w:rsid w:val="00DA01EC"/>
    <w:rsid w:val="00DA0225"/>
    <w:rsid w:val="00DA0306"/>
    <w:rsid w:val="00DA034F"/>
    <w:rsid w:val="00DA03E1"/>
    <w:rsid w:val="00DA054F"/>
    <w:rsid w:val="00DA05FF"/>
    <w:rsid w:val="00DA0615"/>
    <w:rsid w:val="00DA0662"/>
    <w:rsid w:val="00DA076B"/>
    <w:rsid w:val="00DA0C28"/>
    <w:rsid w:val="00DA0DD7"/>
    <w:rsid w:val="00DA0E15"/>
    <w:rsid w:val="00DA103A"/>
    <w:rsid w:val="00DA104D"/>
    <w:rsid w:val="00DA108C"/>
    <w:rsid w:val="00DA11BC"/>
    <w:rsid w:val="00DA13AC"/>
    <w:rsid w:val="00DA145B"/>
    <w:rsid w:val="00DA1892"/>
    <w:rsid w:val="00DA18E1"/>
    <w:rsid w:val="00DA1C3C"/>
    <w:rsid w:val="00DA1CDD"/>
    <w:rsid w:val="00DA1D1F"/>
    <w:rsid w:val="00DA1E06"/>
    <w:rsid w:val="00DA1F05"/>
    <w:rsid w:val="00DA2017"/>
    <w:rsid w:val="00DA2156"/>
    <w:rsid w:val="00DA2304"/>
    <w:rsid w:val="00DA2472"/>
    <w:rsid w:val="00DA2614"/>
    <w:rsid w:val="00DA26C2"/>
    <w:rsid w:val="00DA297B"/>
    <w:rsid w:val="00DA2A7A"/>
    <w:rsid w:val="00DA2B5A"/>
    <w:rsid w:val="00DA2CDF"/>
    <w:rsid w:val="00DA2F47"/>
    <w:rsid w:val="00DA2F9D"/>
    <w:rsid w:val="00DA3270"/>
    <w:rsid w:val="00DA3293"/>
    <w:rsid w:val="00DA3755"/>
    <w:rsid w:val="00DA38D7"/>
    <w:rsid w:val="00DA394D"/>
    <w:rsid w:val="00DA39F8"/>
    <w:rsid w:val="00DA3AA1"/>
    <w:rsid w:val="00DA3AC6"/>
    <w:rsid w:val="00DA3BB0"/>
    <w:rsid w:val="00DA3C46"/>
    <w:rsid w:val="00DA3E76"/>
    <w:rsid w:val="00DA3FF5"/>
    <w:rsid w:val="00DA417E"/>
    <w:rsid w:val="00DA4292"/>
    <w:rsid w:val="00DA4293"/>
    <w:rsid w:val="00DA46A1"/>
    <w:rsid w:val="00DA497D"/>
    <w:rsid w:val="00DA4A6E"/>
    <w:rsid w:val="00DA4A7D"/>
    <w:rsid w:val="00DA4D06"/>
    <w:rsid w:val="00DA4D6D"/>
    <w:rsid w:val="00DA4ED0"/>
    <w:rsid w:val="00DA4EE5"/>
    <w:rsid w:val="00DA50D2"/>
    <w:rsid w:val="00DA5188"/>
    <w:rsid w:val="00DA51BC"/>
    <w:rsid w:val="00DA51D6"/>
    <w:rsid w:val="00DA56B4"/>
    <w:rsid w:val="00DA5704"/>
    <w:rsid w:val="00DA58E2"/>
    <w:rsid w:val="00DA5BB5"/>
    <w:rsid w:val="00DA5D40"/>
    <w:rsid w:val="00DA5ED0"/>
    <w:rsid w:val="00DA5FE4"/>
    <w:rsid w:val="00DA600C"/>
    <w:rsid w:val="00DA61D5"/>
    <w:rsid w:val="00DA6331"/>
    <w:rsid w:val="00DA6514"/>
    <w:rsid w:val="00DA65ED"/>
    <w:rsid w:val="00DA664B"/>
    <w:rsid w:val="00DA671F"/>
    <w:rsid w:val="00DA6956"/>
    <w:rsid w:val="00DA69E9"/>
    <w:rsid w:val="00DA6AD7"/>
    <w:rsid w:val="00DA6AF5"/>
    <w:rsid w:val="00DA6B54"/>
    <w:rsid w:val="00DA6B7E"/>
    <w:rsid w:val="00DA6C51"/>
    <w:rsid w:val="00DA6F1F"/>
    <w:rsid w:val="00DA704D"/>
    <w:rsid w:val="00DA71A2"/>
    <w:rsid w:val="00DA7222"/>
    <w:rsid w:val="00DA7578"/>
    <w:rsid w:val="00DA7611"/>
    <w:rsid w:val="00DA792D"/>
    <w:rsid w:val="00DA7D95"/>
    <w:rsid w:val="00DA7E10"/>
    <w:rsid w:val="00DA7E50"/>
    <w:rsid w:val="00DA8049"/>
    <w:rsid w:val="00DB00F1"/>
    <w:rsid w:val="00DB013F"/>
    <w:rsid w:val="00DB0241"/>
    <w:rsid w:val="00DB058D"/>
    <w:rsid w:val="00DB06A2"/>
    <w:rsid w:val="00DB0B87"/>
    <w:rsid w:val="00DB0BEE"/>
    <w:rsid w:val="00DB0C80"/>
    <w:rsid w:val="00DB0E22"/>
    <w:rsid w:val="00DB1086"/>
    <w:rsid w:val="00DB10D7"/>
    <w:rsid w:val="00DB1186"/>
    <w:rsid w:val="00DB126E"/>
    <w:rsid w:val="00DB12A3"/>
    <w:rsid w:val="00DB19D1"/>
    <w:rsid w:val="00DB1AE3"/>
    <w:rsid w:val="00DB1B49"/>
    <w:rsid w:val="00DB1C06"/>
    <w:rsid w:val="00DB1DC8"/>
    <w:rsid w:val="00DB1DDF"/>
    <w:rsid w:val="00DB1DFC"/>
    <w:rsid w:val="00DB1E9D"/>
    <w:rsid w:val="00DB2036"/>
    <w:rsid w:val="00DB2120"/>
    <w:rsid w:val="00DB2184"/>
    <w:rsid w:val="00DB2298"/>
    <w:rsid w:val="00DB236A"/>
    <w:rsid w:val="00DB25FE"/>
    <w:rsid w:val="00DB2834"/>
    <w:rsid w:val="00DB292D"/>
    <w:rsid w:val="00DB2981"/>
    <w:rsid w:val="00DB2B03"/>
    <w:rsid w:val="00DB2C98"/>
    <w:rsid w:val="00DB2CC2"/>
    <w:rsid w:val="00DB2D3A"/>
    <w:rsid w:val="00DB2E0A"/>
    <w:rsid w:val="00DB2FB0"/>
    <w:rsid w:val="00DB328F"/>
    <w:rsid w:val="00DB33A4"/>
    <w:rsid w:val="00DB33C3"/>
    <w:rsid w:val="00DB3481"/>
    <w:rsid w:val="00DB3648"/>
    <w:rsid w:val="00DB3722"/>
    <w:rsid w:val="00DB37CC"/>
    <w:rsid w:val="00DB3A21"/>
    <w:rsid w:val="00DB3B7D"/>
    <w:rsid w:val="00DB3F57"/>
    <w:rsid w:val="00DB4017"/>
    <w:rsid w:val="00DB4059"/>
    <w:rsid w:val="00DB409B"/>
    <w:rsid w:val="00DB4249"/>
    <w:rsid w:val="00DB47B2"/>
    <w:rsid w:val="00DB4816"/>
    <w:rsid w:val="00DB4A30"/>
    <w:rsid w:val="00DB4DB4"/>
    <w:rsid w:val="00DB4E31"/>
    <w:rsid w:val="00DB509D"/>
    <w:rsid w:val="00DB5148"/>
    <w:rsid w:val="00DB51B5"/>
    <w:rsid w:val="00DB54BC"/>
    <w:rsid w:val="00DB556A"/>
    <w:rsid w:val="00DB55BA"/>
    <w:rsid w:val="00DB569D"/>
    <w:rsid w:val="00DB5C3F"/>
    <w:rsid w:val="00DB5E72"/>
    <w:rsid w:val="00DB601C"/>
    <w:rsid w:val="00DB6099"/>
    <w:rsid w:val="00DB6136"/>
    <w:rsid w:val="00DB636C"/>
    <w:rsid w:val="00DB6554"/>
    <w:rsid w:val="00DB65C8"/>
    <w:rsid w:val="00DB675F"/>
    <w:rsid w:val="00DB67B4"/>
    <w:rsid w:val="00DB6813"/>
    <w:rsid w:val="00DB6869"/>
    <w:rsid w:val="00DB6881"/>
    <w:rsid w:val="00DB6883"/>
    <w:rsid w:val="00DB6C1C"/>
    <w:rsid w:val="00DB6C43"/>
    <w:rsid w:val="00DB6CCE"/>
    <w:rsid w:val="00DB6DC3"/>
    <w:rsid w:val="00DB6FAF"/>
    <w:rsid w:val="00DB713A"/>
    <w:rsid w:val="00DB71FF"/>
    <w:rsid w:val="00DB7394"/>
    <w:rsid w:val="00DB73E8"/>
    <w:rsid w:val="00DB7438"/>
    <w:rsid w:val="00DB74E4"/>
    <w:rsid w:val="00DB7550"/>
    <w:rsid w:val="00DB76A3"/>
    <w:rsid w:val="00DB787E"/>
    <w:rsid w:val="00DB789E"/>
    <w:rsid w:val="00DB7931"/>
    <w:rsid w:val="00DB793E"/>
    <w:rsid w:val="00DB7A6B"/>
    <w:rsid w:val="00DB7D77"/>
    <w:rsid w:val="00DB7FE5"/>
    <w:rsid w:val="00DC023E"/>
    <w:rsid w:val="00DC041C"/>
    <w:rsid w:val="00DC043E"/>
    <w:rsid w:val="00DC048D"/>
    <w:rsid w:val="00DC04A9"/>
    <w:rsid w:val="00DC04CF"/>
    <w:rsid w:val="00DC07BE"/>
    <w:rsid w:val="00DC08F8"/>
    <w:rsid w:val="00DC0A1B"/>
    <w:rsid w:val="00DC0D5A"/>
    <w:rsid w:val="00DC0D8E"/>
    <w:rsid w:val="00DC0E7B"/>
    <w:rsid w:val="00DC0F5E"/>
    <w:rsid w:val="00DC1666"/>
    <w:rsid w:val="00DC1790"/>
    <w:rsid w:val="00DC1CC3"/>
    <w:rsid w:val="00DC1D00"/>
    <w:rsid w:val="00DC1D1D"/>
    <w:rsid w:val="00DC1DBB"/>
    <w:rsid w:val="00DC20B5"/>
    <w:rsid w:val="00DC223A"/>
    <w:rsid w:val="00DC249D"/>
    <w:rsid w:val="00DC24CC"/>
    <w:rsid w:val="00DC2824"/>
    <w:rsid w:val="00DC294E"/>
    <w:rsid w:val="00DC2A7D"/>
    <w:rsid w:val="00DC2EB6"/>
    <w:rsid w:val="00DC2ED4"/>
    <w:rsid w:val="00DC2EED"/>
    <w:rsid w:val="00DC2F47"/>
    <w:rsid w:val="00DC3013"/>
    <w:rsid w:val="00DC3329"/>
    <w:rsid w:val="00DC33E5"/>
    <w:rsid w:val="00DC364E"/>
    <w:rsid w:val="00DC37FA"/>
    <w:rsid w:val="00DC3878"/>
    <w:rsid w:val="00DC3C50"/>
    <w:rsid w:val="00DC3C6D"/>
    <w:rsid w:val="00DC3EE2"/>
    <w:rsid w:val="00DC3F8E"/>
    <w:rsid w:val="00DC3FA9"/>
    <w:rsid w:val="00DC4165"/>
    <w:rsid w:val="00DC41C8"/>
    <w:rsid w:val="00DC41C9"/>
    <w:rsid w:val="00DC446C"/>
    <w:rsid w:val="00DC47F7"/>
    <w:rsid w:val="00DC4816"/>
    <w:rsid w:val="00DC481A"/>
    <w:rsid w:val="00DC4853"/>
    <w:rsid w:val="00DC4A50"/>
    <w:rsid w:val="00DC4A71"/>
    <w:rsid w:val="00DC4ACF"/>
    <w:rsid w:val="00DC4AF0"/>
    <w:rsid w:val="00DC4C15"/>
    <w:rsid w:val="00DC4C88"/>
    <w:rsid w:val="00DC4E0B"/>
    <w:rsid w:val="00DC4E2F"/>
    <w:rsid w:val="00DC4EC9"/>
    <w:rsid w:val="00DC509A"/>
    <w:rsid w:val="00DC5555"/>
    <w:rsid w:val="00DC55AA"/>
    <w:rsid w:val="00DC56CD"/>
    <w:rsid w:val="00DC5796"/>
    <w:rsid w:val="00DC58CB"/>
    <w:rsid w:val="00DC596A"/>
    <w:rsid w:val="00DC5A02"/>
    <w:rsid w:val="00DC5ABD"/>
    <w:rsid w:val="00DC5DBF"/>
    <w:rsid w:val="00DC6165"/>
    <w:rsid w:val="00DC62E6"/>
    <w:rsid w:val="00DC6319"/>
    <w:rsid w:val="00DC6439"/>
    <w:rsid w:val="00DC6552"/>
    <w:rsid w:val="00DC677B"/>
    <w:rsid w:val="00DC6B89"/>
    <w:rsid w:val="00DC6B90"/>
    <w:rsid w:val="00DC6BE3"/>
    <w:rsid w:val="00DC6CD2"/>
    <w:rsid w:val="00DC6FE1"/>
    <w:rsid w:val="00DC708A"/>
    <w:rsid w:val="00DC728A"/>
    <w:rsid w:val="00DC7697"/>
    <w:rsid w:val="00DC76FD"/>
    <w:rsid w:val="00DC786A"/>
    <w:rsid w:val="00DC78FB"/>
    <w:rsid w:val="00DC7ACD"/>
    <w:rsid w:val="00DD00AE"/>
    <w:rsid w:val="00DD0173"/>
    <w:rsid w:val="00DD01CD"/>
    <w:rsid w:val="00DD039E"/>
    <w:rsid w:val="00DD0673"/>
    <w:rsid w:val="00DD0961"/>
    <w:rsid w:val="00DD0AAD"/>
    <w:rsid w:val="00DD0D85"/>
    <w:rsid w:val="00DD0FB2"/>
    <w:rsid w:val="00DD108A"/>
    <w:rsid w:val="00DD12A9"/>
    <w:rsid w:val="00DD1407"/>
    <w:rsid w:val="00DD169B"/>
    <w:rsid w:val="00DD16CE"/>
    <w:rsid w:val="00DD1995"/>
    <w:rsid w:val="00DD1B70"/>
    <w:rsid w:val="00DD1C29"/>
    <w:rsid w:val="00DD1F95"/>
    <w:rsid w:val="00DD2036"/>
    <w:rsid w:val="00DD2394"/>
    <w:rsid w:val="00DD23F7"/>
    <w:rsid w:val="00DD2411"/>
    <w:rsid w:val="00DD263C"/>
    <w:rsid w:val="00DD26D5"/>
    <w:rsid w:val="00DD2867"/>
    <w:rsid w:val="00DD2AC8"/>
    <w:rsid w:val="00DD2ADF"/>
    <w:rsid w:val="00DD2CCB"/>
    <w:rsid w:val="00DD2D62"/>
    <w:rsid w:val="00DD333A"/>
    <w:rsid w:val="00DD34D2"/>
    <w:rsid w:val="00DD379E"/>
    <w:rsid w:val="00DD392C"/>
    <w:rsid w:val="00DD39CD"/>
    <w:rsid w:val="00DD3A13"/>
    <w:rsid w:val="00DD3B80"/>
    <w:rsid w:val="00DD3CB0"/>
    <w:rsid w:val="00DD3CCC"/>
    <w:rsid w:val="00DD3CD8"/>
    <w:rsid w:val="00DD3FB3"/>
    <w:rsid w:val="00DD3FF3"/>
    <w:rsid w:val="00DD407F"/>
    <w:rsid w:val="00DD41FA"/>
    <w:rsid w:val="00DD42D2"/>
    <w:rsid w:val="00DD4365"/>
    <w:rsid w:val="00DD46CF"/>
    <w:rsid w:val="00DD49F5"/>
    <w:rsid w:val="00DD4B27"/>
    <w:rsid w:val="00DD5028"/>
    <w:rsid w:val="00DD50E3"/>
    <w:rsid w:val="00DD553F"/>
    <w:rsid w:val="00DD586B"/>
    <w:rsid w:val="00DD5A18"/>
    <w:rsid w:val="00DD5A7E"/>
    <w:rsid w:val="00DD5DD5"/>
    <w:rsid w:val="00DD5FF1"/>
    <w:rsid w:val="00DD600F"/>
    <w:rsid w:val="00DD617D"/>
    <w:rsid w:val="00DD61B6"/>
    <w:rsid w:val="00DD6281"/>
    <w:rsid w:val="00DD6488"/>
    <w:rsid w:val="00DD65C0"/>
    <w:rsid w:val="00DD6603"/>
    <w:rsid w:val="00DD660F"/>
    <w:rsid w:val="00DD6615"/>
    <w:rsid w:val="00DD6BFD"/>
    <w:rsid w:val="00DD6DA6"/>
    <w:rsid w:val="00DD6E12"/>
    <w:rsid w:val="00DD7099"/>
    <w:rsid w:val="00DD70F1"/>
    <w:rsid w:val="00DD753F"/>
    <w:rsid w:val="00DD7653"/>
    <w:rsid w:val="00DD766C"/>
    <w:rsid w:val="00DD7AE9"/>
    <w:rsid w:val="00DD7B80"/>
    <w:rsid w:val="00DD7D61"/>
    <w:rsid w:val="00DE0417"/>
    <w:rsid w:val="00DE07F3"/>
    <w:rsid w:val="00DE0960"/>
    <w:rsid w:val="00DE0DFE"/>
    <w:rsid w:val="00DE10FE"/>
    <w:rsid w:val="00DE1273"/>
    <w:rsid w:val="00DE1344"/>
    <w:rsid w:val="00DE159A"/>
    <w:rsid w:val="00DE169D"/>
    <w:rsid w:val="00DE1A78"/>
    <w:rsid w:val="00DE1B9D"/>
    <w:rsid w:val="00DE1C3C"/>
    <w:rsid w:val="00DE1C9F"/>
    <w:rsid w:val="00DE1D71"/>
    <w:rsid w:val="00DE1E7A"/>
    <w:rsid w:val="00DE1F3B"/>
    <w:rsid w:val="00DE2055"/>
    <w:rsid w:val="00DE2104"/>
    <w:rsid w:val="00DE2130"/>
    <w:rsid w:val="00DE2478"/>
    <w:rsid w:val="00DE256C"/>
    <w:rsid w:val="00DE25FB"/>
    <w:rsid w:val="00DE270F"/>
    <w:rsid w:val="00DE2777"/>
    <w:rsid w:val="00DE283E"/>
    <w:rsid w:val="00DE2905"/>
    <w:rsid w:val="00DE2A73"/>
    <w:rsid w:val="00DE2B45"/>
    <w:rsid w:val="00DE2CA6"/>
    <w:rsid w:val="00DE2CCC"/>
    <w:rsid w:val="00DE2CE3"/>
    <w:rsid w:val="00DE2D2D"/>
    <w:rsid w:val="00DE2DBB"/>
    <w:rsid w:val="00DE2E07"/>
    <w:rsid w:val="00DE2EB3"/>
    <w:rsid w:val="00DE32E0"/>
    <w:rsid w:val="00DE331A"/>
    <w:rsid w:val="00DE332F"/>
    <w:rsid w:val="00DE338B"/>
    <w:rsid w:val="00DE33B7"/>
    <w:rsid w:val="00DE35CB"/>
    <w:rsid w:val="00DE35D6"/>
    <w:rsid w:val="00DE361C"/>
    <w:rsid w:val="00DE37A5"/>
    <w:rsid w:val="00DE384F"/>
    <w:rsid w:val="00DE3942"/>
    <w:rsid w:val="00DE3BDB"/>
    <w:rsid w:val="00DE3CE1"/>
    <w:rsid w:val="00DE3CF5"/>
    <w:rsid w:val="00DE3D37"/>
    <w:rsid w:val="00DE3EE0"/>
    <w:rsid w:val="00DE404D"/>
    <w:rsid w:val="00DE40CC"/>
    <w:rsid w:val="00DE41DF"/>
    <w:rsid w:val="00DE4296"/>
    <w:rsid w:val="00DE42D2"/>
    <w:rsid w:val="00DE4659"/>
    <w:rsid w:val="00DE466E"/>
    <w:rsid w:val="00DE49E6"/>
    <w:rsid w:val="00DE4BF7"/>
    <w:rsid w:val="00DE4CDE"/>
    <w:rsid w:val="00DE4EF7"/>
    <w:rsid w:val="00DE5084"/>
    <w:rsid w:val="00DE5152"/>
    <w:rsid w:val="00DE5215"/>
    <w:rsid w:val="00DE5420"/>
    <w:rsid w:val="00DE5685"/>
    <w:rsid w:val="00DE58E3"/>
    <w:rsid w:val="00DE5D3F"/>
    <w:rsid w:val="00DE5E07"/>
    <w:rsid w:val="00DE5EEB"/>
    <w:rsid w:val="00DE6034"/>
    <w:rsid w:val="00DE608A"/>
    <w:rsid w:val="00DE6181"/>
    <w:rsid w:val="00DE61B3"/>
    <w:rsid w:val="00DE626A"/>
    <w:rsid w:val="00DE62CE"/>
    <w:rsid w:val="00DE64D4"/>
    <w:rsid w:val="00DE6640"/>
    <w:rsid w:val="00DE673E"/>
    <w:rsid w:val="00DE673F"/>
    <w:rsid w:val="00DE6852"/>
    <w:rsid w:val="00DE696C"/>
    <w:rsid w:val="00DE6A1E"/>
    <w:rsid w:val="00DE6C4A"/>
    <w:rsid w:val="00DE6CB5"/>
    <w:rsid w:val="00DE6DF2"/>
    <w:rsid w:val="00DE6F8F"/>
    <w:rsid w:val="00DE7026"/>
    <w:rsid w:val="00DE7472"/>
    <w:rsid w:val="00DE76CC"/>
    <w:rsid w:val="00DE776B"/>
    <w:rsid w:val="00DE77B8"/>
    <w:rsid w:val="00DE78C7"/>
    <w:rsid w:val="00DE7947"/>
    <w:rsid w:val="00DE7AB1"/>
    <w:rsid w:val="00DE7BB2"/>
    <w:rsid w:val="00DE7BC1"/>
    <w:rsid w:val="00DE7CAB"/>
    <w:rsid w:val="00DE7D7D"/>
    <w:rsid w:val="00DE7DE8"/>
    <w:rsid w:val="00DE7F6D"/>
    <w:rsid w:val="00DF0035"/>
    <w:rsid w:val="00DF0138"/>
    <w:rsid w:val="00DF0296"/>
    <w:rsid w:val="00DF05EA"/>
    <w:rsid w:val="00DF070D"/>
    <w:rsid w:val="00DF0A87"/>
    <w:rsid w:val="00DF0B50"/>
    <w:rsid w:val="00DF0CB6"/>
    <w:rsid w:val="00DF0FAA"/>
    <w:rsid w:val="00DF12D3"/>
    <w:rsid w:val="00DF154E"/>
    <w:rsid w:val="00DF164B"/>
    <w:rsid w:val="00DF16E7"/>
    <w:rsid w:val="00DF1801"/>
    <w:rsid w:val="00DF1827"/>
    <w:rsid w:val="00DF186A"/>
    <w:rsid w:val="00DF18B2"/>
    <w:rsid w:val="00DF1926"/>
    <w:rsid w:val="00DF19E5"/>
    <w:rsid w:val="00DF1C21"/>
    <w:rsid w:val="00DF1C59"/>
    <w:rsid w:val="00DF1F2F"/>
    <w:rsid w:val="00DF2101"/>
    <w:rsid w:val="00DF21A6"/>
    <w:rsid w:val="00DF24AD"/>
    <w:rsid w:val="00DF2604"/>
    <w:rsid w:val="00DF264C"/>
    <w:rsid w:val="00DF2809"/>
    <w:rsid w:val="00DF2892"/>
    <w:rsid w:val="00DF2B86"/>
    <w:rsid w:val="00DF2CB2"/>
    <w:rsid w:val="00DF2D5D"/>
    <w:rsid w:val="00DF2F6B"/>
    <w:rsid w:val="00DF2F73"/>
    <w:rsid w:val="00DF3062"/>
    <w:rsid w:val="00DF33D6"/>
    <w:rsid w:val="00DF3A98"/>
    <w:rsid w:val="00DF3B43"/>
    <w:rsid w:val="00DF3C3F"/>
    <w:rsid w:val="00DF3C4F"/>
    <w:rsid w:val="00DF3D98"/>
    <w:rsid w:val="00DF3FEF"/>
    <w:rsid w:val="00DF4186"/>
    <w:rsid w:val="00DF4188"/>
    <w:rsid w:val="00DF4460"/>
    <w:rsid w:val="00DF4695"/>
    <w:rsid w:val="00DF46CE"/>
    <w:rsid w:val="00DF4C2D"/>
    <w:rsid w:val="00DF4C51"/>
    <w:rsid w:val="00DF4CEF"/>
    <w:rsid w:val="00DF50A0"/>
    <w:rsid w:val="00DF5282"/>
    <w:rsid w:val="00DF5669"/>
    <w:rsid w:val="00DF56BA"/>
    <w:rsid w:val="00DF5833"/>
    <w:rsid w:val="00DF58DC"/>
    <w:rsid w:val="00DF5C3C"/>
    <w:rsid w:val="00DF5FF0"/>
    <w:rsid w:val="00DF63A8"/>
    <w:rsid w:val="00DF63DB"/>
    <w:rsid w:val="00DF64B2"/>
    <w:rsid w:val="00DF64ED"/>
    <w:rsid w:val="00DF656D"/>
    <w:rsid w:val="00DF6706"/>
    <w:rsid w:val="00DF6D18"/>
    <w:rsid w:val="00DF6D2D"/>
    <w:rsid w:val="00DF6ECE"/>
    <w:rsid w:val="00DF7041"/>
    <w:rsid w:val="00DF71D7"/>
    <w:rsid w:val="00DF733F"/>
    <w:rsid w:val="00DF756B"/>
    <w:rsid w:val="00DF7697"/>
    <w:rsid w:val="00DF786B"/>
    <w:rsid w:val="00DF7B5B"/>
    <w:rsid w:val="00DF7BD7"/>
    <w:rsid w:val="00DF7E60"/>
    <w:rsid w:val="00DF7FF7"/>
    <w:rsid w:val="00E00030"/>
    <w:rsid w:val="00E0022C"/>
    <w:rsid w:val="00E004D0"/>
    <w:rsid w:val="00E0064D"/>
    <w:rsid w:val="00E00B35"/>
    <w:rsid w:val="00E00B4F"/>
    <w:rsid w:val="00E00BD0"/>
    <w:rsid w:val="00E00D6B"/>
    <w:rsid w:val="00E00DF2"/>
    <w:rsid w:val="00E010AA"/>
    <w:rsid w:val="00E01244"/>
    <w:rsid w:val="00E013D5"/>
    <w:rsid w:val="00E01440"/>
    <w:rsid w:val="00E01554"/>
    <w:rsid w:val="00E01693"/>
    <w:rsid w:val="00E0171C"/>
    <w:rsid w:val="00E0173E"/>
    <w:rsid w:val="00E0198B"/>
    <w:rsid w:val="00E01A56"/>
    <w:rsid w:val="00E01C98"/>
    <w:rsid w:val="00E01CC8"/>
    <w:rsid w:val="00E01F15"/>
    <w:rsid w:val="00E02044"/>
    <w:rsid w:val="00E0206E"/>
    <w:rsid w:val="00E0214E"/>
    <w:rsid w:val="00E02280"/>
    <w:rsid w:val="00E02347"/>
    <w:rsid w:val="00E023A9"/>
    <w:rsid w:val="00E0240F"/>
    <w:rsid w:val="00E0260F"/>
    <w:rsid w:val="00E02876"/>
    <w:rsid w:val="00E0299E"/>
    <w:rsid w:val="00E02CF2"/>
    <w:rsid w:val="00E0303B"/>
    <w:rsid w:val="00E03218"/>
    <w:rsid w:val="00E033E0"/>
    <w:rsid w:val="00E0359D"/>
    <w:rsid w:val="00E035A3"/>
    <w:rsid w:val="00E0374D"/>
    <w:rsid w:val="00E038EF"/>
    <w:rsid w:val="00E03A34"/>
    <w:rsid w:val="00E03BA3"/>
    <w:rsid w:val="00E03BBE"/>
    <w:rsid w:val="00E03C5B"/>
    <w:rsid w:val="00E03C68"/>
    <w:rsid w:val="00E03EE6"/>
    <w:rsid w:val="00E03F86"/>
    <w:rsid w:val="00E04178"/>
    <w:rsid w:val="00E04253"/>
    <w:rsid w:val="00E04303"/>
    <w:rsid w:val="00E04623"/>
    <w:rsid w:val="00E048E8"/>
    <w:rsid w:val="00E049C4"/>
    <w:rsid w:val="00E04D4C"/>
    <w:rsid w:val="00E04ED5"/>
    <w:rsid w:val="00E050AF"/>
    <w:rsid w:val="00E0519A"/>
    <w:rsid w:val="00E0579C"/>
    <w:rsid w:val="00E0598A"/>
    <w:rsid w:val="00E059C1"/>
    <w:rsid w:val="00E05AD7"/>
    <w:rsid w:val="00E05B78"/>
    <w:rsid w:val="00E05B8F"/>
    <w:rsid w:val="00E05BE5"/>
    <w:rsid w:val="00E05EC6"/>
    <w:rsid w:val="00E05F0D"/>
    <w:rsid w:val="00E06141"/>
    <w:rsid w:val="00E06359"/>
    <w:rsid w:val="00E06366"/>
    <w:rsid w:val="00E06469"/>
    <w:rsid w:val="00E065FF"/>
    <w:rsid w:val="00E0671B"/>
    <w:rsid w:val="00E0675E"/>
    <w:rsid w:val="00E06780"/>
    <w:rsid w:val="00E06792"/>
    <w:rsid w:val="00E068F6"/>
    <w:rsid w:val="00E06927"/>
    <w:rsid w:val="00E06962"/>
    <w:rsid w:val="00E0699A"/>
    <w:rsid w:val="00E069C6"/>
    <w:rsid w:val="00E06A12"/>
    <w:rsid w:val="00E06A29"/>
    <w:rsid w:val="00E06AD4"/>
    <w:rsid w:val="00E06B60"/>
    <w:rsid w:val="00E06BFE"/>
    <w:rsid w:val="00E06CA2"/>
    <w:rsid w:val="00E071D8"/>
    <w:rsid w:val="00E072C2"/>
    <w:rsid w:val="00E07301"/>
    <w:rsid w:val="00E07355"/>
    <w:rsid w:val="00E07576"/>
    <w:rsid w:val="00E07803"/>
    <w:rsid w:val="00E07809"/>
    <w:rsid w:val="00E0780F"/>
    <w:rsid w:val="00E078F6"/>
    <w:rsid w:val="00E07914"/>
    <w:rsid w:val="00E07A8D"/>
    <w:rsid w:val="00E07AD3"/>
    <w:rsid w:val="00E07CE2"/>
    <w:rsid w:val="00E07CF6"/>
    <w:rsid w:val="00E07DE9"/>
    <w:rsid w:val="00E0CECF"/>
    <w:rsid w:val="00E100DF"/>
    <w:rsid w:val="00E101DC"/>
    <w:rsid w:val="00E107E0"/>
    <w:rsid w:val="00E10A0E"/>
    <w:rsid w:val="00E10A4D"/>
    <w:rsid w:val="00E10E9C"/>
    <w:rsid w:val="00E11021"/>
    <w:rsid w:val="00E111F6"/>
    <w:rsid w:val="00E11348"/>
    <w:rsid w:val="00E115DB"/>
    <w:rsid w:val="00E115EE"/>
    <w:rsid w:val="00E11789"/>
    <w:rsid w:val="00E117C3"/>
    <w:rsid w:val="00E118AB"/>
    <w:rsid w:val="00E11B2E"/>
    <w:rsid w:val="00E11C72"/>
    <w:rsid w:val="00E11D31"/>
    <w:rsid w:val="00E11D9C"/>
    <w:rsid w:val="00E1200D"/>
    <w:rsid w:val="00E125EE"/>
    <w:rsid w:val="00E128C3"/>
    <w:rsid w:val="00E129EE"/>
    <w:rsid w:val="00E12CF8"/>
    <w:rsid w:val="00E12DE3"/>
    <w:rsid w:val="00E12E0A"/>
    <w:rsid w:val="00E1310A"/>
    <w:rsid w:val="00E133A5"/>
    <w:rsid w:val="00E1342A"/>
    <w:rsid w:val="00E134D2"/>
    <w:rsid w:val="00E13645"/>
    <w:rsid w:val="00E13886"/>
    <w:rsid w:val="00E138E8"/>
    <w:rsid w:val="00E13A33"/>
    <w:rsid w:val="00E13C29"/>
    <w:rsid w:val="00E13DC3"/>
    <w:rsid w:val="00E13EAE"/>
    <w:rsid w:val="00E13F56"/>
    <w:rsid w:val="00E14100"/>
    <w:rsid w:val="00E1421E"/>
    <w:rsid w:val="00E1432C"/>
    <w:rsid w:val="00E14455"/>
    <w:rsid w:val="00E144BB"/>
    <w:rsid w:val="00E14658"/>
    <w:rsid w:val="00E1465F"/>
    <w:rsid w:val="00E146A7"/>
    <w:rsid w:val="00E14711"/>
    <w:rsid w:val="00E1482C"/>
    <w:rsid w:val="00E14985"/>
    <w:rsid w:val="00E149AB"/>
    <w:rsid w:val="00E14A3D"/>
    <w:rsid w:val="00E14EBE"/>
    <w:rsid w:val="00E14F31"/>
    <w:rsid w:val="00E15053"/>
    <w:rsid w:val="00E151E0"/>
    <w:rsid w:val="00E15526"/>
    <w:rsid w:val="00E15578"/>
    <w:rsid w:val="00E156FA"/>
    <w:rsid w:val="00E1588E"/>
    <w:rsid w:val="00E15A54"/>
    <w:rsid w:val="00E15C18"/>
    <w:rsid w:val="00E15D86"/>
    <w:rsid w:val="00E160E2"/>
    <w:rsid w:val="00E16480"/>
    <w:rsid w:val="00E16483"/>
    <w:rsid w:val="00E1648B"/>
    <w:rsid w:val="00E16609"/>
    <w:rsid w:val="00E167BD"/>
    <w:rsid w:val="00E169A1"/>
    <w:rsid w:val="00E16F27"/>
    <w:rsid w:val="00E16F63"/>
    <w:rsid w:val="00E1731F"/>
    <w:rsid w:val="00E17607"/>
    <w:rsid w:val="00E17632"/>
    <w:rsid w:val="00E1773B"/>
    <w:rsid w:val="00E17866"/>
    <w:rsid w:val="00E17AA0"/>
    <w:rsid w:val="00E17B1C"/>
    <w:rsid w:val="00E17C14"/>
    <w:rsid w:val="00E17D1D"/>
    <w:rsid w:val="00E17E74"/>
    <w:rsid w:val="00E200EC"/>
    <w:rsid w:val="00E20149"/>
    <w:rsid w:val="00E20447"/>
    <w:rsid w:val="00E20577"/>
    <w:rsid w:val="00E2090E"/>
    <w:rsid w:val="00E209BE"/>
    <w:rsid w:val="00E20A8A"/>
    <w:rsid w:val="00E20BFB"/>
    <w:rsid w:val="00E20EB0"/>
    <w:rsid w:val="00E20ED4"/>
    <w:rsid w:val="00E20FB9"/>
    <w:rsid w:val="00E21025"/>
    <w:rsid w:val="00E21180"/>
    <w:rsid w:val="00E211E0"/>
    <w:rsid w:val="00E2124D"/>
    <w:rsid w:val="00E2125D"/>
    <w:rsid w:val="00E21A0E"/>
    <w:rsid w:val="00E21A32"/>
    <w:rsid w:val="00E21F21"/>
    <w:rsid w:val="00E220F8"/>
    <w:rsid w:val="00E2226D"/>
    <w:rsid w:val="00E22276"/>
    <w:rsid w:val="00E22405"/>
    <w:rsid w:val="00E22570"/>
    <w:rsid w:val="00E2275D"/>
    <w:rsid w:val="00E2285C"/>
    <w:rsid w:val="00E22A85"/>
    <w:rsid w:val="00E22B7B"/>
    <w:rsid w:val="00E22BCD"/>
    <w:rsid w:val="00E22C94"/>
    <w:rsid w:val="00E22D9A"/>
    <w:rsid w:val="00E22EA7"/>
    <w:rsid w:val="00E22F6F"/>
    <w:rsid w:val="00E2304F"/>
    <w:rsid w:val="00E23238"/>
    <w:rsid w:val="00E2362C"/>
    <w:rsid w:val="00E236BE"/>
    <w:rsid w:val="00E23813"/>
    <w:rsid w:val="00E23D5A"/>
    <w:rsid w:val="00E2405D"/>
    <w:rsid w:val="00E241FD"/>
    <w:rsid w:val="00E2423C"/>
    <w:rsid w:val="00E242C3"/>
    <w:rsid w:val="00E2430D"/>
    <w:rsid w:val="00E2454A"/>
    <w:rsid w:val="00E2463D"/>
    <w:rsid w:val="00E246A7"/>
    <w:rsid w:val="00E24749"/>
    <w:rsid w:val="00E248E1"/>
    <w:rsid w:val="00E24928"/>
    <w:rsid w:val="00E24B70"/>
    <w:rsid w:val="00E24C7A"/>
    <w:rsid w:val="00E24D1B"/>
    <w:rsid w:val="00E24DCB"/>
    <w:rsid w:val="00E24E3E"/>
    <w:rsid w:val="00E24F07"/>
    <w:rsid w:val="00E25045"/>
    <w:rsid w:val="00E250E2"/>
    <w:rsid w:val="00E250FB"/>
    <w:rsid w:val="00E254B3"/>
    <w:rsid w:val="00E2552B"/>
    <w:rsid w:val="00E255C6"/>
    <w:rsid w:val="00E25655"/>
    <w:rsid w:val="00E25781"/>
    <w:rsid w:val="00E257EA"/>
    <w:rsid w:val="00E25B13"/>
    <w:rsid w:val="00E25D44"/>
    <w:rsid w:val="00E25DF0"/>
    <w:rsid w:val="00E25E54"/>
    <w:rsid w:val="00E25ECB"/>
    <w:rsid w:val="00E25FF6"/>
    <w:rsid w:val="00E2610D"/>
    <w:rsid w:val="00E26145"/>
    <w:rsid w:val="00E26384"/>
    <w:rsid w:val="00E26C04"/>
    <w:rsid w:val="00E26D44"/>
    <w:rsid w:val="00E26F0B"/>
    <w:rsid w:val="00E2715B"/>
    <w:rsid w:val="00E273EF"/>
    <w:rsid w:val="00E2744A"/>
    <w:rsid w:val="00E277CD"/>
    <w:rsid w:val="00E277DA"/>
    <w:rsid w:val="00E27AD0"/>
    <w:rsid w:val="00E27D1B"/>
    <w:rsid w:val="00E27D35"/>
    <w:rsid w:val="00E27D76"/>
    <w:rsid w:val="00E301F9"/>
    <w:rsid w:val="00E30313"/>
    <w:rsid w:val="00E303E7"/>
    <w:rsid w:val="00E30423"/>
    <w:rsid w:val="00E3053A"/>
    <w:rsid w:val="00E3081D"/>
    <w:rsid w:val="00E30827"/>
    <w:rsid w:val="00E30848"/>
    <w:rsid w:val="00E30A9C"/>
    <w:rsid w:val="00E30B37"/>
    <w:rsid w:val="00E30BE7"/>
    <w:rsid w:val="00E30D75"/>
    <w:rsid w:val="00E30EB7"/>
    <w:rsid w:val="00E311C6"/>
    <w:rsid w:val="00E311DE"/>
    <w:rsid w:val="00E312E9"/>
    <w:rsid w:val="00E3169E"/>
    <w:rsid w:val="00E317ED"/>
    <w:rsid w:val="00E31830"/>
    <w:rsid w:val="00E31ABA"/>
    <w:rsid w:val="00E31C55"/>
    <w:rsid w:val="00E31C5F"/>
    <w:rsid w:val="00E31D4E"/>
    <w:rsid w:val="00E31FAF"/>
    <w:rsid w:val="00E323A0"/>
    <w:rsid w:val="00E32551"/>
    <w:rsid w:val="00E328FC"/>
    <w:rsid w:val="00E32BE7"/>
    <w:rsid w:val="00E32DCE"/>
    <w:rsid w:val="00E32E55"/>
    <w:rsid w:val="00E3305A"/>
    <w:rsid w:val="00E33063"/>
    <w:rsid w:val="00E330C9"/>
    <w:rsid w:val="00E3311B"/>
    <w:rsid w:val="00E331F9"/>
    <w:rsid w:val="00E3351B"/>
    <w:rsid w:val="00E3372F"/>
    <w:rsid w:val="00E338AE"/>
    <w:rsid w:val="00E3391D"/>
    <w:rsid w:val="00E339F8"/>
    <w:rsid w:val="00E33B29"/>
    <w:rsid w:val="00E33C58"/>
    <w:rsid w:val="00E34049"/>
    <w:rsid w:val="00E34356"/>
    <w:rsid w:val="00E3467F"/>
    <w:rsid w:val="00E346B1"/>
    <w:rsid w:val="00E3476E"/>
    <w:rsid w:val="00E347F6"/>
    <w:rsid w:val="00E348E0"/>
    <w:rsid w:val="00E34928"/>
    <w:rsid w:val="00E34CA2"/>
    <w:rsid w:val="00E34F25"/>
    <w:rsid w:val="00E34FBE"/>
    <w:rsid w:val="00E35234"/>
    <w:rsid w:val="00E352F5"/>
    <w:rsid w:val="00E3545E"/>
    <w:rsid w:val="00E3553A"/>
    <w:rsid w:val="00E357F3"/>
    <w:rsid w:val="00E35836"/>
    <w:rsid w:val="00E35D7C"/>
    <w:rsid w:val="00E3600D"/>
    <w:rsid w:val="00E363B4"/>
    <w:rsid w:val="00E363DA"/>
    <w:rsid w:val="00E364D5"/>
    <w:rsid w:val="00E3650C"/>
    <w:rsid w:val="00E3677E"/>
    <w:rsid w:val="00E3682D"/>
    <w:rsid w:val="00E370A0"/>
    <w:rsid w:val="00E37199"/>
    <w:rsid w:val="00E371DD"/>
    <w:rsid w:val="00E373B8"/>
    <w:rsid w:val="00E375C8"/>
    <w:rsid w:val="00E37862"/>
    <w:rsid w:val="00E37A94"/>
    <w:rsid w:val="00E37DB7"/>
    <w:rsid w:val="00E37FE4"/>
    <w:rsid w:val="00E4019A"/>
    <w:rsid w:val="00E407C6"/>
    <w:rsid w:val="00E40918"/>
    <w:rsid w:val="00E4096B"/>
    <w:rsid w:val="00E409FC"/>
    <w:rsid w:val="00E40DD5"/>
    <w:rsid w:val="00E40EE9"/>
    <w:rsid w:val="00E40EFA"/>
    <w:rsid w:val="00E4106A"/>
    <w:rsid w:val="00E410FE"/>
    <w:rsid w:val="00E41165"/>
    <w:rsid w:val="00E41182"/>
    <w:rsid w:val="00E413D2"/>
    <w:rsid w:val="00E4152B"/>
    <w:rsid w:val="00E41583"/>
    <w:rsid w:val="00E41655"/>
    <w:rsid w:val="00E419E9"/>
    <w:rsid w:val="00E41A53"/>
    <w:rsid w:val="00E41AC5"/>
    <w:rsid w:val="00E41C2E"/>
    <w:rsid w:val="00E41C4A"/>
    <w:rsid w:val="00E41D59"/>
    <w:rsid w:val="00E41EB0"/>
    <w:rsid w:val="00E41F21"/>
    <w:rsid w:val="00E41FF1"/>
    <w:rsid w:val="00E42358"/>
    <w:rsid w:val="00E4236D"/>
    <w:rsid w:val="00E42411"/>
    <w:rsid w:val="00E425CA"/>
    <w:rsid w:val="00E425CE"/>
    <w:rsid w:val="00E427CD"/>
    <w:rsid w:val="00E42880"/>
    <w:rsid w:val="00E428DD"/>
    <w:rsid w:val="00E4292F"/>
    <w:rsid w:val="00E42A9A"/>
    <w:rsid w:val="00E42E11"/>
    <w:rsid w:val="00E431AB"/>
    <w:rsid w:val="00E43429"/>
    <w:rsid w:val="00E4352D"/>
    <w:rsid w:val="00E437C7"/>
    <w:rsid w:val="00E43B15"/>
    <w:rsid w:val="00E43C91"/>
    <w:rsid w:val="00E43E66"/>
    <w:rsid w:val="00E43E67"/>
    <w:rsid w:val="00E44130"/>
    <w:rsid w:val="00E4421F"/>
    <w:rsid w:val="00E44439"/>
    <w:rsid w:val="00E445D4"/>
    <w:rsid w:val="00E445F9"/>
    <w:rsid w:val="00E447D7"/>
    <w:rsid w:val="00E44891"/>
    <w:rsid w:val="00E44921"/>
    <w:rsid w:val="00E44BDD"/>
    <w:rsid w:val="00E44C14"/>
    <w:rsid w:val="00E44C52"/>
    <w:rsid w:val="00E44FBC"/>
    <w:rsid w:val="00E44FE5"/>
    <w:rsid w:val="00E450D4"/>
    <w:rsid w:val="00E45155"/>
    <w:rsid w:val="00E45214"/>
    <w:rsid w:val="00E45321"/>
    <w:rsid w:val="00E45336"/>
    <w:rsid w:val="00E4563D"/>
    <w:rsid w:val="00E45766"/>
    <w:rsid w:val="00E458CA"/>
    <w:rsid w:val="00E45977"/>
    <w:rsid w:val="00E45C41"/>
    <w:rsid w:val="00E45D47"/>
    <w:rsid w:val="00E45D59"/>
    <w:rsid w:val="00E46195"/>
    <w:rsid w:val="00E462AF"/>
    <w:rsid w:val="00E46372"/>
    <w:rsid w:val="00E464FE"/>
    <w:rsid w:val="00E466B3"/>
    <w:rsid w:val="00E46887"/>
    <w:rsid w:val="00E46B37"/>
    <w:rsid w:val="00E46B3B"/>
    <w:rsid w:val="00E46C1A"/>
    <w:rsid w:val="00E46F15"/>
    <w:rsid w:val="00E470BD"/>
    <w:rsid w:val="00E47113"/>
    <w:rsid w:val="00E47138"/>
    <w:rsid w:val="00E47347"/>
    <w:rsid w:val="00E473B0"/>
    <w:rsid w:val="00E47525"/>
    <w:rsid w:val="00E47763"/>
    <w:rsid w:val="00E477BD"/>
    <w:rsid w:val="00E477E5"/>
    <w:rsid w:val="00E47962"/>
    <w:rsid w:val="00E47AE2"/>
    <w:rsid w:val="00E47AF1"/>
    <w:rsid w:val="00E47B3D"/>
    <w:rsid w:val="00E47E5D"/>
    <w:rsid w:val="00E50007"/>
    <w:rsid w:val="00E5001D"/>
    <w:rsid w:val="00E50344"/>
    <w:rsid w:val="00E50369"/>
    <w:rsid w:val="00E503A9"/>
    <w:rsid w:val="00E506F6"/>
    <w:rsid w:val="00E5098D"/>
    <w:rsid w:val="00E50AFE"/>
    <w:rsid w:val="00E50B0A"/>
    <w:rsid w:val="00E50BB6"/>
    <w:rsid w:val="00E50BD8"/>
    <w:rsid w:val="00E50CE9"/>
    <w:rsid w:val="00E50E6C"/>
    <w:rsid w:val="00E50F3F"/>
    <w:rsid w:val="00E50FAC"/>
    <w:rsid w:val="00E510DF"/>
    <w:rsid w:val="00E512B5"/>
    <w:rsid w:val="00E51411"/>
    <w:rsid w:val="00E51493"/>
    <w:rsid w:val="00E517D9"/>
    <w:rsid w:val="00E51DCE"/>
    <w:rsid w:val="00E51EF1"/>
    <w:rsid w:val="00E523BE"/>
    <w:rsid w:val="00E52643"/>
    <w:rsid w:val="00E526C3"/>
    <w:rsid w:val="00E526F7"/>
    <w:rsid w:val="00E527D5"/>
    <w:rsid w:val="00E5282A"/>
    <w:rsid w:val="00E529F3"/>
    <w:rsid w:val="00E52AB8"/>
    <w:rsid w:val="00E52AE3"/>
    <w:rsid w:val="00E52B0A"/>
    <w:rsid w:val="00E52F74"/>
    <w:rsid w:val="00E52FE8"/>
    <w:rsid w:val="00E534B1"/>
    <w:rsid w:val="00E5356C"/>
    <w:rsid w:val="00E53634"/>
    <w:rsid w:val="00E537E8"/>
    <w:rsid w:val="00E53807"/>
    <w:rsid w:val="00E5398E"/>
    <w:rsid w:val="00E539A7"/>
    <w:rsid w:val="00E53BB9"/>
    <w:rsid w:val="00E53BE7"/>
    <w:rsid w:val="00E53F27"/>
    <w:rsid w:val="00E5430A"/>
    <w:rsid w:val="00E54567"/>
    <w:rsid w:val="00E545B7"/>
    <w:rsid w:val="00E5474D"/>
    <w:rsid w:val="00E548B9"/>
    <w:rsid w:val="00E54969"/>
    <w:rsid w:val="00E549F0"/>
    <w:rsid w:val="00E54A1D"/>
    <w:rsid w:val="00E54AA6"/>
    <w:rsid w:val="00E54CEF"/>
    <w:rsid w:val="00E54E18"/>
    <w:rsid w:val="00E54E47"/>
    <w:rsid w:val="00E54FDE"/>
    <w:rsid w:val="00E55665"/>
    <w:rsid w:val="00E558DB"/>
    <w:rsid w:val="00E558E5"/>
    <w:rsid w:val="00E55ADA"/>
    <w:rsid w:val="00E55B5C"/>
    <w:rsid w:val="00E55D67"/>
    <w:rsid w:val="00E55E32"/>
    <w:rsid w:val="00E56042"/>
    <w:rsid w:val="00E56B6A"/>
    <w:rsid w:val="00E56B9F"/>
    <w:rsid w:val="00E56D25"/>
    <w:rsid w:val="00E56EE4"/>
    <w:rsid w:val="00E5706C"/>
    <w:rsid w:val="00E570D0"/>
    <w:rsid w:val="00E572BE"/>
    <w:rsid w:val="00E57373"/>
    <w:rsid w:val="00E5757D"/>
    <w:rsid w:val="00E57671"/>
    <w:rsid w:val="00E57849"/>
    <w:rsid w:val="00E578B3"/>
    <w:rsid w:val="00E57A33"/>
    <w:rsid w:val="00E57ECE"/>
    <w:rsid w:val="00E60008"/>
    <w:rsid w:val="00E60135"/>
    <w:rsid w:val="00E60140"/>
    <w:rsid w:val="00E60265"/>
    <w:rsid w:val="00E603CC"/>
    <w:rsid w:val="00E6046F"/>
    <w:rsid w:val="00E60578"/>
    <w:rsid w:val="00E60D2A"/>
    <w:rsid w:val="00E60D5C"/>
    <w:rsid w:val="00E60DFD"/>
    <w:rsid w:val="00E60E84"/>
    <w:rsid w:val="00E60EB0"/>
    <w:rsid w:val="00E6101B"/>
    <w:rsid w:val="00E6115C"/>
    <w:rsid w:val="00E6134A"/>
    <w:rsid w:val="00E613F1"/>
    <w:rsid w:val="00E6165B"/>
    <w:rsid w:val="00E6180B"/>
    <w:rsid w:val="00E61C7C"/>
    <w:rsid w:val="00E61CEE"/>
    <w:rsid w:val="00E61F8F"/>
    <w:rsid w:val="00E620B3"/>
    <w:rsid w:val="00E620EE"/>
    <w:rsid w:val="00E621E9"/>
    <w:rsid w:val="00E62207"/>
    <w:rsid w:val="00E62394"/>
    <w:rsid w:val="00E62442"/>
    <w:rsid w:val="00E624B2"/>
    <w:rsid w:val="00E62510"/>
    <w:rsid w:val="00E62AA8"/>
    <w:rsid w:val="00E62C69"/>
    <w:rsid w:val="00E62E79"/>
    <w:rsid w:val="00E62FD5"/>
    <w:rsid w:val="00E6301D"/>
    <w:rsid w:val="00E63155"/>
    <w:rsid w:val="00E6316B"/>
    <w:rsid w:val="00E63414"/>
    <w:rsid w:val="00E636B7"/>
    <w:rsid w:val="00E6377F"/>
    <w:rsid w:val="00E63C91"/>
    <w:rsid w:val="00E63FEF"/>
    <w:rsid w:val="00E64077"/>
    <w:rsid w:val="00E64328"/>
    <w:rsid w:val="00E643AC"/>
    <w:rsid w:val="00E6443B"/>
    <w:rsid w:val="00E64557"/>
    <w:rsid w:val="00E647FE"/>
    <w:rsid w:val="00E64990"/>
    <w:rsid w:val="00E64CDC"/>
    <w:rsid w:val="00E64F21"/>
    <w:rsid w:val="00E652C5"/>
    <w:rsid w:val="00E65319"/>
    <w:rsid w:val="00E6534C"/>
    <w:rsid w:val="00E6537A"/>
    <w:rsid w:val="00E6553E"/>
    <w:rsid w:val="00E65772"/>
    <w:rsid w:val="00E6579F"/>
    <w:rsid w:val="00E658DD"/>
    <w:rsid w:val="00E659EA"/>
    <w:rsid w:val="00E65DDE"/>
    <w:rsid w:val="00E65EBF"/>
    <w:rsid w:val="00E65F6E"/>
    <w:rsid w:val="00E6608F"/>
    <w:rsid w:val="00E6635F"/>
    <w:rsid w:val="00E66551"/>
    <w:rsid w:val="00E668DD"/>
    <w:rsid w:val="00E66904"/>
    <w:rsid w:val="00E66958"/>
    <w:rsid w:val="00E66A1D"/>
    <w:rsid w:val="00E66A2F"/>
    <w:rsid w:val="00E66B10"/>
    <w:rsid w:val="00E66C96"/>
    <w:rsid w:val="00E66DC3"/>
    <w:rsid w:val="00E66F41"/>
    <w:rsid w:val="00E66FFD"/>
    <w:rsid w:val="00E6714E"/>
    <w:rsid w:val="00E671F1"/>
    <w:rsid w:val="00E6728D"/>
    <w:rsid w:val="00E67773"/>
    <w:rsid w:val="00E677EB"/>
    <w:rsid w:val="00E678C7"/>
    <w:rsid w:val="00E678DE"/>
    <w:rsid w:val="00E6791B"/>
    <w:rsid w:val="00E67AA9"/>
    <w:rsid w:val="00E67B4F"/>
    <w:rsid w:val="00E67BED"/>
    <w:rsid w:val="00E67C3B"/>
    <w:rsid w:val="00E67FB1"/>
    <w:rsid w:val="00E70318"/>
    <w:rsid w:val="00E7033F"/>
    <w:rsid w:val="00E7043A"/>
    <w:rsid w:val="00E704C6"/>
    <w:rsid w:val="00E70676"/>
    <w:rsid w:val="00E706C7"/>
    <w:rsid w:val="00E70F34"/>
    <w:rsid w:val="00E710E1"/>
    <w:rsid w:val="00E7122B"/>
    <w:rsid w:val="00E71276"/>
    <w:rsid w:val="00E71314"/>
    <w:rsid w:val="00E71380"/>
    <w:rsid w:val="00E7139E"/>
    <w:rsid w:val="00E71464"/>
    <w:rsid w:val="00E715D6"/>
    <w:rsid w:val="00E71761"/>
    <w:rsid w:val="00E71771"/>
    <w:rsid w:val="00E7184F"/>
    <w:rsid w:val="00E71855"/>
    <w:rsid w:val="00E71A19"/>
    <w:rsid w:val="00E71A3E"/>
    <w:rsid w:val="00E71D0F"/>
    <w:rsid w:val="00E71D12"/>
    <w:rsid w:val="00E71D47"/>
    <w:rsid w:val="00E71EC6"/>
    <w:rsid w:val="00E721AB"/>
    <w:rsid w:val="00E722F3"/>
    <w:rsid w:val="00E722FC"/>
    <w:rsid w:val="00E72442"/>
    <w:rsid w:val="00E7249C"/>
    <w:rsid w:val="00E7251E"/>
    <w:rsid w:val="00E725A7"/>
    <w:rsid w:val="00E72649"/>
    <w:rsid w:val="00E7277C"/>
    <w:rsid w:val="00E727D6"/>
    <w:rsid w:val="00E72A72"/>
    <w:rsid w:val="00E72AD0"/>
    <w:rsid w:val="00E72CC3"/>
    <w:rsid w:val="00E72D74"/>
    <w:rsid w:val="00E72DF4"/>
    <w:rsid w:val="00E73460"/>
    <w:rsid w:val="00E735FE"/>
    <w:rsid w:val="00E73663"/>
    <w:rsid w:val="00E737B2"/>
    <w:rsid w:val="00E73C7C"/>
    <w:rsid w:val="00E73DE7"/>
    <w:rsid w:val="00E73E5A"/>
    <w:rsid w:val="00E73EF9"/>
    <w:rsid w:val="00E7415D"/>
    <w:rsid w:val="00E7453D"/>
    <w:rsid w:val="00E7462F"/>
    <w:rsid w:val="00E747B5"/>
    <w:rsid w:val="00E748EF"/>
    <w:rsid w:val="00E749BF"/>
    <w:rsid w:val="00E74A2B"/>
    <w:rsid w:val="00E74ACC"/>
    <w:rsid w:val="00E74C18"/>
    <w:rsid w:val="00E74DE6"/>
    <w:rsid w:val="00E74E53"/>
    <w:rsid w:val="00E74FBB"/>
    <w:rsid w:val="00E75111"/>
    <w:rsid w:val="00E752F8"/>
    <w:rsid w:val="00E7550D"/>
    <w:rsid w:val="00E75892"/>
    <w:rsid w:val="00E75C14"/>
    <w:rsid w:val="00E75E0A"/>
    <w:rsid w:val="00E75E1D"/>
    <w:rsid w:val="00E75EE4"/>
    <w:rsid w:val="00E76118"/>
    <w:rsid w:val="00E76643"/>
    <w:rsid w:val="00E768DF"/>
    <w:rsid w:val="00E76AF6"/>
    <w:rsid w:val="00E76C43"/>
    <w:rsid w:val="00E76D5B"/>
    <w:rsid w:val="00E76E17"/>
    <w:rsid w:val="00E772DE"/>
    <w:rsid w:val="00E773B1"/>
    <w:rsid w:val="00E7746B"/>
    <w:rsid w:val="00E77496"/>
    <w:rsid w:val="00E775A2"/>
    <w:rsid w:val="00E775AC"/>
    <w:rsid w:val="00E77721"/>
    <w:rsid w:val="00E777A3"/>
    <w:rsid w:val="00E77C2C"/>
    <w:rsid w:val="00E77D94"/>
    <w:rsid w:val="00E77F21"/>
    <w:rsid w:val="00E8000C"/>
    <w:rsid w:val="00E8038B"/>
    <w:rsid w:val="00E80575"/>
    <w:rsid w:val="00E806C9"/>
    <w:rsid w:val="00E8070A"/>
    <w:rsid w:val="00E8083D"/>
    <w:rsid w:val="00E809EF"/>
    <w:rsid w:val="00E80A15"/>
    <w:rsid w:val="00E80A19"/>
    <w:rsid w:val="00E80A8C"/>
    <w:rsid w:val="00E80B1A"/>
    <w:rsid w:val="00E81161"/>
    <w:rsid w:val="00E81382"/>
    <w:rsid w:val="00E81383"/>
    <w:rsid w:val="00E813F1"/>
    <w:rsid w:val="00E81504"/>
    <w:rsid w:val="00E816C9"/>
    <w:rsid w:val="00E81968"/>
    <w:rsid w:val="00E81C77"/>
    <w:rsid w:val="00E81E2E"/>
    <w:rsid w:val="00E81E64"/>
    <w:rsid w:val="00E82253"/>
    <w:rsid w:val="00E82261"/>
    <w:rsid w:val="00E8237B"/>
    <w:rsid w:val="00E824B0"/>
    <w:rsid w:val="00E8263E"/>
    <w:rsid w:val="00E82668"/>
    <w:rsid w:val="00E82691"/>
    <w:rsid w:val="00E82719"/>
    <w:rsid w:val="00E82959"/>
    <w:rsid w:val="00E82A5C"/>
    <w:rsid w:val="00E82B80"/>
    <w:rsid w:val="00E82CFF"/>
    <w:rsid w:val="00E82D55"/>
    <w:rsid w:val="00E8351B"/>
    <w:rsid w:val="00E836A6"/>
    <w:rsid w:val="00E83BB9"/>
    <w:rsid w:val="00E83C90"/>
    <w:rsid w:val="00E83D81"/>
    <w:rsid w:val="00E83DC3"/>
    <w:rsid w:val="00E83E3C"/>
    <w:rsid w:val="00E83E43"/>
    <w:rsid w:val="00E83E9C"/>
    <w:rsid w:val="00E83E9D"/>
    <w:rsid w:val="00E83EDE"/>
    <w:rsid w:val="00E84066"/>
    <w:rsid w:val="00E84120"/>
    <w:rsid w:val="00E84203"/>
    <w:rsid w:val="00E8452B"/>
    <w:rsid w:val="00E845C8"/>
    <w:rsid w:val="00E849A6"/>
    <w:rsid w:val="00E849B5"/>
    <w:rsid w:val="00E84DCE"/>
    <w:rsid w:val="00E8525D"/>
    <w:rsid w:val="00E854B9"/>
    <w:rsid w:val="00E85514"/>
    <w:rsid w:val="00E85802"/>
    <w:rsid w:val="00E85970"/>
    <w:rsid w:val="00E859E4"/>
    <w:rsid w:val="00E85AB9"/>
    <w:rsid w:val="00E85CA5"/>
    <w:rsid w:val="00E85D5E"/>
    <w:rsid w:val="00E85EA7"/>
    <w:rsid w:val="00E860CB"/>
    <w:rsid w:val="00E86293"/>
    <w:rsid w:val="00E863C1"/>
    <w:rsid w:val="00E864F8"/>
    <w:rsid w:val="00E8662E"/>
    <w:rsid w:val="00E867BE"/>
    <w:rsid w:val="00E867EB"/>
    <w:rsid w:val="00E868A0"/>
    <w:rsid w:val="00E868F2"/>
    <w:rsid w:val="00E86CB3"/>
    <w:rsid w:val="00E86CE1"/>
    <w:rsid w:val="00E86E26"/>
    <w:rsid w:val="00E86E89"/>
    <w:rsid w:val="00E86E9D"/>
    <w:rsid w:val="00E86ECA"/>
    <w:rsid w:val="00E86F3D"/>
    <w:rsid w:val="00E87055"/>
    <w:rsid w:val="00E8724A"/>
    <w:rsid w:val="00E872D5"/>
    <w:rsid w:val="00E873BD"/>
    <w:rsid w:val="00E875BA"/>
    <w:rsid w:val="00E8769F"/>
    <w:rsid w:val="00E87814"/>
    <w:rsid w:val="00E87F26"/>
    <w:rsid w:val="00E905BD"/>
    <w:rsid w:val="00E9062B"/>
    <w:rsid w:val="00E90744"/>
    <w:rsid w:val="00E90796"/>
    <w:rsid w:val="00E90A2A"/>
    <w:rsid w:val="00E90C55"/>
    <w:rsid w:val="00E90E9D"/>
    <w:rsid w:val="00E90F0E"/>
    <w:rsid w:val="00E90F52"/>
    <w:rsid w:val="00E90FAB"/>
    <w:rsid w:val="00E91169"/>
    <w:rsid w:val="00E9117C"/>
    <w:rsid w:val="00E91489"/>
    <w:rsid w:val="00E914C2"/>
    <w:rsid w:val="00E9151C"/>
    <w:rsid w:val="00E9154D"/>
    <w:rsid w:val="00E91598"/>
    <w:rsid w:val="00E91849"/>
    <w:rsid w:val="00E918D2"/>
    <w:rsid w:val="00E9195C"/>
    <w:rsid w:val="00E91A3A"/>
    <w:rsid w:val="00E91AD6"/>
    <w:rsid w:val="00E91AF5"/>
    <w:rsid w:val="00E91BDF"/>
    <w:rsid w:val="00E91E10"/>
    <w:rsid w:val="00E91E23"/>
    <w:rsid w:val="00E92057"/>
    <w:rsid w:val="00E920CE"/>
    <w:rsid w:val="00E921C0"/>
    <w:rsid w:val="00E92597"/>
    <w:rsid w:val="00E9259F"/>
    <w:rsid w:val="00E931D7"/>
    <w:rsid w:val="00E93545"/>
    <w:rsid w:val="00E935B5"/>
    <w:rsid w:val="00E93658"/>
    <w:rsid w:val="00E9375A"/>
    <w:rsid w:val="00E93B0E"/>
    <w:rsid w:val="00E93C96"/>
    <w:rsid w:val="00E93F2C"/>
    <w:rsid w:val="00E94012"/>
    <w:rsid w:val="00E94354"/>
    <w:rsid w:val="00E9442B"/>
    <w:rsid w:val="00E94491"/>
    <w:rsid w:val="00E945B9"/>
    <w:rsid w:val="00E949CC"/>
    <w:rsid w:val="00E94C23"/>
    <w:rsid w:val="00E94C5C"/>
    <w:rsid w:val="00E94C85"/>
    <w:rsid w:val="00E94EBF"/>
    <w:rsid w:val="00E95370"/>
    <w:rsid w:val="00E9548D"/>
    <w:rsid w:val="00E95687"/>
    <w:rsid w:val="00E9574C"/>
    <w:rsid w:val="00E95976"/>
    <w:rsid w:val="00E95A2F"/>
    <w:rsid w:val="00E95AA6"/>
    <w:rsid w:val="00E95AC9"/>
    <w:rsid w:val="00E95B6A"/>
    <w:rsid w:val="00E95BC6"/>
    <w:rsid w:val="00E95FF7"/>
    <w:rsid w:val="00E960F7"/>
    <w:rsid w:val="00E961AF"/>
    <w:rsid w:val="00E966D6"/>
    <w:rsid w:val="00E966D8"/>
    <w:rsid w:val="00E96985"/>
    <w:rsid w:val="00E96D02"/>
    <w:rsid w:val="00E96E0C"/>
    <w:rsid w:val="00E97211"/>
    <w:rsid w:val="00E972CF"/>
    <w:rsid w:val="00E97430"/>
    <w:rsid w:val="00E978A3"/>
    <w:rsid w:val="00E97A53"/>
    <w:rsid w:val="00E97F2E"/>
    <w:rsid w:val="00EA0329"/>
    <w:rsid w:val="00EA0495"/>
    <w:rsid w:val="00EA057B"/>
    <w:rsid w:val="00EA082B"/>
    <w:rsid w:val="00EA08DE"/>
    <w:rsid w:val="00EA08F2"/>
    <w:rsid w:val="00EA096A"/>
    <w:rsid w:val="00EA09EB"/>
    <w:rsid w:val="00EA0A64"/>
    <w:rsid w:val="00EA0D5B"/>
    <w:rsid w:val="00EA1403"/>
    <w:rsid w:val="00EA1405"/>
    <w:rsid w:val="00EA148B"/>
    <w:rsid w:val="00EA15FA"/>
    <w:rsid w:val="00EA1F7E"/>
    <w:rsid w:val="00EA2001"/>
    <w:rsid w:val="00EA2333"/>
    <w:rsid w:val="00EA237D"/>
    <w:rsid w:val="00EA241B"/>
    <w:rsid w:val="00EA2643"/>
    <w:rsid w:val="00EA284E"/>
    <w:rsid w:val="00EA285B"/>
    <w:rsid w:val="00EA29E3"/>
    <w:rsid w:val="00EA2A01"/>
    <w:rsid w:val="00EA2A36"/>
    <w:rsid w:val="00EA2AD8"/>
    <w:rsid w:val="00EA2AFA"/>
    <w:rsid w:val="00EA2CCF"/>
    <w:rsid w:val="00EA2DA4"/>
    <w:rsid w:val="00EA31BB"/>
    <w:rsid w:val="00EA34A6"/>
    <w:rsid w:val="00EA3565"/>
    <w:rsid w:val="00EA3658"/>
    <w:rsid w:val="00EA3733"/>
    <w:rsid w:val="00EA3860"/>
    <w:rsid w:val="00EA391A"/>
    <w:rsid w:val="00EA3B01"/>
    <w:rsid w:val="00EA3C73"/>
    <w:rsid w:val="00EA3DBA"/>
    <w:rsid w:val="00EA435D"/>
    <w:rsid w:val="00EA4593"/>
    <w:rsid w:val="00EA45E2"/>
    <w:rsid w:val="00EA467E"/>
    <w:rsid w:val="00EA46CE"/>
    <w:rsid w:val="00EA48EE"/>
    <w:rsid w:val="00EA4C68"/>
    <w:rsid w:val="00EA4D82"/>
    <w:rsid w:val="00EA4ED9"/>
    <w:rsid w:val="00EA5217"/>
    <w:rsid w:val="00EA52BF"/>
    <w:rsid w:val="00EA52FE"/>
    <w:rsid w:val="00EA5331"/>
    <w:rsid w:val="00EA53BA"/>
    <w:rsid w:val="00EA54BA"/>
    <w:rsid w:val="00EA54F4"/>
    <w:rsid w:val="00EA559F"/>
    <w:rsid w:val="00EA5637"/>
    <w:rsid w:val="00EA563C"/>
    <w:rsid w:val="00EA579C"/>
    <w:rsid w:val="00EA58E1"/>
    <w:rsid w:val="00EA5A87"/>
    <w:rsid w:val="00EA5AC7"/>
    <w:rsid w:val="00EA5ACD"/>
    <w:rsid w:val="00EA6139"/>
    <w:rsid w:val="00EA61BE"/>
    <w:rsid w:val="00EA6652"/>
    <w:rsid w:val="00EA675B"/>
    <w:rsid w:val="00EA6761"/>
    <w:rsid w:val="00EA6862"/>
    <w:rsid w:val="00EA6A18"/>
    <w:rsid w:val="00EA6B46"/>
    <w:rsid w:val="00EA6C1E"/>
    <w:rsid w:val="00EA6C3B"/>
    <w:rsid w:val="00EA6CB6"/>
    <w:rsid w:val="00EA6CDA"/>
    <w:rsid w:val="00EA6D4B"/>
    <w:rsid w:val="00EA6D6D"/>
    <w:rsid w:val="00EA6ED6"/>
    <w:rsid w:val="00EA6FAF"/>
    <w:rsid w:val="00EA7238"/>
    <w:rsid w:val="00EA72DC"/>
    <w:rsid w:val="00EA72EB"/>
    <w:rsid w:val="00EA7343"/>
    <w:rsid w:val="00EA747E"/>
    <w:rsid w:val="00EA78DE"/>
    <w:rsid w:val="00EA79AC"/>
    <w:rsid w:val="00EA7B68"/>
    <w:rsid w:val="00EA7B77"/>
    <w:rsid w:val="00EA7EDF"/>
    <w:rsid w:val="00EB0094"/>
    <w:rsid w:val="00EB009D"/>
    <w:rsid w:val="00EB02A4"/>
    <w:rsid w:val="00EB0472"/>
    <w:rsid w:val="00EB04E1"/>
    <w:rsid w:val="00EB05EA"/>
    <w:rsid w:val="00EB07E8"/>
    <w:rsid w:val="00EB0827"/>
    <w:rsid w:val="00EB0C37"/>
    <w:rsid w:val="00EB0D2F"/>
    <w:rsid w:val="00EB0DC9"/>
    <w:rsid w:val="00EB0E42"/>
    <w:rsid w:val="00EB1348"/>
    <w:rsid w:val="00EB1731"/>
    <w:rsid w:val="00EB18FE"/>
    <w:rsid w:val="00EB1990"/>
    <w:rsid w:val="00EB1A70"/>
    <w:rsid w:val="00EB1C71"/>
    <w:rsid w:val="00EB1F96"/>
    <w:rsid w:val="00EB1FD2"/>
    <w:rsid w:val="00EB20E3"/>
    <w:rsid w:val="00EB20F5"/>
    <w:rsid w:val="00EB225E"/>
    <w:rsid w:val="00EB22BA"/>
    <w:rsid w:val="00EB22E3"/>
    <w:rsid w:val="00EB23FC"/>
    <w:rsid w:val="00EB277C"/>
    <w:rsid w:val="00EB27FC"/>
    <w:rsid w:val="00EB2803"/>
    <w:rsid w:val="00EB285F"/>
    <w:rsid w:val="00EB289D"/>
    <w:rsid w:val="00EB2907"/>
    <w:rsid w:val="00EB29D0"/>
    <w:rsid w:val="00EB2AAD"/>
    <w:rsid w:val="00EB2D31"/>
    <w:rsid w:val="00EB2E2F"/>
    <w:rsid w:val="00EB2E66"/>
    <w:rsid w:val="00EB2EEE"/>
    <w:rsid w:val="00EB2FA5"/>
    <w:rsid w:val="00EB30CB"/>
    <w:rsid w:val="00EB3208"/>
    <w:rsid w:val="00EB34C6"/>
    <w:rsid w:val="00EB356D"/>
    <w:rsid w:val="00EB35AF"/>
    <w:rsid w:val="00EB3616"/>
    <w:rsid w:val="00EB3673"/>
    <w:rsid w:val="00EB3736"/>
    <w:rsid w:val="00EB3773"/>
    <w:rsid w:val="00EB382E"/>
    <w:rsid w:val="00EB41C4"/>
    <w:rsid w:val="00EB43EA"/>
    <w:rsid w:val="00EB4492"/>
    <w:rsid w:val="00EB4820"/>
    <w:rsid w:val="00EB49D3"/>
    <w:rsid w:val="00EB49F0"/>
    <w:rsid w:val="00EB4B46"/>
    <w:rsid w:val="00EB4DBC"/>
    <w:rsid w:val="00EB4FA3"/>
    <w:rsid w:val="00EB503E"/>
    <w:rsid w:val="00EB50C1"/>
    <w:rsid w:val="00EB5104"/>
    <w:rsid w:val="00EB5354"/>
    <w:rsid w:val="00EB5548"/>
    <w:rsid w:val="00EB56B1"/>
    <w:rsid w:val="00EB574A"/>
    <w:rsid w:val="00EB57DB"/>
    <w:rsid w:val="00EB5D23"/>
    <w:rsid w:val="00EB5E75"/>
    <w:rsid w:val="00EB5F64"/>
    <w:rsid w:val="00EB5FEB"/>
    <w:rsid w:val="00EB6005"/>
    <w:rsid w:val="00EB62C1"/>
    <w:rsid w:val="00EB62C5"/>
    <w:rsid w:val="00EB62F3"/>
    <w:rsid w:val="00EB63C0"/>
    <w:rsid w:val="00EB67C5"/>
    <w:rsid w:val="00EB6841"/>
    <w:rsid w:val="00EB6881"/>
    <w:rsid w:val="00EB6A21"/>
    <w:rsid w:val="00EB6AAA"/>
    <w:rsid w:val="00EB6D0F"/>
    <w:rsid w:val="00EB6DE9"/>
    <w:rsid w:val="00EB6EA0"/>
    <w:rsid w:val="00EB704D"/>
    <w:rsid w:val="00EB714A"/>
    <w:rsid w:val="00EB7512"/>
    <w:rsid w:val="00EB7633"/>
    <w:rsid w:val="00EB7735"/>
    <w:rsid w:val="00EB789A"/>
    <w:rsid w:val="00EB78EA"/>
    <w:rsid w:val="00EB79CB"/>
    <w:rsid w:val="00EB7A36"/>
    <w:rsid w:val="00EB7E8E"/>
    <w:rsid w:val="00EB7EBB"/>
    <w:rsid w:val="00EB7FD7"/>
    <w:rsid w:val="00EC0001"/>
    <w:rsid w:val="00EC01E0"/>
    <w:rsid w:val="00EC05CA"/>
    <w:rsid w:val="00EC0637"/>
    <w:rsid w:val="00EC06E4"/>
    <w:rsid w:val="00EC0902"/>
    <w:rsid w:val="00EC0966"/>
    <w:rsid w:val="00EC0A30"/>
    <w:rsid w:val="00EC0B70"/>
    <w:rsid w:val="00EC0C71"/>
    <w:rsid w:val="00EC0D26"/>
    <w:rsid w:val="00EC0DCD"/>
    <w:rsid w:val="00EC0E07"/>
    <w:rsid w:val="00EC11FB"/>
    <w:rsid w:val="00EC1228"/>
    <w:rsid w:val="00EC12C7"/>
    <w:rsid w:val="00EC131B"/>
    <w:rsid w:val="00EC1676"/>
    <w:rsid w:val="00EC1829"/>
    <w:rsid w:val="00EC1AA8"/>
    <w:rsid w:val="00EC1B2B"/>
    <w:rsid w:val="00EC1B7F"/>
    <w:rsid w:val="00EC1E45"/>
    <w:rsid w:val="00EC1E62"/>
    <w:rsid w:val="00EC262A"/>
    <w:rsid w:val="00EC28AE"/>
    <w:rsid w:val="00EC28C6"/>
    <w:rsid w:val="00EC2E0F"/>
    <w:rsid w:val="00EC2E5B"/>
    <w:rsid w:val="00EC2E63"/>
    <w:rsid w:val="00EC2FD9"/>
    <w:rsid w:val="00EC301D"/>
    <w:rsid w:val="00EC32BD"/>
    <w:rsid w:val="00EC332E"/>
    <w:rsid w:val="00EC337A"/>
    <w:rsid w:val="00EC33EF"/>
    <w:rsid w:val="00EC34FE"/>
    <w:rsid w:val="00EC369E"/>
    <w:rsid w:val="00EC379A"/>
    <w:rsid w:val="00EC3922"/>
    <w:rsid w:val="00EC3A9E"/>
    <w:rsid w:val="00EC3C1F"/>
    <w:rsid w:val="00EC407A"/>
    <w:rsid w:val="00EC45F7"/>
    <w:rsid w:val="00EC483E"/>
    <w:rsid w:val="00EC48B4"/>
    <w:rsid w:val="00EC4972"/>
    <w:rsid w:val="00EC498C"/>
    <w:rsid w:val="00EC4D7E"/>
    <w:rsid w:val="00EC516C"/>
    <w:rsid w:val="00EC5283"/>
    <w:rsid w:val="00EC5485"/>
    <w:rsid w:val="00EC54A9"/>
    <w:rsid w:val="00EC5832"/>
    <w:rsid w:val="00EC5B72"/>
    <w:rsid w:val="00EC5CA7"/>
    <w:rsid w:val="00EC5E31"/>
    <w:rsid w:val="00EC6142"/>
    <w:rsid w:val="00EC661B"/>
    <w:rsid w:val="00EC6691"/>
    <w:rsid w:val="00EC672B"/>
    <w:rsid w:val="00EC692C"/>
    <w:rsid w:val="00EC697C"/>
    <w:rsid w:val="00EC6A06"/>
    <w:rsid w:val="00EC6A52"/>
    <w:rsid w:val="00EC6CEE"/>
    <w:rsid w:val="00EC704A"/>
    <w:rsid w:val="00EC707D"/>
    <w:rsid w:val="00EC709F"/>
    <w:rsid w:val="00EC7239"/>
    <w:rsid w:val="00EC73D3"/>
    <w:rsid w:val="00EC7711"/>
    <w:rsid w:val="00EC77E1"/>
    <w:rsid w:val="00EC77E5"/>
    <w:rsid w:val="00EC78E5"/>
    <w:rsid w:val="00EC7964"/>
    <w:rsid w:val="00EC798C"/>
    <w:rsid w:val="00EC7997"/>
    <w:rsid w:val="00EC7A02"/>
    <w:rsid w:val="00EC7A2B"/>
    <w:rsid w:val="00EC7A37"/>
    <w:rsid w:val="00EC7BD7"/>
    <w:rsid w:val="00EC7F1F"/>
    <w:rsid w:val="00ED00FF"/>
    <w:rsid w:val="00ED0181"/>
    <w:rsid w:val="00ED0256"/>
    <w:rsid w:val="00ED0687"/>
    <w:rsid w:val="00ED06F5"/>
    <w:rsid w:val="00ED0789"/>
    <w:rsid w:val="00ED0976"/>
    <w:rsid w:val="00ED09CC"/>
    <w:rsid w:val="00ED0AC8"/>
    <w:rsid w:val="00ED0BC8"/>
    <w:rsid w:val="00ED0E76"/>
    <w:rsid w:val="00ED0F4E"/>
    <w:rsid w:val="00ED10F7"/>
    <w:rsid w:val="00ED121D"/>
    <w:rsid w:val="00ED1262"/>
    <w:rsid w:val="00ED13C4"/>
    <w:rsid w:val="00ED1468"/>
    <w:rsid w:val="00ED161B"/>
    <w:rsid w:val="00ED1756"/>
    <w:rsid w:val="00ED1764"/>
    <w:rsid w:val="00ED180E"/>
    <w:rsid w:val="00ED1A41"/>
    <w:rsid w:val="00ED1D0D"/>
    <w:rsid w:val="00ED1E00"/>
    <w:rsid w:val="00ED2122"/>
    <w:rsid w:val="00ED21A5"/>
    <w:rsid w:val="00ED28C6"/>
    <w:rsid w:val="00ED296D"/>
    <w:rsid w:val="00ED2A5E"/>
    <w:rsid w:val="00ED2B09"/>
    <w:rsid w:val="00ED2CB9"/>
    <w:rsid w:val="00ED2E39"/>
    <w:rsid w:val="00ED2E70"/>
    <w:rsid w:val="00ED2F58"/>
    <w:rsid w:val="00ED2FF7"/>
    <w:rsid w:val="00ED32DD"/>
    <w:rsid w:val="00ED34D4"/>
    <w:rsid w:val="00ED357E"/>
    <w:rsid w:val="00ED361E"/>
    <w:rsid w:val="00ED3638"/>
    <w:rsid w:val="00ED365A"/>
    <w:rsid w:val="00ED36A7"/>
    <w:rsid w:val="00ED3910"/>
    <w:rsid w:val="00ED3987"/>
    <w:rsid w:val="00ED3AAC"/>
    <w:rsid w:val="00ED3AF3"/>
    <w:rsid w:val="00ED3CC7"/>
    <w:rsid w:val="00ED3E38"/>
    <w:rsid w:val="00ED3F23"/>
    <w:rsid w:val="00ED3F9C"/>
    <w:rsid w:val="00ED4140"/>
    <w:rsid w:val="00ED42B4"/>
    <w:rsid w:val="00ED4305"/>
    <w:rsid w:val="00ED4364"/>
    <w:rsid w:val="00ED4523"/>
    <w:rsid w:val="00ED4579"/>
    <w:rsid w:val="00ED4807"/>
    <w:rsid w:val="00ED4843"/>
    <w:rsid w:val="00ED48D8"/>
    <w:rsid w:val="00ED4B12"/>
    <w:rsid w:val="00ED4C20"/>
    <w:rsid w:val="00ED4D87"/>
    <w:rsid w:val="00ED4DA5"/>
    <w:rsid w:val="00ED4F65"/>
    <w:rsid w:val="00ED500D"/>
    <w:rsid w:val="00ED5018"/>
    <w:rsid w:val="00ED5104"/>
    <w:rsid w:val="00ED52C1"/>
    <w:rsid w:val="00ED5320"/>
    <w:rsid w:val="00ED54E0"/>
    <w:rsid w:val="00ED582D"/>
    <w:rsid w:val="00ED587F"/>
    <w:rsid w:val="00ED5F90"/>
    <w:rsid w:val="00ED6208"/>
    <w:rsid w:val="00ED625C"/>
    <w:rsid w:val="00ED6323"/>
    <w:rsid w:val="00ED6456"/>
    <w:rsid w:val="00ED662C"/>
    <w:rsid w:val="00ED68C0"/>
    <w:rsid w:val="00ED6C91"/>
    <w:rsid w:val="00ED6CA8"/>
    <w:rsid w:val="00ED6EC2"/>
    <w:rsid w:val="00ED6FE5"/>
    <w:rsid w:val="00ED74F0"/>
    <w:rsid w:val="00ED753E"/>
    <w:rsid w:val="00ED7567"/>
    <w:rsid w:val="00ED76C2"/>
    <w:rsid w:val="00ED771C"/>
    <w:rsid w:val="00ED774D"/>
    <w:rsid w:val="00ED7763"/>
    <w:rsid w:val="00ED7968"/>
    <w:rsid w:val="00ED7A9F"/>
    <w:rsid w:val="00ED7ADD"/>
    <w:rsid w:val="00ED7C05"/>
    <w:rsid w:val="00ED7F74"/>
    <w:rsid w:val="00ED7FF9"/>
    <w:rsid w:val="00EE0182"/>
    <w:rsid w:val="00EE02DD"/>
    <w:rsid w:val="00EE05F2"/>
    <w:rsid w:val="00EE082B"/>
    <w:rsid w:val="00EE084A"/>
    <w:rsid w:val="00EE095B"/>
    <w:rsid w:val="00EE09C1"/>
    <w:rsid w:val="00EE0A55"/>
    <w:rsid w:val="00EE0B60"/>
    <w:rsid w:val="00EE0B61"/>
    <w:rsid w:val="00EE0CDD"/>
    <w:rsid w:val="00EE0DF4"/>
    <w:rsid w:val="00EE0E3B"/>
    <w:rsid w:val="00EE1000"/>
    <w:rsid w:val="00EE10D7"/>
    <w:rsid w:val="00EE11BC"/>
    <w:rsid w:val="00EE1264"/>
    <w:rsid w:val="00EE12CD"/>
    <w:rsid w:val="00EE1442"/>
    <w:rsid w:val="00EE144F"/>
    <w:rsid w:val="00EE16C4"/>
    <w:rsid w:val="00EE1723"/>
    <w:rsid w:val="00EE176A"/>
    <w:rsid w:val="00EE19ED"/>
    <w:rsid w:val="00EE1B1D"/>
    <w:rsid w:val="00EE1E70"/>
    <w:rsid w:val="00EE2174"/>
    <w:rsid w:val="00EE2237"/>
    <w:rsid w:val="00EE24CC"/>
    <w:rsid w:val="00EE2836"/>
    <w:rsid w:val="00EE2B7A"/>
    <w:rsid w:val="00EE2E12"/>
    <w:rsid w:val="00EE2E41"/>
    <w:rsid w:val="00EE300C"/>
    <w:rsid w:val="00EE309B"/>
    <w:rsid w:val="00EE3293"/>
    <w:rsid w:val="00EE364F"/>
    <w:rsid w:val="00EE370C"/>
    <w:rsid w:val="00EE37FF"/>
    <w:rsid w:val="00EE396E"/>
    <w:rsid w:val="00EE3A91"/>
    <w:rsid w:val="00EE3B1D"/>
    <w:rsid w:val="00EE3B45"/>
    <w:rsid w:val="00EE3E93"/>
    <w:rsid w:val="00EE412B"/>
    <w:rsid w:val="00EE438C"/>
    <w:rsid w:val="00EE48DF"/>
    <w:rsid w:val="00EE4A14"/>
    <w:rsid w:val="00EE4A31"/>
    <w:rsid w:val="00EE4D48"/>
    <w:rsid w:val="00EE4F43"/>
    <w:rsid w:val="00EE5033"/>
    <w:rsid w:val="00EE50CD"/>
    <w:rsid w:val="00EE5347"/>
    <w:rsid w:val="00EE550C"/>
    <w:rsid w:val="00EE5640"/>
    <w:rsid w:val="00EE56AD"/>
    <w:rsid w:val="00EE56B2"/>
    <w:rsid w:val="00EE589A"/>
    <w:rsid w:val="00EE593F"/>
    <w:rsid w:val="00EE59C8"/>
    <w:rsid w:val="00EE6021"/>
    <w:rsid w:val="00EE6050"/>
    <w:rsid w:val="00EE60DF"/>
    <w:rsid w:val="00EE649D"/>
    <w:rsid w:val="00EE6597"/>
    <w:rsid w:val="00EE677E"/>
    <w:rsid w:val="00EE69CA"/>
    <w:rsid w:val="00EE69D3"/>
    <w:rsid w:val="00EE6EA1"/>
    <w:rsid w:val="00EE706B"/>
    <w:rsid w:val="00EE7317"/>
    <w:rsid w:val="00EE7679"/>
    <w:rsid w:val="00EE76BA"/>
    <w:rsid w:val="00EE799E"/>
    <w:rsid w:val="00EE7C92"/>
    <w:rsid w:val="00EE7D50"/>
    <w:rsid w:val="00EF01CA"/>
    <w:rsid w:val="00EF025A"/>
    <w:rsid w:val="00EF02CE"/>
    <w:rsid w:val="00EF054D"/>
    <w:rsid w:val="00EF064A"/>
    <w:rsid w:val="00EF09B4"/>
    <w:rsid w:val="00EF0B6D"/>
    <w:rsid w:val="00EF0BB3"/>
    <w:rsid w:val="00EF0C21"/>
    <w:rsid w:val="00EF0D69"/>
    <w:rsid w:val="00EF0F57"/>
    <w:rsid w:val="00EF118B"/>
    <w:rsid w:val="00EF14E0"/>
    <w:rsid w:val="00EF1955"/>
    <w:rsid w:val="00EF1A76"/>
    <w:rsid w:val="00EF2120"/>
    <w:rsid w:val="00EF22DE"/>
    <w:rsid w:val="00EF23DF"/>
    <w:rsid w:val="00EF2567"/>
    <w:rsid w:val="00EF2770"/>
    <w:rsid w:val="00EF278F"/>
    <w:rsid w:val="00EF2884"/>
    <w:rsid w:val="00EF2902"/>
    <w:rsid w:val="00EF2AC1"/>
    <w:rsid w:val="00EF2CB0"/>
    <w:rsid w:val="00EF2CBD"/>
    <w:rsid w:val="00EF2CDB"/>
    <w:rsid w:val="00EF2D0E"/>
    <w:rsid w:val="00EF2D75"/>
    <w:rsid w:val="00EF32CA"/>
    <w:rsid w:val="00EF34AC"/>
    <w:rsid w:val="00EF34B8"/>
    <w:rsid w:val="00EF364E"/>
    <w:rsid w:val="00EF394D"/>
    <w:rsid w:val="00EF3B82"/>
    <w:rsid w:val="00EF407C"/>
    <w:rsid w:val="00EF40B3"/>
    <w:rsid w:val="00EF4220"/>
    <w:rsid w:val="00EF42D5"/>
    <w:rsid w:val="00EF4433"/>
    <w:rsid w:val="00EF46A1"/>
    <w:rsid w:val="00EF5008"/>
    <w:rsid w:val="00EF5316"/>
    <w:rsid w:val="00EF5350"/>
    <w:rsid w:val="00EF55B5"/>
    <w:rsid w:val="00EF58C4"/>
    <w:rsid w:val="00EF5913"/>
    <w:rsid w:val="00EF5ADC"/>
    <w:rsid w:val="00EF5AF0"/>
    <w:rsid w:val="00EF5B14"/>
    <w:rsid w:val="00EF5C08"/>
    <w:rsid w:val="00EF5EC4"/>
    <w:rsid w:val="00EF60D6"/>
    <w:rsid w:val="00EF6126"/>
    <w:rsid w:val="00EF62E9"/>
    <w:rsid w:val="00EF6301"/>
    <w:rsid w:val="00EF63F2"/>
    <w:rsid w:val="00EF64B1"/>
    <w:rsid w:val="00EF66A2"/>
    <w:rsid w:val="00EF66E3"/>
    <w:rsid w:val="00EF67AD"/>
    <w:rsid w:val="00EF67F9"/>
    <w:rsid w:val="00EF681C"/>
    <w:rsid w:val="00EF6930"/>
    <w:rsid w:val="00EF6C9E"/>
    <w:rsid w:val="00EF6EDE"/>
    <w:rsid w:val="00EF7198"/>
    <w:rsid w:val="00EF71D5"/>
    <w:rsid w:val="00EF73F7"/>
    <w:rsid w:val="00EF7863"/>
    <w:rsid w:val="00EF7891"/>
    <w:rsid w:val="00EF79F0"/>
    <w:rsid w:val="00EF7AB6"/>
    <w:rsid w:val="00EF7BAF"/>
    <w:rsid w:val="00EF7F39"/>
    <w:rsid w:val="00EF7FDE"/>
    <w:rsid w:val="00F0009A"/>
    <w:rsid w:val="00F00129"/>
    <w:rsid w:val="00F00350"/>
    <w:rsid w:val="00F00351"/>
    <w:rsid w:val="00F00765"/>
    <w:rsid w:val="00F00F38"/>
    <w:rsid w:val="00F01089"/>
    <w:rsid w:val="00F01213"/>
    <w:rsid w:val="00F014AA"/>
    <w:rsid w:val="00F0172C"/>
    <w:rsid w:val="00F01833"/>
    <w:rsid w:val="00F01B25"/>
    <w:rsid w:val="00F01C1E"/>
    <w:rsid w:val="00F01CE8"/>
    <w:rsid w:val="00F01F55"/>
    <w:rsid w:val="00F020BB"/>
    <w:rsid w:val="00F0213D"/>
    <w:rsid w:val="00F022E8"/>
    <w:rsid w:val="00F0248E"/>
    <w:rsid w:val="00F0252A"/>
    <w:rsid w:val="00F02530"/>
    <w:rsid w:val="00F02585"/>
    <w:rsid w:val="00F02697"/>
    <w:rsid w:val="00F026C9"/>
    <w:rsid w:val="00F02703"/>
    <w:rsid w:val="00F02A33"/>
    <w:rsid w:val="00F02A5D"/>
    <w:rsid w:val="00F02B44"/>
    <w:rsid w:val="00F02C48"/>
    <w:rsid w:val="00F02D78"/>
    <w:rsid w:val="00F0328B"/>
    <w:rsid w:val="00F03353"/>
    <w:rsid w:val="00F038EE"/>
    <w:rsid w:val="00F03E12"/>
    <w:rsid w:val="00F03E8D"/>
    <w:rsid w:val="00F04222"/>
    <w:rsid w:val="00F043D8"/>
    <w:rsid w:val="00F045C8"/>
    <w:rsid w:val="00F04629"/>
    <w:rsid w:val="00F047CC"/>
    <w:rsid w:val="00F048C9"/>
    <w:rsid w:val="00F04AA1"/>
    <w:rsid w:val="00F04B7D"/>
    <w:rsid w:val="00F04DC5"/>
    <w:rsid w:val="00F04F3F"/>
    <w:rsid w:val="00F051CD"/>
    <w:rsid w:val="00F0527D"/>
    <w:rsid w:val="00F054BB"/>
    <w:rsid w:val="00F0595C"/>
    <w:rsid w:val="00F05C36"/>
    <w:rsid w:val="00F05C38"/>
    <w:rsid w:val="00F05CA7"/>
    <w:rsid w:val="00F05D26"/>
    <w:rsid w:val="00F05D3D"/>
    <w:rsid w:val="00F05D69"/>
    <w:rsid w:val="00F05F5D"/>
    <w:rsid w:val="00F05F84"/>
    <w:rsid w:val="00F060F4"/>
    <w:rsid w:val="00F06339"/>
    <w:rsid w:val="00F063AA"/>
    <w:rsid w:val="00F06401"/>
    <w:rsid w:val="00F06567"/>
    <w:rsid w:val="00F06585"/>
    <w:rsid w:val="00F06E24"/>
    <w:rsid w:val="00F07183"/>
    <w:rsid w:val="00F071AF"/>
    <w:rsid w:val="00F073B7"/>
    <w:rsid w:val="00F0755A"/>
    <w:rsid w:val="00F07A43"/>
    <w:rsid w:val="00F07C94"/>
    <w:rsid w:val="00F07D28"/>
    <w:rsid w:val="00F07F6A"/>
    <w:rsid w:val="00F07FC0"/>
    <w:rsid w:val="00F10158"/>
    <w:rsid w:val="00F10283"/>
    <w:rsid w:val="00F10579"/>
    <w:rsid w:val="00F107C9"/>
    <w:rsid w:val="00F109A5"/>
    <w:rsid w:val="00F10ACA"/>
    <w:rsid w:val="00F10C04"/>
    <w:rsid w:val="00F10C83"/>
    <w:rsid w:val="00F1137D"/>
    <w:rsid w:val="00F113B9"/>
    <w:rsid w:val="00F116FC"/>
    <w:rsid w:val="00F11D58"/>
    <w:rsid w:val="00F11ED0"/>
    <w:rsid w:val="00F121B7"/>
    <w:rsid w:val="00F1224E"/>
    <w:rsid w:val="00F12462"/>
    <w:rsid w:val="00F12512"/>
    <w:rsid w:val="00F125F6"/>
    <w:rsid w:val="00F1280D"/>
    <w:rsid w:val="00F129D8"/>
    <w:rsid w:val="00F12AB2"/>
    <w:rsid w:val="00F12B2F"/>
    <w:rsid w:val="00F12C7A"/>
    <w:rsid w:val="00F12D37"/>
    <w:rsid w:val="00F12D49"/>
    <w:rsid w:val="00F12EA3"/>
    <w:rsid w:val="00F13039"/>
    <w:rsid w:val="00F1318F"/>
    <w:rsid w:val="00F13384"/>
    <w:rsid w:val="00F13407"/>
    <w:rsid w:val="00F1351E"/>
    <w:rsid w:val="00F1351F"/>
    <w:rsid w:val="00F1366A"/>
    <w:rsid w:val="00F13721"/>
    <w:rsid w:val="00F13D74"/>
    <w:rsid w:val="00F1413D"/>
    <w:rsid w:val="00F142DB"/>
    <w:rsid w:val="00F145AC"/>
    <w:rsid w:val="00F145FC"/>
    <w:rsid w:val="00F146A0"/>
    <w:rsid w:val="00F14AAD"/>
    <w:rsid w:val="00F14AE9"/>
    <w:rsid w:val="00F14BF8"/>
    <w:rsid w:val="00F14E3A"/>
    <w:rsid w:val="00F14F16"/>
    <w:rsid w:val="00F14FD5"/>
    <w:rsid w:val="00F153FE"/>
    <w:rsid w:val="00F156A2"/>
    <w:rsid w:val="00F157AD"/>
    <w:rsid w:val="00F158FD"/>
    <w:rsid w:val="00F15926"/>
    <w:rsid w:val="00F1597D"/>
    <w:rsid w:val="00F15B35"/>
    <w:rsid w:val="00F15B6B"/>
    <w:rsid w:val="00F16139"/>
    <w:rsid w:val="00F1627C"/>
    <w:rsid w:val="00F1651A"/>
    <w:rsid w:val="00F165E2"/>
    <w:rsid w:val="00F16882"/>
    <w:rsid w:val="00F1697B"/>
    <w:rsid w:val="00F16AD8"/>
    <w:rsid w:val="00F16AE8"/>
    <w:rsid w:val="00F16B4B"/>
    <w:rsid w:val="00F16C72"/>
    <w:rsid w:val="00F16CB5"/>
    <w:rsid w:val="00F16CB7"/>
    <w:rsid w:val="00F16E9A"/>
    <w:rsid w:val="00F16F2F"/>
    <w:rsid w:val="00F16FCD"/>
    <w:rsid w:val="00F170C8"/>
    <w:rsid w:val="00F17153"/>
    <w:rsid w:val="00F172F0"/>
    <w:rsid w:val="00F173FB"/>
    <w:rsid w:val="00F17877"/>
    <w:rsid w:val="00F17FCE"/>
    <w:rsid w:val="00F202CB"/>
    <w:rsid w:val="00F20451"/>
    <w:rsid w:val="00F2051A"/>
    <w:rsid w:val="00F20644"/>
    <w:rsid w:val="00F20894"/>
    <w:rsid w:val="00F20A9E"/>
    <w:rsid w:val="00F20D6B"/>
    <w:rsid w:val="00F20EAD"/>
    <w:rsid w:val="00F21594"/>
    <w:rsid w:val="00F21598"/>
    <w:rsid w:val="00F21830"/>
    <w:rsid w:val="00F21924"/>
    <w:rsid w:val="00F21A2F"/>
    <w:rsid w:val="00F21A38"/>
    <w:rsid w:val="00F21A4E"/>
    <w:rsid w:val="00F21B69"/>
    <w:rsid w:val="00F21CCF"/>
    <w:rsid w:val="00F21D6D"/>
    <w:rsid w:val="00F21F78"/>
    <w:rsid w:val="00F2200A"/>
    <w:rsid w:val="00F22310"/>
    <w:rsid w:val="00F2247A"/>
    <w:rsid w:val="00F224A7"/>
    <w:rsid w:val="00F224B2"/>
    <w:rsid w:val="00F2259F"/>
    <w:rsid w:val="00F22CD0"/>
    <w:rsid w:val="00F22CD9"/>
    <w:rsid w:val="00F23340"/>
    <w:rsid w:val="00F233E1"/>
    <w:rsid w:val="00F23456"/>
    <w:rsid w:val="00F235C2"/>
    <w:rsid w:val="00F23682"/>
    <w:rsid w:val="00F236D6"/>
    <w:rsid w:val="00F23766"/>
    <w:rsid w:val="00F23793"/>
    <w:rsid w:val="00F23C38"/>
    <w:rsid w:val="00F23C5E"/>
    <w:rsid w:val="00F23E3A"/>
    <w:rsid w:val="00F24402"/>
    <w:rsid w:val="00F24496"/>
    <w:rsid w:val="00F246B5"/>
    <w:rsid w:val="00F24809"/>
    <w:rsid w:val="00F248C3"/>
    <w:rsid w:val="00F248E9"/>
    <w:rsid w:val="00F24AE5"/>
    <w:rsid w:val="00F24C4C"/>
    <w:rsid w:val="00F24C86"/>
    <w:rsid w:val="00F24FC4"/>
    <w:rsid w:val="00F25218"/>
    <w:rsid w:val="00F25235"/>
    <w:rsid w:val="00F255C1"/>
    <w:rsid w:val="00F25601"/>
    <w:rsid w:val="00F259E3"/>
    <w:rsid w:val="00F25B27"/>
    <w:rsid w:val="00F25B4E"/>
    <w:rsid w:val="00F25DB2"/>
    <w:rsid w:val="00F25E2D"/>
    <w:rsid w:val="00F25EA3"/>
    <w:rsid w:val="00F25EEC"/>
    <w:rsid w:val="00F25F79"/>
    <w:rsid w:val="00F2603E"/>
    <w:rsid w:val="00F265A2"/>
    <w:rsid w:val="00F26612"/>
    <w:rsid w:val="00F2670C"/>
    <w:rsid w:val="00F267E5"/>
    <w:rsid w:val="00F268FF"/>
    <w:rsid w:val="00F26CD7"/>
    <w:rsid w:val="00F26D82"/>
    <w:rsid w:val="00F26DF6"/>
    <w:rsid w:val="00F26F47"/>
    <w:rsid w:val="00F270D5"/>
    <w:rsid w:val="00F27891"/>
    <w:rsid w:val="00F27901"/>
    <w:rsid w:val="00F27A14"/>
    <w:rsid w:val="00F27AD6"/>
    <w:rsid w:val="00F27B5E"/>
    <w:rsid w:val="00F27BA3"/>
    <w:rsid w:val="00F27D65"/>
    <w:rsid w:val="00F27F4B"/>
    <w:rsid w:val="00F30310"/>
    <w:rsid w:val="00F30C56"/>
    <w:rsid w:val="00F30F67"/>
    <w:rsid w:val="00F31069"/>
    <w:rsid w:val="00F312EA"/>
    <w:rsid w:val="00F31465"/>
    <w:rsid w:val="00F314ED"/>
    <w:rsid w:val="00F315F5"/>
    <w:rsid w:val="00F31641"/>
    <w:rsid w:val="00F31689"/>
    <w:rsid w:val="00F3182D"/>
    <w:rsid w:val="00F318F9"/>
    <w:rsid w:val="00F31F1B"/>
    <w:rsid w:val="00F31F68"/>
    <w:rsid w:val="00F31FDD"/>
    <w:rsid w:val="00F320A3"/>
    <w:rsid w:val="00F32216"/>
    <w:rsid w:val="00F3227E"/>
    <w:rsid w:val="00F322E8"/>
    <w:rsid w:val="00F326CF"/>
    <w:rsid w:val="00F3270D"/>
    <w:rsid w:val="00F32729"/>
    <w:rsid w:val="00F32877"/>
    <w:rsid w:val="00F32A3E"/>
    <w:rsid w:val="00F32B7C"/>
    <w:rsid w:val="00F32CF1"/>
    <w:rsid w:val="00F32D70"/>
    <w:rsid w:val="00F32E38"/>
    <w:rsid w:val="00F33299"/>
    <w:rsid w:val="00F334F8"/>
    <w:rsid w:val="00F33591"/>
    <w:rsid w:val="00F33648"/>
    <w:rsid w:val="00F33661"/>
    <w:rsid w:val="00F336A6"/>
    <w:rsid w:val="00F33708"/>
    <w:rsid w:val="00F33828"/>
    <w:rsid w:val="00F3386F"/>
    <w:rsid w:val="00F338B6"/>
    <w:rsid w:val="00F33A20"/>
    <w:rsid w:val="00F33B0F"/>
    <w:rsid w:val="00F33C2A"/>
    <w:rsid w:val="00F33CF0"/>
    <w:rsid w:val="00F33D3F"/>
    <w:rsid w:val="00F33FA9"/>
    <w:rsid w:val="00F33FC1"/>
    <w:rsid w:val="00F33FDC"/>
    <w:rsid w:val="00F33FF4"/>
    <w:rsid w:val="00F340B1"/>
    <w:rsid w:val="00F340FE"/>
    <w:rsid w:val="00F343E7"/>
    <w:rsid w:val="00F3487F"/>
    <w:rsid w:val="00F34AEA"/>
    <w:rsid w:val="00F34B31"/>
    <w:rsid w:val="00F34B68"/>
    <w:rsid w:val="00F34BEB"/>
    <w:rsid w:val="00F34E3B"/>
    <w:rsid w:val="00F34EA5"/>
    <w:rsid w:val="00F35165"/>
    <w:rsid w:val="00F3522D"/>
    <w:rsid w:val="00F3538D"/>
    <w:rsid w:val="00F353BB"/>
    <w:rsid w:val="00F35692"/>
    <w:rsid w:val="00F35A4B"/>
    <w:rsid w:val="00F35B7B"/>
    <w:rsid w:val="00F35BD2"/>
    <w:rsid w:val="00F35E01"/>
    <w:rsid w:val="00F35F2E"/>
    <w:rsid w:val="00F36146"/>
    <w:rsid w:val="00F363BF"/>
    <w:rsid w:val="00F36421"/>
    <w:rsid w:val="00F3693F"/>
    <w:rsid w:val="00F36947"/>
    <w:rsid w:val="00F36A42"/>
    <w:rsid w:val="00F36A50"/>
    <w:rsid w:val="00F36B3E"/>
    <w:rsid w:val="00F36D45"/>
    <w:rsid w:val="00F36D83"/>
    <w:rsid w:val="00F37192"/>
    <w:rsid w:val="00F371CB"/>
    <w:rsid w:val="00F3736C"/>
    <w:rsid w:val="00F37380"/>
    <w:rsid w:val="00F373AD"/>
    <w:rsid w:val="00F37450"/>
    <w:rsid w:val="00F374B3"/>
    <w:rsid w:val="00F37546"/>
    <w:rsid w:val="00F375EB"/>
    <w:rsid w:val="00F37631"/>
    <w:rsid w:val="00F376C7"/>
    <w:rsid w:val="00F376D6"/>
    <w:rsid w:val="00F37923"/>
    <w:rsid w:val="00F37A39"/>
    <w:rsid w:val="00F37C13"/>
    <w:rsid w:val="00F37C39"/>
    <w:rsid w:val="00F37EAB"/>
    <w:rsid w:val="00F3D688"/>
    <w:rsid w:val="00F40279"/>
    <w:rsid w:val="00F40296"/>
    <w:rsid w:val="00F4061C"/>
    <w:rsid w:val="00F4065A"/>
    <w:rsid w:val="00F40759"/>
    <w:rsid w:val="00F40A3D"/>
    <w:rsid w:val="00F40B14"/>
    <w:rsid w:val="00F40D4D"/>
    <w:rsid w:val="00F414F8"/>
    <w:rsid w:val="00F41777"/>
    <w:rsid w:val="00F41A17"/>
    <w:rsid w:val="00F41A41"/>
    <w:rsid w:val="00F41B4A"/>
    <w:rsid w:val="00F41D84"/>
    <w:rsid w:val="00F41E95"/>
    <w:rsid w:val="00F41F3E"/>
    <w:rsid w:val="00F42003"/>
    <w:rsid w:val="00F42037"/>
    <w:rsid w:val="00F420BC"/>
    <w:rsid w:val="00F420CD"/>
    <w:rsid w:val="00F42343"/>
    <w:rsid w:val="00F42564"/>
    <w:rsid w:val="00F425E8"/>
    <w:rsid w:val="00F42A88"/>
    <w:rsid w:val="00F42B67"/>
    <w:rsid w:val="00F42C47"/>
    <w:rsid w:val="00F42E85"/>
    <w:rsid w:val="00F43045"/>
    <w:rsid w:val="00F431D7"/>
    <w:rsid w:val="00F432B2"/>
    <w:rsid w:val="00F433C3"/>
    <w:rsid w:val="00F4340F"/>
    <w:rsid w:val="00F435C4"/>
    <w:rsid w:val="00F437B6"/>
    <w:rsid w:val="00F437CB"/>
    <w:rsid w:val="00F43803"/>
    <w:rsid w:val="00F43B42"/>
    <w:rsid w:val="00F43C00"/>
    <w:rsid w:val="00F43C0E"/>
    <w:rsid w:val="00F442DC"/>
    <w:rsid w:val="00F443A6"/>
    <w:rsid w:val="00F44513"/>
    <w:rsid w:val="00F44823"/>
    <w:rsid w:val="00F44884"/>
    <w:rsid w:val="00F44D1A"/>
    <w:rsid w:val="00F45042"/>
    <w:rsid w:val="00F452B0"/>
    <w:rsid w:val="00F45474"/>
    <w:rsid w:val="00F454C9"/>
    <w:rsid w:val="00F45565"/>
    <w:rsid w:val="00F45915"/>
    <w:rsid w:val="00F45CD6"/>
    <w:rsid w:val="00F45D61"/>
    <w:rsid w:val="00F460A0"/>
    <w:rsid w:val="00F4610A"/>
    <w:rsid w:val="00F461FD"/>
    <w:rsid w:val="00F4621D"/>
    <w:rsid w:val="00F462A7"/>
    <w:rsid w:val="00F467E2"/>
    <w:rsid w:val="00F467F0"/>
    <w:rsid w:val="00F46AC3"/>
    <w:rsid w:val="00F46AD6"/>
    <w:rsid w:val="00F46AEC"/>
    <w:rsid w:val="00F46E02"/>
    <w:rsid w:val="00F46EB2"/>
    <w:rsid w:val="00F46F91"/>
    <w:rsid w:val="00F47073"/>
    <w:rsid w:val="00F471AA"/>
    <w:rsid w:val="00F473DF"/>
    <w:rsid w:val="00F47695"/>
    <w:rsid w:val="00F478A8"/>
    <w:rsid w:val="00F478B3"/>
    <w:rsid w:val="00F4797F"/>
    <w:rsid w:val="00F47A17"/>
    <w:rsid w:val="00F47BEA"/>
    <w:rsid w:val="00F47D2C"/>
    <w:rsid w:val="00F47DE3"/>
    <w:rsid w:val="00F47F99"/>
    <w:rsid w:val="00F47FEE"/>
    <w:rsid w:val="00F5013D"/>
    <w:rsid w:val="00F50296"/>
    <w:rsid w:val="00F502A9"/>
    <w:rsid w:val="00F503AC"/>
    <w:rsid w:val="00F503CE"/>
    <w:rsid w:val="00F5051D"/>
    <w:rsid w:val="00F50577"/>
    <w:rsid w:val="00F50677"/>
    <w:rsid w:val="00F50701"/>
    <w:rsid w:val="00F50C56"/>
    <w:rsid w:val="00F50C6A"/>
    <w:rsid w:val="00F50E85"/>
    <w:rsid w:val="00F50FB9"/>
    <w:rsid w:val="00F50FCC"/>
    <w:rsid w:val="00F511C5"/>
    <w:rsid w:val="00F512D5"/>
    <w:rsid w:val="00F512E8"/>
    <w:rsid w:val="00F51480"/>
    <w:rsid w:val="00F5158A"/>
    <w:rsid w:val="00F5166A"/>
    <w:rsid w:val="00F51677"/>
    <w:rsid w:val="00F52087"/>
    <w:rsid w:val="00F520B3"/>
    <w:rsid w:val="00F52118"/>
    <w:rsid w:val="00F522A9"/>
    <w:rsid w:val="00F52339"/>
    <w:rsid w:val="00F52390"/>
    <w:rsid w:val="00F52475"/>
    <w:rsid w:val="00F5250F"/>
    <w:rsid w:val="00F525E6"/>
    <w:rsid w:val="00F52670"/>
    <w:rsid w:val="00F52854"/>
    <w:rsid w:val="00F52866"/>
    <w:rsid w:val="00F52939"/>
    <w:rsid w:val="00F52CB6"/>
    <w:rsid w:val="00F52DB9"/>
    <w:rsid w:val="00F52E2C"/>
    <w:rsid w:val="00F5304D"/>
    <w:rsid w:val="00F53369"/>
    <w:rsid w:val="00F536B7"/>
    <w:rsid w:val="00F536C6"/>
    <w:rsid w:val="00F53A2C"/>
    <w:rsid w:val="00F53E8E"/>
    <w:rsid w:val="00F5412F"/>
    <w:rsid w:val="00F541F1"/>
    <w:rsid w:val="00F544FF"/>
    <w:rsid w:val="00F54524"/>
    <w:rsid w:val="00F548A2"/>
    <w:rsid w:val="00F54D23"/>
    <w:rsid w:val="00F54E86"/>
    <w:rsid w:val="00F54E9D"/>
    <w:rsid w:val="00F55032"/>
    <w:rsid w:val="00F5528A"/>
    <w:rsid w:val="00F5545D"/>
    <w:rsid w:val="00F555B7"/>
    <w:rsid w:val="00F555C7"/>
    <w:rsid w:val="00F5576C"/>
    <w:rsid w:val="00F55A05"/>
    <w:rsid w:val="00F55A45"/>
    <w:rsid w:val="00F56289"/>
    <w:rsid w:val="00F562F6"/>
    <w:rsid w:val="00F564AB"/>
    <w:rsid w:val="00F56771"/>
    <w:rsid w:val="00F56843"/>
    <w:rsid w:val="00F56969"/>
    <w:rsid w:val="00F56DB8"/>
    <w:rsid w:val="00F56F80"/>
    <w:rsid w:val="00F56FD5"/>
    <w:rsid w:val="00F57006"/>
    <w:rsid w:val="00F570AA"/>
    <w:rsid w:val="00F57135"/>
    <w:rsid w:val="00F57315"/>
    <w:rsid w:val="00F5732B"/>
    <w:rsid w:val="00F574A7"/>
    <w:rsid w:val="00F57724"/>
    <w:rsid w:val="00F57ACD"/>
    <w:rsid w:val="00F57B3B"/>
    <w:rsid w:val="00F57B4C"/>
    <w:rsid w:val="00F57E1A"/>
    <w:rsid w:val="00F602B8"/>
    <w:rsid w:val="00F602C1"/>
    <w:rsid w:val="00F60301"/>
    <w:rsid w:val="00F60460"/>
    <w:rsid w:val="00F6048D"/>
    <w:rsid w:val="00F607CE"/>
    <w:rsid w:val="00F60AB1"/>
    <w:rsid w:val="00F60DAC"/>
    <w:rsid w:val="00F60F6D"/>
    <w:rsid w:val="00F61244"/>
    <w:rsid w:val="00F613D2"/>
    <w:rsid w:val="00F6159C"/>
    <w:rsid w:val="00F619A5"/>
    <w:rsid w:val="00F61E59"/>
    <w:rsid w:val="00F62248"/>
    <w:rsid w:val="00F6230C"/>
    <w:rsid w:val="00F62469"/>
    <w:rsid w:val="00F62484"/>
    <w:rsid w:val="00F624DB"/>
    <w:rsid w:val="00F6255E"/>
    <w:rsid w:val="00F62690"/>
    <w:rsid w:val="00F62833"/>
    <w:rsid w:val="00F62C4C"/>
    <w:rsid w:val="00F62C60"/>
    <w:rsid w:val="00F62D27"/>
    <w:rsid w:val="00F634F4"/>
    <w:rsid w:val="00F63A09"/>
    <w:rsid w:val="00F63D9F"/>
    <w:rsid w:val="00F6466A"/>
    <w:rsid w:val="00F64AC5"/>
    <w:rsid w:val="00F64C0D"/>
    <w:rsid w:val="00F64F1B"/>
    <w:rsid w:val="00F65081"/>
    <w:rsid w:val="00F65243"/>
    <w:rsid w:val="00F65473"/>
    <w:rsid w:val="00F6547D"/>
    <w:rsid w:val="00F6559C"/>
    <w:rsid w:val="00F656AA"/>
    <w:rsid w:val="00F658F5"/>
    <w:rsid w:val="00F659F9"/>
    <w:rsid w:val="00F65BD7"/>
    <w:rsid w:val="00F65E02"/>
    <w:rsid w:val="00F65F46"/>
    <w:rsid w:val="00F6609A"/>
    <w:rsid w:val="00F6609B"/>
    <w:rsid w:val="00F6642C"/>
    <w:rsid w:val="00F66484"/>
    <w:rsid w:val="00F66B1F"/>
    <w:rsid w:val="00F66D0E"/>
    <w:rsid w:val="00F66DC5"/>
    <w:rsid w:val="00F66EA1"/>
    <w:rsid w:val="00F66F85"/>
    <w:rsid w:val="00F67093"/>
    <w:rsid w:val="00F6709A"/>
    <w:rsid w:val="00F672E3"/>
    <w:rsid w:val="00F67358"/>
    <w:rsid w:val="00F67374"/>
    <w:rsid w:val="00F67417"/>
    <w:rsid w:val="00F6743A"/>
    <w:rsid w:val="00F67516"/>
    <w:rsid w:val="00F67517"/>
    <w:rsid w:val="00F676C4"/>
    <w:rsid w:val="00F67778"/>
    <w:rsid w:val="00F67798"/>
    <w:rsid w:val="00F677B9"/>
    <w:rsid w:val="00F677EB"/>
    <w:rsid w:val="00F67967"/>
    <w:rsid w:val="00F67B2D"/>
    <w:rsid w:val="00F67C19"/>
    <w:rsid w:val="00F67DE5"/>
    <w:rsid w:val="00F67E52"/>
    <w:rsid w:val="00F70013"/>
    <w:rsid w:val="00F70314"/>
    <w:rsid w:val="00F7041C"/>
    <w:rsid w:val="00F70725"/>
    <w:rsid w:val="00F70B44"/>
    <w:rsid w:val="00F70BD7"/>
    <w:rsid w:val="00F70E2C"/>
    <w:rsid w:val="00F71060"/>
    <w:rsid w:val="00F7145F"/>
    <w:rsid w:val="00F719A1"/>
    <w:rsid w:val="00F71BDA"/>
    <w:rsid w:val="00F71CC7"/>
    <w:rsid w:val="00F71F6D"/>
    <w:rsid w:val="00F7217B"/>
    <w:rsid w:val="00F723E2"/>
    <w:rsid w:val="00F7252A"/>
    <w:rsid w:val="00F727A2"/>
    <w:rsid w:val="00F7283D"/>
    <w:rsid w:val="00F72A7A"/>
    <w:rsid w:val="00F72CE6"/>
    <w:rsid w:val="00F73092"/>
    <w:rsid w:val="00F731CB"/>
    <w:rsid w:val="00F736BF"/>
    <w:rsid w:val="00F73700"/>
    <w:rsid w:val="00F73737"/>
    <w:rsid w:val="00F7376E"/>
    <w:rsid w:val="00F73A44"/>
    <w:rsid w:val="00F73B8B"/>
    <w:rsid w:val="00F73C16"/>
    <w:rsid w:val="00F73DB0"/>
    <w:rsid w:val="00F73E9B"/>
    <w:rsid w:val="00F73ED9"/>
    <w:rsid w:val="00F73F50"/>
    <w:rsid w:val="00F74067"/>
    <w:rsid w:val="00F740DD"/>
    <w:rsid w:val="00F7414B"/>
    <w:rsid w:val="00F741C6"/>
    <w:rsid w:val="00F743B0"/>
    <w:rsid w:val="00F745B0"/>
    <w:rsid w:val="00F7464B"/>
    <w:rsid w:val="00F74960"/>
    <w:rsid w:val="00F74AC0"/>
    <w:rsid w:val="00F74B03"/>
    <w:rsid w:val="00F74BB8"/>
    <w:rsid w:val="00F74D46"/>
    <w:rsid w:val="00F74F3C"/>
    <w:rsid w:val="00F74FC6"/>
    <w:rsid w:val="00F75256"/>
    <w:rsid w:val="00F75259"/>
    <w:rsid w:val="00F752A4"/>
    <w:rsid w:val="00F7549C"/>
    <w:rsid w:val="00F754A9"/>
    <w:rsid w:val="00F7552F"/>
    <w:rsid w:val="00F75903"/>
    <w:rsid w:val="00F75DAA"/>
    <w:rsid w:val="00F75F18"/>
    <w:rsid w:val="00F7643B"/>
    <w:rsid w:val="00F765D7"/>
    <w:rsid w:val="00F76689"/>
    <w:rsid w:val="00F76929"/>
    <w:rsid w:val="00F76BCA"/>
    <w:rsid w:val="00F76C39"/>
    <w:rsid w:val="00F76E08"/>
    <w:rsid w:val="00F76EAA"/>
    <w:rsid w:val="00F76FBB"/>
    <w:rsid w:val="00F770D3"/>
    <w:rsid w:val="00F7714D"/>
    <w:rsid w:val="00F77168"/>
    <w:rsid w:val="00F77240"/>
    <w:rsid w:val="00F77428"/>
    <w:rsid w:val="00F77472"/>
    <w:rsid w:val="00F7753F"/>
    <w:rsid w:val="00F77550"/>
    <w:rsid w:val="00F77668"/>
    <w:rsid w:val="00F77708"/>
    <w:rsid w:val="00F777E0"/>
    <w:rsid w:val="00F778A0"/>
    <w:rsid w:val="00F77B1D"/>
    <w:rsid w:val="00F77D18"/>
    <w:rsid w:val="00F77EAE"/>
    <w:rsid w:val="00F8000D"/>
    <w:rsid w:val="00F800E2"/>
    <w:rsid w:val="00F80194"/>
    <w:rsid w:val="00F801E6"/>
    <w:rsid w:val="00F80204"/>
    <w:rsid w:val="00F80472"/>
    <w:rsid w:val="00F808D5"/>
    <w:rsid w:val="00F809C8"/>
    <w:rsid w:val="00F80C4A"/>
    <w:rsid w:val="00F80C6E"/>
    <w:rsid w:val="00F80D8F"/>
    <w:rsid w:val="00F80DEE"/>
    <w:rsid w:val="00F80F58"/>
    <w:rsid w:val="00F8102F"/>
    <w:rsid w:val="00F810A4"/>
    <w:rsid w:val="00F810BD"/>
    <w:rsid w:val="00F81181"/>
    <w:rsid w:val="00F816F0"/>
    <w:rsid w:val="00F818DB"/>
    <w:rsid w:val="00F81BB6"/>
    <w:rsid w:val="00F81C07"/>
    <w:rsid w:val="00F81F6A"/>
    <w:rsid w:val="00F82081"/>
    <w:rsid w:val="00F820A3"/>
    <w:rsid w:val="00F823A0"/>
    <w:rsid w:val="00F82B5F"/>
    <w:rsid w:val="00F82F7D"/>
    <w:rsid w:val="00F830C7"/>
    <w:rsid w:val="00F833F8"/>
    <w:rsid w:val="00F83588"/>
    <w:rsid w:val="00F83758"/>
    <w:rsid w:val="00F83773"/>
    <w:rsid w:val="00F837F7"/>
    <w:rsid w:val="00F83E46"/>
    <w:rsid w:val="00F83E68"/>
    <w:rsid w:val="00F84311"/>
    <w:rsid w:val="00F84393"/>
    <w:rsid w:val="00F84580"/>
    <w:rsid w:val="00F8474F"/>
    <w:rsid w:val="00F84785"/>
    <w:rsid w:val="00F848C6"/>
    <w:rsid w:val="00F84A26"/>
    <w:rsid w:val="00F84A4E"/>
    <w:rsid w:val="00F84CAA"/>
    <w:rsid w:val="00F84D9E"/>
    <w:rsid w:val="00F84DF9"/>
    <w:rsid w:val="00F84EB5"/>
    <w:rsid w:val="00F84FCB"/>
    <w:rsid w:val="00F8578C"/>
    <w:rsid w:val="00F85A02"/>
    <w:rsid w:val="00F85C0F"/>
    <w:rsid w:val="00F85DE3"/>
    <w:rsid w:val="00F85E1A"/>
    <w:rsid w:val="00F85EA1"/>
    <w:rsid w:val="00F860AC"/>
    <w:rsid w:val="00F86289"/>
    <w:rsid w:val="00F86346"/>
    <w:rsid w:val="00F86381"/>
    <w:rsid w:val="00F86493"/>
    <w:rsid w:val="00F864F8"/>
    <w:rsid w:val="00F868A0"/>
    <w:rsid w:val="00F86A83"/>
    <w:rsid w:val="00F86B7B"/>
    <w:rsid w:val="00F86C2B"/>
    <w:rsid w:val="00F86F4F"/>
    <w:rsid w:val="00F86F87"/>
    <w:rsid w:val="00F87213"/>
    <w:rsid w:val="00F87256"/>
    <w:rsid w:val="00F87318"/>
    <w:rsid w:val="00F87395"/>
    <w:rsid w:val="00F87591"/>
    <w:rsid w:val="00F877EF"/>
    <w:rsid w:val="00F87919"/>
    <w:rsid w:val="00F87924"/>
    <w:rsid w:val="00F8793F"/>
    <w:rsid w:val="00F87E81"/>
    <w:rsid w:val="00F8F389"/>
    <w:rsid w:val="00F90107"/>
    <w:rsid w:val="00F90184"/>
    <w:rsid w:val="00F901B5"/>
    <w:rsid w:val="00F90265"/>
    <w:rsid w:val="00F90306"/>
    <w:rsid w:val="00F9050A"/>
    <w:rsid w:val="00F90B79"/>
    <w:rsid w:val="00F90BDB"/>
    <w:rsid w:val="00F90CC8"/>
    <w:rsid w:val="00F90E68"/>
    <w:rsid w:val="00F90E85"/>
    <w:rsid w:val="00F90F21"/>
    <w:rsid w:val="00F90FFE"/>
    <w:rsid w:val="00F910E1"/>
    <w:rsid w:val="00F911A6"/>
    <w:rsid w:val="00F91213"/>
    <w:rsid w:val="00F912EE"/>
    <w:rsid w:val="00F9143C"/>
    <w:rsid w:val="00F9193A"/>
    <w:rsid w:val="00F91CD3"/>
    <w:rsid w:val="00F91D26"/>
    <w:rsid w:val="00F91DFD"/>
    <w:rsid w:val="00F91FDE"/>
    <w:rsid w:val="00F923B0"/>
    <w:rsid w:val="00F9244D"/>
    <w:rsid w:val="00F92785"/>
    <w:rsid w:val="00F927C5"/>
    <w:rsid w:val="00F92A83"/>
    <w:rsid w:val="00F92C45"/>
    <w:rsid w:val="00F92C8F"/>
    <w:rsid w:val="00F92D87"/>
    <w:rsid w:val="00F92DE5"/>
    <w:rsid w:val="00F9302A"/>
    <w:rsid w:val="00F934BA"/>
    <w:rsid w:val="00F93516"/>
    <w:rsid w:val="00F93654"/>
    <w:rsid w:val="00F938E7"/>
    <w:rsid w:val="00F93BC4"/>
    <w:rsid w:val="00F93BFA"/>
    <w:rsid w:val="00F93C75"/>
    <w:rsid w:val="00F93CE2"/>
    <w:rsid w:val="00F93D3D"/>
    <w:rsid w:val="00F93FC8"/>
    <w:rsid w:val="00F94025"/>
    <w:rsid w:val="00F94289"/>
    <w:rsid w:val="00F942CB"/>
    <w:rsid w:val="00F944C5"/>
    <w:rsid w:val="00F950D1"/>
    <w:rsid w:val="00F951FD"/>
    <w:rsid w:val="00F952AA"/>
    <w:rsid w:val="00F95478"/>
    <w:rsid w:val="00F9558E"/>
    <w:rsid w:val="00F956BD"/>
    <w:rsid w:val="00F959B5"/>
    <w:rsid w:val="00F95A74"/>
    <w:rsid w:val="00F95E73"/>
    <w:rsid w:val="00F95E86"/>
    <w:rsid w:val="00F961F6"/>
    <w:rsid w:val="00F96294"/>
    <w:rsid w:val="00F96317"/>
    <w:rsid w:val="00F96402"/>
    <w:rsid w:val="00F96493"/>
    <w:rsid w:val="00F9652A"/>
    <w:rsid w:val="00F965FF"/>
    <w:rsid w:val="00F96603"/>
    <w:rsid w:val="00F96F36"/>
    <w:rsid w:val="00F9705B"/>
    <w:rsid w:val="00F970C2"/>
    <w:rsid w:val="00F97408"/>
    <w:rsid w:val="00F974A8"/>
    <w:rsid w:val="00F97696"/>
    <w:rsid w:val="00F976C2"/>
    <w:rsid w:val="00F97730"/>
    <w:rsid w:val="00F97BB6"/>
    <w:rsid w:val="00F97BE5"/>
    <w:rsid w:val="00F97D2A"/>
    <w:rsid w:val="00F97EC1"/>
    <w:rsid w:val="00FA00E1"/>
    <w:rsid w:val="00FA033E"/>
    <w:rsid w:val="00FA03CB"/>
    <w:rsid w:val="00FA0655"/>
    <w:rsid w:val="00FA0847"/>
    <w:rsid w:val="00FA08EF"/>
    <w:rsid w:val="00FA0A3B"/>
    <w:rsid w:val="00FA0E0D"/>
    <w:rsid w:val="00FA10B3"/>
    <w:rsid w:val="00FA10DA"/>
    <w:rsid w:val="00FA11C9"/>
    <w:rsid w:val="00FA12B7"/>
    <w:rsid w:val="00FA13E3"/>
    <w:rsid w:val="00FA1478"/>
    <w:rsid w:val="00FA1567"/>
    <w:rsid w:val="00FA17A7"/>
    <w:rsid w:val="00FA17C2"/>
    <w:rsid w:val="00FA1832"/>
    <w:rsid w:val="00FA1840"/>
    <w:rsid w:val="00FA1888"/>
    <w:rsid w:val="00FA193A"/>
    <w:rsid w:val="00FA1AF1"/>
    <w:rsid w:val="00FA1E30"/>
    <w:rsid w:val="00FA1E80"/>
    <w:rsid w:val="00FA21AD"/>
    <w:rsid w:val="00FA225A"/>
    <w:rsid w:val="00FA24B0"/>
    <w:rsid w:val="00FA274C"/>
    <w:rsid w:val="00FA27F3"/>
    <w:rsid w:val="00FA2BAD"/>
    <w:rsid w:val="00FA2BFB"/>
    <w:rsid w:val="00FA2D31"/>
    <w:rsid w:val="00FA3049"/>
    <w:rsid w:val="00FA30BD"/>
    <w:rsid w:val="00FA31CF"/>
    <w:rsid w:val="00FA3213"/>
    <w:rsid w:val="00FA3229"/>
    <w:rsid w:val="00FA340F"/>
    <w:rsid w:val="00FA3643"/>
    <w:rsid w:val="00FA37E3"/>
    <w:rsid w:val="00FA3825"/>
    <w:rsid w:val="00FA3A65"/>
    <w:rsid w:val="00FA3C4B"/>
    <w:rsid w:val="00FA3F44"/>
    <w:rsid w:val="00FA40A4"/>
    <w:rsid w:val="00FA40B2"/>
    <w:rsid w:val="00FA439C"/>
    <w:rsid w:val="00FA43F7"/>
    <w:rsid w:val="00FA4980"/>
    <w:rsid w:val="00FA4B9D"/>
    <w:rsid w:val="00FA4D32"/>
    <w:rsid w:val="00FA4DCB"/>
    <w:rsid w:val="00FA4EF6"/>
    <w:rsid w:val="00FA4F4F"/>
    <w:rsid w:val="00FA5086"/>
    <w:rsid w:val="00FA5134"/>
    <w:rsid w:val="00FA524B"/>
    <w:rsid w:val="00FA527A"/>
    <w:rsid w:val="00FA529A"/>
    <w:rsid w:val="00FA54A4"/>
    <w:rsid w:val="00FA55DA"/>
    <w:rsid w:val="00FA5709"/>
    <w:rsid w:val="00FA5758"/>
    <w:rsid w:val="00FA5829"/>
    <w:rsid w:val="00FA588E"/>
    <w:rsid w:val="00FA59D0"/>
    <w:rsid w:val="00FA5A1F"/>
    <w:rsid w:val="00FA5BD1"/>
    <w:rsid w:val="00FA5DC8"/>
    <w:rsid w:val="00FA5DDC"/>
    <w:rsid w:val="00FA5E25"/>
    <w:rsid w:val="00FA5E6F"/>
    <w:rsid w:val="00FA60E4"/>
    <w:rsid w:val="00FA6111"/>
    <w:rsid w:val="00FA61FB"/>
    <w:rsid w:val="00FA6231"/>
    <w:rsid w:val="00FA6484"/>
    <w:rsid w:val="00FA64A4"/>
    <w:rsid w:val="00FA68CE"/>
    <w:rsid w:val="00FA6E73"/>
    <w:rsid w:val="00FA70F5"/>
    <w:rsid w:val="00FA71B7"/>
    <w:rsid w:val="00FA7510"/>
    <w:rsid w:val="00FA7660"/>
    <w:rsid w:val="00FA7736"/>
    <w:rsid w:val="00FA77C9"/>
    <w:rsid w:val="00FA780F"/>
    <w:rsid w:val="00FA783A"/>
    <w:rsid w:val="00FA796D"/>
    <w:rsid w:val="00FA7C97"/>
    <w:rsid w:val="00FA7CA9"/>
    <w:rsid w:val="00FA7D09"/>
    <w:rsid w:val="00FA7E5A"/>
    <w:rsid w:val="00FB03CD"/>
    <w:rsid w:val="00FB0468"/>
    <w:rsid w:val="00FB06AA"/>
    <w:rsid w:val="00FB07E7"/>
    <w:rsid w:val="00FB097C"/>
    <w:rsid w:val="00FB0992"/>
    <w:rsid w:val="00FB0E14"/>
    <w:rsid w:val="00FB0EBC"/>
    <w:rsid w:val="00FB0F8D"/>
    <w:rsid w:val="00FB11D1"/>
    <w:rsid w:val="00FB12CA"/>
    <w:rsid w:val="00FB146F"/>
    <w:rsid w:val="00FB14D3"/>
    <w:rsid w:val="00FB192C"/>
    <w:rsid w:val="00FB1995"/>
    <w:rsid w:val="00FB1AEB"/>
    <w:rsid w:val="00FB1B52"/>
    <w:rsid w:val="00FB1C67"/>
    <w:rsid w:val="00FB2375"/>
    <w:rsid w:val="00FB23DF"/>
    <w:rsid w:val="00FB2491"/>
    <w:rsid w:val="00FB25A9"/>
    <w:rsid w:val="00FB265D"/>
    <w:rsid w:val="00FB2853"/>
    <w:rsid w:val="00FB2A61"/>
    <w:rsid w:val="00FB2AAF"/>
    <w:rsid w:val="00FB2CAD"/>
    <w:rsid w:val="00FB2D1C"/>
    <w:rsid w:val="00FB2F2D"/>
    <w:rsid w:val="00FB3113"/>
    <w:rsid w:val="00FB32A8"/>
    <w:rsid w:val="00FB3440"/>
    <w:rsid w:val="00FB36FE"/>
    <w:rsid w:val="00FB3929"/>
    <w:rsid w:val="00FB3A01"/>
    <w:rsid w:val="00FB3E4D"/>
    <w:rsid w:val="00FB3F3F"/>
    <w:rsid w:val="00FB4005"/>
    <w:rsid w:val="00FB400A"/>
    <w:rsid w:val="00FB407D"/>
    <w:rsid w:val="00FB40AF"/>
    <w:rsid w:val="00FB4273"/>
    <w:rsid w:val="00FB45BE"/>
    <w:rsid w:val="00FB4993"/>
    <w:rsid w:val="00FB49BE"/>
    <w:rsid w:val="00FB4D20"/>
    <w:rsid w:val="00FB4D70"/>
    <w:rsid w:val="00FB4E5E"/>
    <w:rsid w:val="00FB4FD9"/>
    <w:rsid w:val="00FB528D"/>
    <w:rsid w:val="00FB5320"/>
    <w:rsid w:val="00FB56FE"/>
    <w:rsid w:val="00FB5949"/>
    <w:rsid w:val="00FB59F8"/>
    <w:rsid w:val="00FB5B0C"/>
    <w:rsid w:val="00FB5C3B"/>
    <w:rsid w:val="00FB5C60"/>
    <w:rsid w:val="00FB5CDA"/>
    <w:rsid w:val="00FB60B1"/>
    <w:rsid w:val="00FB60FA"/>
    <w:rsid w:val="00FB61A2"/>
    <w:rsid w:val="00FB6279"/>
    <w:rsid w:val="00FB6335"/>
    <w:rsid w:val="00FB63F8"/>
    <w:rsid w:val="00FB651A"/>
    <w:rsid w:val="00FB6569"/>
    <w:rsid w:val="00FB6782"/>
    <w:rsid w:val="00FB6891"/>
    <w:rsid w:val="00FB6B4D"/>
    <w:rsid w:val="00FB6BC6"/>
    <w:rsid w:val="00FB6C4F"/>
    <w:rsid w:val="00FB6C76"/>
    <w:rsid w:val="00FB6DEF"/>
    <w:rsid w:val="00FB6E49"/>
    <w:rsid w:val="00FB6FAC"/>
    <w:rsid w:val="00FB6FFB"/>
    <w:rsid w:val="00FB7266"/>
    <w:rsid w:val="00FB76B2"/>
    <w:rsid w:val="00FB77D2"/>
    <w:rsid w:val="00FB78D3"/>
    <w:rsid w:val="00FB7AAA"/>
    <w:rsid w:val="00FB7EA2"/>
    <w:rsid w:val="00FB7EC2"/>
    <w:rsid w:val="00FB7EF6"/>
    <w:rsid w:val="00FC0167"/>
    <w:rsid w:val="00FC053D"/>
    <w:rsid w:val="00FC05A6"/>
    <w:rsid w:val="00FC05F9"/>
    <w:rsid w:val="00FC06E0"/>
    <w:rsid w:val="00FC077B"/>
    <w:rsid w:val="00FC0931"/>
    <w:rsid w:val="00FC0942"/>
    <w:rsid w:val="00FC0AE7"/>
    <w:rsid w:val="00FC0B03"/>
    <w:rsid w:val="00FC0B54"/>
    <w:rsid w:val="00FC0D8F"/>
    <w:rsid w:val="00FC1667"/>
    <w:rsid w:val="00FC19C0"/>
    <w:rsid w:val="00FC19C6"/>
    <w:rsid w:val="00FC1EAB"/>
    <w:rsid w:val="00FC1F26"/>
    <w:rsid w:val="00FC2231"/>
    <w:rsid w:val="00FC25FD"/>
    <w:rsid w:val="00FC260E"/>
    <w:rsid w:val="00FC275A"/>
    <w:rsid w:val="00FC2946"/>
    <w:rsid w:val="00FC2A74"/>
    <w:rsid w:val="00FC2E6E"/>
    <w:rsid w:val="00FC2F2E"/>
    <w:rsid w:val="00FC31A9"/>
    <w:rsid w:val="00FC326D"/>
    <w:rsid w:val="00FC32E6"/>
    <w:rsid w:val="00FC3482"/>
    <w:rsid w:val="00FC3556"/>
    <w:rsid w:val="00FC3B4D"/>
    <w:rsid w:val="00FC3B92"/>
    <w:rsid w:val="00FC3C12"/>
    <w:rsid w:val="00FC405D"/>
    <w:rsid w:val="00FC41E7"/>
    <w:rsid w:val="00FC4352"/>
    <w:rsid w:val="00FC44F1"/>
    <w:rsid w:val="00FC4623"/>
    <w:rsid w:val="00FC4732"/>
    <w:rsid w:val="00FC4847"/>
    <w:rsid w:val="00FC4892"/>
    <w:rsid w:val="00FC4AC4"/>
    <w:rsid w:val="00FC4C2B"/>
    <w:rsid w:val="00FC4CFF"/>
    <w:rsid w:val="00FC4E60"/>
    <w:rsid w:val="00FC4EAF"/>
    <w:rsid w:val="00FC4FBA"/>
    <w:rsid w:val="00FC502D"/>
    <w:rsid w:val="00FC5078"/>
    <w:rsid w:val="00FC5677"/>
    <w:rsid w:val="00FC575F"/>
    <w:rsid w:val="00FC5841"/>
    <w:rsid w:val="00FC59A3"/>
    <w:rsid w:val="00FC5A58"/>
    <w:rsid w:val="00FC5B97"/>
    <w:rsid w:val="00FC5C04"/>
    <w:rsid w:val="00FC5DF6"/>
    <w:rsid w:val="00FC5E4F"/>
    <w:rsid w:val="00FC5E5D"/>
    <w:rsid w:val="00FC61FB"/>
    <w:rsid w:val="00FC6337"/>
    <w:rsid w:val="00FC63D7"/>
    <w:rsid w:val="00FC683C"/>
    <w:rsid w:val="00FC68F5"/>
    <w:rsid w:val="00FC697F"/>
    <w:rsid w:val="00FC6B45"/>
    <w:rsid w:val="00FC6B4D"/>
    <w:rsid w:val="00FC6BB7"/>
    <w:rsid w:val="00FC6E31"/>
    <w:rsid w:val="00FC6EF9"/>
    <w:rsid w:val="00FC7065"/>
    <w:rsid w:val="00FC724F"/>
    <w:rsid w:val="00FC7289"/>
    <w:rsid w:val="00FC7468"/>
    <w:rsid w:val="00FC75D0"/>
    <w:rsid w:val="00FC761C"/>
    <w:rsid w:val="00FC7707"/>
    <w:rsid w:val="00FC775C"/>
    <w:rsid w:val="00FC79B6"/>
    <w:rsid w:val="00FC7B38"/>
    <w:rsid w:val="00FC7BB6"/>
    <w:rsid w:val="00FC7FA3"/>
    <w:rsid w:val="00FC7FDC"/>
    <w:rsid w:val="00FD017C"/>
    <w:rsid w:val="00FD030E"/>
    <w:rsid w:val="00FD033E"/>
    <w:rsid w:val="00FD04A3"/>
    <w:rsid w:val="00FD05E3"/>
    <w:rsid w:val="00FD0696"/>
    <w:rsid w:val="00FD1198"/>
    <w:rsid w:val="00FD1224"/>
    <w:rsid w:val="00FD1236"/>
    <w:rsid w:val="00FD1320"/>
    <w:rsid w:val="00FD1442"/>
    <w:rsid w:val="00FD1484"/>
    <w:rsid w:val="00FD15E0"/>
    <w:rsid w:val="00FD185A"/>
    <w:rsid w:val="00FD18AA"/>
    <w:rsid w:val="00FD1997"/>
    <w:rsid w:val="00FD1A80"/>
    <w:rsid w:val="00FD1ACA"/>
    <w:rsid w:val="00FD1C08"/>
    <w:rsid w:val="00FD1C68"/>
    <w:rsid w:val="00FD1CB6"/>
    <w:rsid w:val="00FD1F2C"/>
    <w:rsid w:val="00FD1FBB"/>
    <w:rsid w:val="00FD204B"/>
    <w:rsid w:val="00FD21B1"/>
    <w:rsid w:val="00FD21CD"/>
    <w:rsid w:val="00FD21EB"/>
    <w:rsid w:val="00FD229F"/>
    <w:rsid w:val="00FD22E7"/>
    <w:rsid w:val="00FD2301"/>
    <w:rsid w:val="00FD23FB"/>
    <w:rsid w:val="00FD2457"/>
    <w:rsid w:val="00FD24DD"/>
    <w:rsid w:val="00FD25B8"/>
    <w:rsid w:val="00FD28A9"/>
    <w:rsid w:val="00FD298D"/>
    <w:rsid w:val="00FD2ACE"/>
    <w:rsid w:val="00FD2B94"/>
    <w:rsid w:val="00FD2BBA"/>
    <w:rsid w:val="00FD2BBC"/>
    <w:rsid w:val="00FD2D47"/>
    <w:rsid w:val="00FD2F91"/>
    <w:rsid w:val="00FD3170"/>
    <w:rsid w:val="00FD32AB"/>
    <w:rsid w:val="00FD3383"/>
    <w:rsid w:val="00FD353A"/>
    <w:rsid w:val="00FD39C3"/>
    <w:rsid w:val="00FD3A49"/>
    <w:rsid w:val="00FD3AEA"/>
    <w:rsid w:val="00FD3D66"/>
    <w:rsid w:val="00FD3D68"/>
    <w:rsid w:val="00FD3E8A"/>
    <w:rsid w:val="00FD3EAE"/>
    <w:rsid w:val="00FD3EC0"/>
    <w:rsid w:val="00FD4049"/>
    <w:rsid w:val="00FD4075"/>
    <w:rsid w:val="00FD40C5"/>
    <w:rsid w:val="00FD418E"/>
    <w:rsid w:val="00FD447D"/>
    <w:rsid w:val="00FD4772"/>
    <w:rsid w:val="00FD4786"/>
    <w:rsid w:val="00FD497D"/>
    <w:rsid w:val="00FD4B50"/>
    <w:rsid w:val="00FD4BC8"/>
    <w:rsid w:val="00FD4DDA"/>
    <w:rsid w:val="00FD4ED3"/>
    <w:rsid w:val="00FD4FEE"/>
    <w:rsid w:val="00FD50AD"/>
    <w:rsid w:val="00FD5274"/>
    <w:rsid w:val="00FD53B1"/>
    <w:rsid w:val="00FD5467"/>
    <w:rsid w:val="00FD54CB"/>
    <w:rsid w:val="00FD54CD"/>
    <w:rsid w:val="00FD570A"/>
    <w:rsid w:val="00FD5773"/>
    <w:rsid w:val="00FD57FE"/>
    <w:rsid w:val="00FD58AB"/>
    <w:rsid w:val="00FD5CD4"/>
    <w:rsid w:val="00FD5E91"/>
    <w:rsid w:val="00FD6120"/>
    <w:rsid w:val="00FD641C"/>
    <w:rsid w:val="00FD660C"/>
    <w:rsid w:val="00FD675A"/>
    <w:rsid w:val="00FD67D9"/>
    <w:rsid w:val="00FD69E9"/>
    <w:rsid w:val="00FD7231"/>
    <w:rsid w:val="00FD7299"/>
    <w:rsid w:val="00FD7329"/>
    <w:rsid w:val="00FD76F5"/>
    <w:rsid w:val="00FD77DC"/>
    <w:rsid w:val="00FD7A6A"/>
    <w:rsid w:val="00FD7D1E"/>
    <w:rsid w:val="00FD7DED"/>
    <w:rsid w:val="00FD7ED9"/>
    <w:rsid w:val="00FD7F9D"/>
    <w:rsid w:val="00FE00A3"/>
    <w:rsid w:val="00FE02D5"/>
    <w:rsid w:val="00FE031A"/>
    <w:rsid w:val="00FE0376"/>
    <w:rsid w:val="00FE043D"/>
    <w:rsid w:val="00FE0478"/>
    <w:rsid w:val="00FE04AF"/>
    <w:rsid w:val="00FE04C6"/>
    <w:rsid w:val="00FE04F3"/>
    <w:rsid w:val="00FE0915"/>
    <w:rsid w:val="00FE0A35"/>
    <w:rsid w:val="00FE0C09"/>
    <w:rsid w:val="00FE0C21"/>
    <w:rsid w:val="00FE0C5F"/>
    <w:rsid w:val="00FE0D73"/>
    <w:rsid w:val="00FE11F9"/>
    <w:rsid w:val="00FE1217"/>
    <w:rsid w:val="00FE156A"/>
    <w:rsid w:val="00FE169F"/>
    <w:rsid w:val="00FE1B1A"/>
    <w:rsid w:val="00FE1C94"/>
    <w:rsid w:val="00FE1DD7"/>
    <w:rsid w:val="00FE1E69"/>
    <w:rsid w:val="00FE2060"/>
    <w:rsid w:val="00FE21E2"/>
    <w:rsid w:val="00FE2205"/>
    <w:rsid w:val="00FE2580"/>
    <w:rsid w:val="00FE25B0"/>
    <w:rsid w:val="00FE2664"/>
    <w:rsid w:val="00FE26D6"/>
    <w:rsid w:val="00FE2867"/>
    <w:rsid w:val="00FE29B9"/>
    <w:rsid w:val="00FE2AC5"/>
    <w:rsid w:val="00FE2B3B"/>
    <w:rsid w:val="00FE2CD5"/>
    <w:rsid w:val="00FE2E6A"/>
    <w:rsid w:val="00FE2F6C"/>
    <w:rsid w:val="00FE32E5"/>
    <w:rsid w:val="00FE338D"/>
    <w:rsid w:val="00FE3454"/>
    <w:rsid w:val="00FE373E"/>
    <w:rsid w:val="00FE3859"/>
    <w:rsid w:val="00FE3A5D"/>
    <w:rsid w:val="00FE3B4C"/>
    <w:rsid w:val="00FE3E71"/>
    <w:rsid w:val="00FE3ECF"/>
    <w:rsid w:val="00FE3F9B"/>
    <w:rsid w:val="00FE40C7"/>
    <w:rsid w:val="00FE419B"/>
    <w:rsid w:val="00FE41B4"/>
    <w:rsid w:val="00FE4226"/>
    <w:rsid w:val="00FE42B3"/>
    <w:rsid w:val="00FE42D0"/>
    <w:rsid w:val="00FE4331"/>
    <w:rsid w:val="00FE4374"/>
    <w:rsid w:val="00FE45DF"/>
    <w:rsid w:val="00FE46E1"/>
    <w:rsid w:val="00FE4850"/>
    <w:rsid w:val="00FE494D"/>
    <w:rsid w:val="00FE4A62"/>
    <w:rsid w:val="00FE4E21"/>
    <w:rsid w:val="00FE4E68"/>
    <w:rsid w:val="00FE4EA4"/>
    <w:rsid w:val="00FE4F04"/>
    <w:rsid w:val="00FE4F41"/>
    <w:rsid w:val="00FE5072"/>
    <w:rsid w:val="00FE520E"/>
    <w:rsid w:val="00FE529F"/>
    <w:rsid w:val="00FE52FE"/>
    <w:rsid w:val="00FE532B"/>
    <w:rsid w:val="00FE5827"/>
    <w:rsid w:val="00FE58B5"/>
    <w:rsid w:val="00FE58EE"/>
    <w:rsid w:val="00FE59F0"/>
    <w:rsid w:val="00FE5A38"/>
    <w:rsid w:val="00FE5AE2"/>
    <w:rsid w:val="00FE5AEB"/>
    <w:rsid w:val="00FE5B74"/>
    <w:rsid w:val="00FE5EC3"/>
    <w:rsid w:val="00FE5F1F"/>
    <w:rsid w:val="00FE5FBA"/>
    <w:rsid w:val="00FE5FFA"/>
    <w:rsid w:val="00FE6083"/>
    <w:rsid w:val="00FE626A"/>
    <w:rsid w:val="00FE628F"/>
    <w:rsid w:val="00FE6668"/>
    <w:rsid w:val="00FE6A88"/>
    <w:rsid w:val="00FE6B8C"/>
    <w:rsid w:val="00FE6BF6"/>
    <w:rsid w:val="00FE6CB2"/>
    <w:rsid w:val="00FE6CB6"/>
    <w:rsid w:val="00FE6E19"/>
    <w:rsid w:val="00FE6E98"/>
    <w:rsid w:val="00FE6F1F"/>
    <w:rsid w:val="00FE6F60"/>
    <w:rsid w:val="00FE7383"/>
    <w:rsid w:val="00FE74E3"/>
    <w:rsid w:val="00FE7669"/>
    <w:rsid w:val="00FE77DD"/>
    <w:rsid w:val="00FE7BA4"/>
    <w:rsid w:val="00FE7CA5"/>
    <w:rsid w:val="00FE7CF5"/>
    <w:rsid w:val="00FE7E4D"/>
    <w:rsid w:val="00FF02A8"/>
    <w:rsid w:val="00FF046B"/>
    <w:rsid w:val="00FF0481"/>
    <w:rsid w:val="00FF058F"/>
    <w:rsid w:val="00FF0675"/>
    <w:rsid w:val="00FF06AF"/>
    <w:rsid w:val="00FF08EE"/>
    <w:rsid w:val="00FF0A9C"/>
    <w:rsid w:val="00FF0B6D"/>
    <w:rsid w:val="00FF0E0A"/>
    <w:rsid w:val="00FF1025"/>
    <w:rsid w:val="00FF1089"/>
    <w:rsid w:val="00FF147D"/>
    <w:rsid w:val="00FF15FF"/>
    <w:rsid w:val="00FF163E"/>
    <w:rsid w:val="00FF16A3"/>
    <w:rsid w:val="00FF185B"/>
    <w:rsid w:val="00FF18E7"/>
    <w:rsid w:val="00FF19F2"/>
    <w:rsid w:val="00FF1AC8"/>
    <w:rsid w:val="00FF1D0F"/>
    <w:rsid w:val="00FF1DB7"/>
    <w:rsid w:val="00FF2344"/>
    <w:rsid w:val="00FF28EF"/>
    <w:rsid w:val="00FF30AD"/>
    <w:rsid w:val="00FF30F4"/>
    <w:rsid w:val="00FF316E"/>
    <w:rsid w:val="00FF3612"/>
    <w:rsid w:val="00FF37F7"/>
    <w:rsid w:val="00FF3981"/>
    <w:rsid w:val="00FF3AF1"/>
    <w:rsid w:val="00FF3BE7"/>
    <w:rsid w:val="00FF3C41"/>
    <w:rsid w:val="00FF3E34"/>
    <w:rsid w:val="00FF3EE5"/>
    <w:rsid w:val="00FF3FEF"/>
    <w:rsid w:val="00FF422D"/>
    <w:rsid w:val="00FF42D2"/>
    <w:rsid w:val="00FF43C3"/>
    <w:rsid w:val="00FF4665"/>
    <w:rsid w:val="00FF471E"/>
    <w:rsid w:val="00FF47CD"/>
    <w:rsid w:val="00FF47EA"/>
    <w:rsid w:val="00FF483B"/>
    <w:rsid w:val="00FF485D"/>
    <w:rsid w:val="00FF49A3"/>
    <w:rsid w:val="00FF4AA1"/>
    <w:rsid w:val="00FF4B80"/>
    <w:rsid w:val="00FF4E08"/>
    <w:rsid w:val="00FF4E18"/>
    <w:rsid w:val="00FF4FF1"/>
    <w:rsid w:val="00FF51B6"/>
    <w:rsid w:val="00FF5316"/>
    <w:rsid w:val="00FF5317"/>
    <w:rsid w:val="00FF55F1"/>
    <w:rsid w:val="00FF5860"/>
    <w:rsid w:val="00FF5A55"/>
    <w:rsid w:val="00FF5B08"/>
    <w:rsid w:val="00FF5CF5"/>
    <w:rsid w:val="00FF5FE4"/>
    <w:rsid w:val="00FF6564"/>
    <w:rsid w:val="00FF6593"/>
    <w:rsid w:val="00FF65B7"/>
    <w:rsid w:val="00FF684E"/>
    <w:rsid w:val="00FF6871"/>
    <w:rsid w:val="00FF692D"/>
    <w:rsid w:val="00FF6AF9"/>
    <w:rsid w:val="00FF6B3F"/>
    <w:rsid w:val="00FF6B84"/>
    <w:rsid w:val="00FF6CBF"/>
    <w:rsid w:val="00FF6F07"/>
    <w:rsid w:val="00FF6F1F"/>
    <w:rsid w:val="00FF6F80"/>
    <w:rsid w:val="00FF6FC8"/>
    <w:rsid w:val="00FF7117"/>
    <w:rsid w:val="00FF7185"/>
    <w:rsid w:val="00FF733D"/>
    <w:rsid w:val="00FF7400"/>
    <w:rsid w:val="00FF7A8E"/>
    <w:rsid w:val="00FF7E01"/>
    <w:rsid w:val="00FF7F1B"/>
    <w:rsid w:val="01077169"/>
    <w:rsid w:val="01117587"/>
    <w:rsid w:val="011B3174"/>
    <w:rsid w:val="011FAB33"/>
    <w:rsid w:val="01259A43"/>
    <w:rsid w:val="013DBE3B"/>
    <w:rsid w:val="013FAB3C"/>
    <w:rsid w:val="014846A3"/>
    <w:rsid w:val="014C99B4"/>
    <w:rsid w:val="0151F797"/>
    <w:rsid w:val="015251C8"/>
    <w:rsid w:val="015530AA"/>
    <w:rsid w:val="016A08A8"/>
    <w:rsid w:val="01726137"/>
    <w:rsid w:val="0175E411"/>
    <w:rsid w:val="017AA0D0"/>
    <w:rsid w:val="017EB1FE"/>
    <w:rsid w:val="01848EF7"/>
    <w:rsid w:val="01898619"/>
    <w:rsid w:val="0197CAAB"/>
    <w:rsid w:val="0198EA99"/>
    <w:rsid w:val="019F7F95"/>
    <w:rsid w:val="01A33DF7"/>
    <w:rsid w:val="01A526CF"/>
    <w:rsid w:val="01B2FCB2"/>
    <w:rsid w:val="01B3B71C"/>
    <w:rsid w:val="01B89439"/>
    <w:rsid w:val="01C2F72D"/>
    <w:rsid w:val="01C79FC3"/>
    <w:rsid w:val="01C7FCE1"/>
    <w:rsid w:val="01CA2A44"/>
    <w:rsid w:val="01CC4792"/>
    <w:rsid w:val="01DFB576"/>
    <w:rsid w:val="01E536D2"/>
    <w:rsid w:val="01F5058A"/>
    <w:rsid w:val="01FF040A"/>
    <w:rsid w:val="020F4A03"/>
    <w:rsid w:val="0213A51C"/>
    <w:rsid w:val="02230F80"/>
    <w:rsid w:val="0224574D"/>
    <w:rsid w:val="023D2D03"/>
    <w:rsid w:val="023D6D2D"/>
    <w:rsid w:val="02407665"/>
    <w:rsid w:val="02500BB9"/>
    <w:rsid w:val="0250AD36"/>
    <w:rsid w:val="0253E871"/>
    <w:rsid w:val="025B111C"/>
    <w:rsid w:val="025B8036"/>
    <w:rsid w:val="0262B7F3"/>
    <w:rsid w:val="026EF4C4"/>
    <w:rsid w:val="02708075"/>
    <w:rsid w:val="027B0AD1"/>
    <w:rsid w:val="027B5E28"/>
    <w:rsid w:val="02854845"/>
    <w:rsid w:val="028C9D74"/>
    <w:rsid w:val="02935E09"/>
    <w:rsid w:val="02969C31"/>
    <w:rsid w:val="02A1D6D2"/>
    <w:rsid w:val="02ABC4F4"/>
    <w:rsid w:val="02AE1AAD"/>
    <w:rsid w:val="02AE7F96"/>
    <w:rsid w:val="02AEB621"/>
    <w:rsid w:val="02B43EE7"/>
    <w:rsid w:val="02B5B6FD"/>
    <w:rsid w:val="02BA4433"/>
    <w:rsid w:val="02BDC9FD"/>
    <w:rsid w:val="02BE0025"/>
    <w:rsid w:val="02C461A8"/>
    <w:rsid w:val="02C6B659"/>
    <w:rsid w:val="02C8B21D"/>
    <w:rsid w:val="02C93553"/>
    <w:rsid w:val="02D0EE5D"/>
    <w:rsid w:val="02DA4ECB"/>
    <w:rsid w:val="02EB2868"/>
    <w:rsid w:val="02EBC93C"/>
    <w:rsid w:val="02FB5191"/>
    <w:rsid w:val="0302B942"/>
    <w:rsid w:val="03090DBA"/>
    <w:rsid w:val="030A9476"/>
    <w:rsid w:val="03168D27"/>
    <w:rsid w:val="031AEA4B"/>
    <w:rsid w:val="0322332C"/>
    <w:rsid w:val="0324D4CC"/>
    <w:rsid w:val="032722BE"/>
    <w:rsid w:val="03285A20"/>
    <w:rsid w:val="03333B5D"/>
    <w:rsid w:val="033B7790"/>
    <w:rsid w:val="033C9AED"/>
    <w:rsid w:val="033CD63E"/>
    <w:rsid w:val="03417D20"/>
    <w:rsid w:val="034BE448"/>
    <w:rsid w:val="034E0515"/>
    <w:rsid w:val="034E140F"/>
    <w:rsid w:val="0354C0EB"/>
    <w:rsid w:val="0359181B"/>
    <w:rsid w:val="035A6A87"/>
    <w:rsid w:val="035F4109"/>
    <w:rsid w:val="03690C4D"/>
    <w:rsid w:val="036CA05C"/>
    <w:rsid w:val="036E821D"/>
    <w:rsid w:val="037E436B"/>
    <w:rsid w:val="038E0A91"/>
    <w:rsid w:val="0397A67C"/>
    <w:rsid w:val="039C2500"/>
    <w:rsid w:val="039E71E1"/>
    <w:rsid w:val="03A1EAFD"/>
    <w:rsid w:val="03A9468C"/>
    <w:rsid w:val="03AAD6AC"/>
    <w:rsid w:val="03AC3540"/>
    <w:rsid w:val="03CD9BAD"/>
    <w:rsid w:val="03D5E42A"/>
    <w:rsid w:val="03D8383F"/>
    <w:rsid w:val="03D90E29"/>
    <w:rsid w:val="03E0CCB9"/>
    <w:rsid w:val="03E638E4"/>
    <w:rsid w:val="03E7B854"/>
    <w:rsid w:val="03ED72FC"/>
    <w:rsid w:val="03F46D5D"/>
    <w:rsid w:val="03F92E84"/>
    <w:rsid w:val="03FE06C5"/>
    <w:rsid w:val="03FFA674"/>
    <w:rsid w:val="04026F5D"/>
    <w:rsid w:val="0402EED5"/>
    <w:rsid w:val="04032DF5"/>
    <w:rsid w:val="040AD29D"/>
    <w:rsid w:val="040C26C0"/>
    <w:rsid w:val="0411E941"/>
    <w:rsid w:val="0413FEBE"/>
    <w:rsid w:val="0416989F"/>
    <w:rsid w:val="041C7B2B"/>
    <w:rsid w:val="041DD871"/>
    <w:rsid w:val="0424C300"/>
    <w:rsid w:val="042DD961"/>
    <w:rsid w:val="04315D10"/>
    <w:rsid w:val="043369DF"/>
    <w:rsid w:val="04338429"/>
    <w:rsid w:val="0434840A"/>
    <w:rsid w:val="0436F0F9"/>
    <w:rsid w:val="04451A38"/>
    <w:rsid w:val="04473401"/>
    <w:rsid w:val="04488CED"/>
    <w:rsid w:val="044B2F19"/>
    <w:rsid w:val="044F8436"/>
    <w:rsid w:val="0450670B"/>
    <w:rsid w:val="0450C7CA"/>
    <w:rsid w:val="046A3517"/>
    <w:rsid w:val="046EEA01"/>
    <w:rsid w:val="046FD775"/>
    <w:rsid w:val="0479D1A5"/>
    <w:rsid w:val="047DCCEB"/>
    <w:rsid w:val="047E0F21"/>
    <w:rsid w:val="0481E58A"/>
    <w:rsid w:val="04849DA4"/>
    <w:rsid w:val="048583DD"/>
    <w:rsid w:val="0488C6B5"/>
    <w:rsid w:val="048D2FF0"/>
    <w:rsid w:val="0490CF86"/>
    <w:rsid w:val="04977A6D"/>
    <w:rsid w:val="049FCE7B"/>
    <w:rsid w:val="04AFEE92"/>
    <w:rsid w:val="04B22FFC"/>
    <w:rsid w:val="04B5625E"/>
    <w:rsid w:val="04BC4955"/>
    <w:rsid w:val="04C18C3B"/>
    <w:rsid w:val="04C4B3DA"/>
    <w:rsid w:val="04C65184"/>
    <w:rsid w:val="04C7F297"/>
    <w:rsid w:val="04CC010B"/>
    <w:rsid w:val="04D68EAA"/>
    <w:rsid w:val="04DF488D"/>
    <w:rsid w:val="04E1501F"/>
    <w:rsid w:val="04EB0E61"/>
    <w:rsid w:val="04EE7D4D"/>
    <w:rsid w:val="04FAB7BC"/>
    <w:rsid w:val="04FC2039"/>
    <w:rsid w:val="05038F3D"/>
    <w:rsid w:val="05086030"/>
    <w:rsid w:val="05284718"/>
    <w:rsid w:val="052B99BC"/>
    <w:rsid w:val="05340B7C"/>
    <w:rsid w:val="053C58F6"/>
    <w:rsid w:val="053F3F24"/>
    <w:rsid w:val="054865B3"/>
    <w:rsid w:val="055357EF"/>
    <w:rsid w:val="057300C5"/>
    <w:rsid w:val="05776431"/>
    <w:rsid w:val="05807955"/>
    <w:rsid w:val="0581700B"/>
    <w:rsid w:val="0581B9D3"/>
    <w:rsid w:val="05842001"/>
    <w:rsid w:val="0586D2DA"/>
    <w:rsid w:val="058D7ED7"/>
    <w:rsid w:val="0590C493"/>
    <w:rsid w:val="05925F38"/>
    <w:rsid w:val="05A3BEF4"/>
    <w:rsid w:val="05ADE932"/>
    <w:rsid w:val="05B01C95"/>
    <w:rsid w:val="05B04A90"/>
    <w:rsid w:val="05B5A0A1"/>
    <w:rsid w:val="05C26C82"/>
    <w:rsid w:val="05C41D57"/>
    <w:rsid w:val="05C97632"/>
    <w:rsid w:val="05D3EE47"/>
    <w:rsid w:val="05DC049A"/>
    <w:rsid w:val="05E246FE"/>
    <w:rsid w:val="05F569D2"/>
    <w:rsid w:val="05F71E3F"/>
    <w:rsid w:val="05FC0EF7"/>
    <w:rsid w:val="05FDF120"/>
    <w:rsid w:val="0611AA64"/>
    <w:rsid w:val="06137C39"/>
    <w:rsid w:val="06172802"/>
    <w:rsid w:val="0619DF82"/>
    <w:rsid w:val="0621E73A"/>
    <w:rsid w:val="062AECE3"/>
    <w:rsid w:val="062B8F48"/>
    <w:rsid w:val="062DF285"/>
    <w:rsid w:val="0635074E"/>
    <w:rsid w:val="0636A391"/>
    <w:rsid w:val="063B485F"/>
    <w:rsid w:val="0640A073"/>
    <w:rsid w:val="0641C939"/>
    <w:rsid w:val="0642EF3D"/>
    <w:rsid w:val="0658D1C4"/>
    <w:rsid w:val="065AD0AB"/>
    <w:rsid w:val="065C22CC"/>
    <w:rsid w:val="065D8AF7"/>
    <w:rsid w:val="06669129"/>
    <w:rsid w:val="066D450E"/>
    <w:rsid w:val="066F3534"/>
    <w:rsid w:val="0674D962"/>
    <w:rsid w:val="06776713"/>
    <w:rsid w:val="06802558"/>
    <w:rsid w:val="0680C94C"/>
    <w:rsid w:val="0681D75B"/>
    <w:rsid w:val="0684BF6E"/>
    <w:rsid w:val="0685B740"/>
    <w:rsid w:val="06895A3F"/>
    <w:rsid w:val="0692083C"/>
    <w:rsid w:val="0696800D"/>
    <w:rsid w:val="06A06705"/>
    <w:rsid w:val="06AD0E73"/>
    <w:rsid w:val="06C12FBB"/>
    <w:rsid w:val="06C92E22"/>
    <w:rsid w:val="06CC2A04"/>
    <w:rsid w:val="06CD3DD4"/>
    <w:rsid w:val="06D1F6B7"/>
    <w:rsid w:val="06D5C9A7"/>
    <w:rsid w:val="06F4715B"/>
    <w:rsid w:val="06F56CEE"/>
    <w:rsid w:val="06F64B74"/>
    <w:rsid w:val="0729E70C"/>
    <w:rsid w:val="072C732B"/>
    <w:rsid w:val="073247EA"/>
    <w:rsid w:val="0734DCD3"/>
    <w:rsid w:val="074E9C12"/>
    <w:rsid w:val="07554C54"/>
    <w:rsid w:val="07711117"/>
    <w:rsid w:val="0774C3BE"/>
    <w:rsid w:val="0776934B"/>
    <w:rsid w:val="07794478"/>
    <w:rsid w:val="077D0422"/>
    <w:rsid w:val="077D0BE7"/>
    <w:rsid w:val="078B8C1E"/>
    <w:rsid w:val="0796BBB5"/>
    <w:rsid w:val="07979496"/>
    <w:rsid w:val="07A51DAA"/>
    <w:rsid w:val="07AA88B9"/>
    <w:rsid w:val="07B84E8A"/>
    <w:rsid w:val="07D15B87"/>
    <w:rsid w:val="07D679E1"/>
    <w:rsid w:val="07D77E08"/>
    <w:rsid w:val="07DBC7ED"/>
    <w:rsid w:val="07E3DD41"/>
    <w:rsid w:val="07E5BA87"/>
    <w:rsid w:val="07E894A6"/>
    <w:rsid w:val="07EB9C4F"/>
    <w:rsid w:val="07F083F5"/>
    <w:rsid w:val="07F50397"/>
    <w:rsid w:val="07FD1AF1"/>
    <w:rsid w:val="08007316"/>
    <w:rsid w:val="080458CF"/>
    <w:rsid w:val="080683C5"/>
    <w:rsid w:val="08072E84"/>
    <w:rsid w:val="08092954"/>
    <w:rsid w:val="08122291"/>
    <w:rsid w:val="082963BE"/>
    <w:rsid w:val="0833F8F4"/>
    <w:rsid w:val="0836939C"/>
    <w:rsid w:val="08413004"/>
    <w:rsid w:val="0845A43D"/>
    <w:rsid w:val="085912EC"/>
    <w:rsid w:val="0860DFB2"/>
    <w:rsid w:val="0867F931"/>
    <w:rsid w:val="086FDFB2"/>
    <w:rsid w:val="087486AE"/>
    <w:rsid w:val="087C255E"/>
    <w:rsid w:val="08850071"/>
    <w:rsid w:val="0887B061"/>
    <w:rsid w:val="089C00FA"/>
    <w:rsid w:val="08AF0F6A"/>
    <w:rsid w:val="08B3551A"/>
    <w:rsid w:val="08B8161B"/>
    <w:rsid w:val="08B9A7A2"/>
    <w:rsid w:val="08C04B10"/>
    <w:rsid w:val="08C1C570"/>
    <w:rsid w:val="08C2830B"/>
    <w:rsid w:val="08C41191"/>
    <w:rsid w:val="08C51F99"/>
    <w:rsid w:val="08CA1976"/>
    <w:rsid w:val="08CEC596"/>
    <w:rsid w:val="08D03EE5"/>
    <w:rsid w:val="08D1D6D8"/>
    <w:rsid w:val="08D4E8F6"/>
    <w:rsid w:val="08DF77F2"/>
    <w:rsid w:val="08EA9BC0"/>
    <w:rsid w:val="08F22D28"/>
    <w:rsid w:val="08F888FF"/>
    <w:rsid w:val="08FD4A27"/>
    <w:rsid w:val="0903AAD5"/>
    <w:rsid w:val="0904C398"/>
    <w:rsid w:val="090A580E"/>
    <w:rsid w:val="09167A0D"/>
    <w:rsid w:val="092916BD"/>
    <w:rsid w:val="092B6997"/>
    <w:rsid w:val="09310805"/>
    <w:rsid w:val="09331086"/>
    <w:rsid w:val="093C4C93"/>
    <w:rsid w:val="094951BB"/>
    <w:rsid w:val="0954984C"/>
    <w:rsid w:val="0959C211"/>
    <w:rsid w:val="095D7A3B"/>
    <w:rsid w:val="095E4EBE"/>
    <w:rsid w:val="09611E3B"/>
    <w:rsid w:val="0974AF48"/>
    <w:rsid w:val="0986C1D0"/>
    <w:rsid w:val="098C7C3F"/>
    <w:rsid w:val="099940D4"/>
    <w:rsid w:val="099C5770"/>
    <w:rsid w:val="09A32318"/>
    <w:rsid w:val="09A97D4A"/>
    <w:rsid w:val="09B61416"/>
    <w:rsid w:val="09BC5DC3"/>
    <w:rsid w:val="09BD9DAD"/>
    <w:rsid w:val="09C25075"/>
    <w:rsid w:val="09C51AAB"/>
    <w:rsid w:val="09C65903"/>
    <w:rsid w:val="09C90B0E"/>
    <w:rsid w:val="09C914BD"/>
    <w:rsid w:val="09CCC3FF"/>
    <w:rsid w:val="09D23D1B"/>
    <w:rsid w:val="09E24FDD"/>
    <w:rsid w:val="09E3E8DC"/>
    <w:rsid w:val="09E5FD10"/>
    <w:rsid w:val="09F9EC53"/>
    <w:rsid w:val="09FAF1FF"/>
    <w:rsid w:val="0A18C589"/>
    <w:rsid w:val="0A232278"/>
    <w:rsid w:val="0A282ABA"/>
    <w:rsid w:val="0A2D0DB0"/>
    <w:rsid w:val="0A30D078"/>
    <w:rsid w:val="0A391B2B"/>
    <w:rsid w:val="0A3B031A"/>
    <w:rsid w:val="0A454337"/>
    <w:rsid w:val="0A45CD91"/>
    <w:rsid w:val="0A462633"/>
    <w:rsid w:val="0A4DC2F9"/>
    <w:rsid w:val="0A5EF792"/>
    <w:rsid w:val="0A5FDCC2"/>
    <w:rsid w:val="0A6A5C28"/>
    <w:rsid w:val="0A73421D"/>
    <w:rsid w:val="0A7A1857"/>
    <w:rsid w:val="0A7BE03B"/>
    <w:rsid w:val="0A7CE926"/>
    <w:rsid w:val="0A82B8A7"/>
    <w:rsid w:val="0A8FD0DC"/>
    <w:rsid w:val="0A97E7B4"/>
    <w:rsid w:val="0A9A7185"/>
    <w:rsid w:val="0A9D1C5C"/>
    <w:rsid w:val="0AA24D74"/>
    <w:rsid w:val="0AAF5AB7"/>
    <w:rsid w:val="0AB5B163"/>
    <w:rsid w:val="0ABA3B07"/>
    <w:rsid w:val="0ABDE5DE"/>
    <w:rsid w:val="0ABF9B2E"/>
    <w:rsid w:val="0AC0E676"/>
    <w:rsid w:val="0AC9703F"/>
    <w:rsid w:val="0AC9E61C"/>
    <w:rsid w:val="0ACD5482"/>
    <w:rsid w:val="0AD37AAA"/>
    <w:rsid w:val="0ADA445E"/>
    <w:rsid w:val="0AE6AC30"/>
    <w:rsid w:val="0AE6D46A"/>
    <w:rsid w:val="0AEA2E33"/>
    <w:rsid w:val="0AF138A4"/>
    <w:rsid w:val="0AF24DD5"/>
    <w:rsid w:val="0AF65EAA"/>
    <w:rsid w:val="0AF7D988"/>
    <w:rsid w:val="0AFAFD6B"/>
    <w:rsid w:val="0AFC3CDF"/>
    <w:rsid w:val="0B028132"/>
    <w:rsid w:val="0B02D069"/>
    <w:rsid w:val="0B062DC0"/>
    <w:rsid w:val="0B0AA743"/>
    <w:rsid w:val="0B146B6A"/>
    <w:rsid w:val="0B17AE11"/>
    <w:rsid w:val="0B19ACB5"/>
    <w:rsid w:val="0B1AC8D2"/>
    <w:rsid w:val="0B21C1ED"/>
    <w:rsid w:val="0B24F90A"/>
    <w:rsid w:val="0B2824F0"/>
    <w:rsid w:val="0B3122BD"/>
    <w:rsid w:val="0B31AFD9"/>
    <w:rsid w:val="0B3900A2"/>
    <w:rsid w:val="0B3CA3C0"/>
    <w:rsid w:val="0B3CBE98"/>
    <w:rsid w:val="0B3EBE5D"/>
    <w:rsid w:val="0B419BB5"/>
    <w:rsid w:val="0B42F782"/>
    <w:rsid w:val="0B4B51CB"/>
    <w:rsid w:val="0B4C7933"/>
    <w:rsid w:val="0B62E27C"/>
    <w:rsid w:val="0B635C1C"/>
    <w:rsid w:val="0B758C85"/>
    <w:rsid w:val="0B7631C2"/>
    <w:rsid w:val="0B764ACA"/>
    <w:rsid w:val="0B79AD65"/>
    <w:rsid w:val="0B7CBDC9"/>
    <w:rsid w:val="0B7D978D"/>
    <w:rsid w:val="0B868DAB"/>
    <w:rsid w:val="0B92654C"/>
    <w:rsid w:val="0B966950"/>
    <w:rsid w:val="0B9762C9"/>
    <w:rsid w:val="0B9E3A66"/>
    <w:rsid w:val="0BA131FF"/>
    <w:rsid w:val="0BA4275A"/>
    <w:rsid w:val="0BAB665C"/>
    <w:rsid w:val="0BAE5681"/>
    <w:rsid w:val="0BAECCF2"/>
    <w:rsid w:val="0BC87B31"/>
    <w:rsid w:val="0BE20FBA"/>
    <w:rsid w:val="0BF01424"/>
    <w:rsid w:val="0BFF7566"/>
    <w:rsid w:val="0BFFF27D"/>
    <w:rsid w:val="0C0BC862"/>
    <w:rsid w:val="0C10800D"/>
    <w:rsid w:val="0C371DDD"/>
    <w:rsid w:val="0C38BBCC"/>
    <w:rsid w:val="0C3A2B7B"/>
    <w:rsid w:val="0C5C9C9A"/>
    <w:rsid w:val="0C7624E2"/>
    <w:rsid w:val="0C787F69"/>
    <w:rsid w:val="0C802224"/>
    <w:rsid w:val="0C836F67"/>
    <w:rsid w:val="0C8E7300"/>
    <w:rsid w:val="0CA46888"/>
    <w:rsid w:val="0CACB423"/>
    <w:rsid w:val="0CAFA3C5"/>
    <w:rsid w:val="0CB2ADCE"/>
    <w:rsid w:val="0CB4E1FF"/>
    <w:rsid w:val="0CB55153"/>
    <w:rsid w:val="0CB9982E"/>
    <w:rsid w:val="0CB9EC82"/>
    <w:rsid w:val="0CBFF740"/>
    <w:rsid w:val="0CC4318B"/>
    <w:rsid w:val="0CCEC2B6"/>
    <w:rsid w:val="0CCF30FD"/>
    <w:rsid w:val="0CE3D5F3"/>
    <w:rsid w:val="0CE4E739"/>
    <w:rsid w:val="0CE7E23A"/>
    <w:rsid w:val="0CEA51B9"/>
    <w:rsid w:val="0CEBD53A"/>
    <w:rsid w:val="0CEFF875"/>
    <w:rsid w:val="0CFAE7EB"/>
    <w:rsid w:val="0CFB3CA8"/>
    <w:rsid w:val="0D034A22"/>
    <w:rsid w:val="0D095010"/>
    <w:rsid w:val="0D098D5A"/>
    <w:rsid w:val="0D147C89"/>
    <w:rsid w:val="0D17AEF8"/>
    <w:rsid w:val="0D1C3A3C"/>
    <w:rsid w:val="0D1C4EFD"/>
    <w:rsid w:val="0D385CD8"/>
    <w:rsid w:val="0D3F9F48"/>
    <w:rsid w:val="0D401E15"/>
    <w:rsid w:val="0D4AA835"/>
    <w:rsid w:val="0D4C44CF"/>
    <w:rsid w:val="0D5318F1"/>
    <w:rsid w:val="0D59E0E5"/>
    <w:rsid w:val="0D5BED06"/>
    <w:rsid w:val="0D5FB76C"/>
    <w:rsid w:val="0D671EFA"/>
    <w:rsid w:val="0D6779D5"/>
    <w:rsid w:val="0D6BB2A6"/>
    <w:rsid w:val="0D721335"/>
    <w:rsid w:val="0D72FE4E"/>
    <w:rsid w:val="0D8DA488"/>
    <w:rsid w:val="0D8DCFCC"/>
    <w:rsid w:val="0D8E3A79"/>
    <w:rsid w:val="0DA11BFE"/>
    <w:rsid w:val="0DA5D18B"/>
    <w:rsid w:val="0DAD98BD"/>
    <w:rsid w:val="0DB4E8DD"/>
    <w:rsid w:val="0DB5D9E7"/>
    <w:rsid w:val="0DC16624"/>
    <w:rsid w:val="0DD61BA9"/>
    <w:rsid w:val="0DD63CCB"/>
    <w:rsid w:val="0DF50401"/>
    <w:rsid w:val="0E00F19A"/>
    <w:rsid w:val="0E04B709"/>
    <w:rsid w:val="0E06745B"/>
    <w:rsid w:val="0E12EE51"/>
    <w:rsid w:val="0E14793B"/>
    <w:rsid w:val="0E21E601"/>
    <w:rsid w:val="0E2ACA80"/>
    <w:rsid w:val="0E34676C"/>
    <w:rsid w:val="0E3A8854"/>
    <w:rsid w:val="0E3D0939"/>
    <w:rsid w:val="0E444701"/>
    <w:rsid w:val="0E44B07D"/>
    <w:rsid w:val="0E46A03F"/>
    <w:rsid w:val="0E5354B6"/>
    <w:rsid w:val="0E537886"/>
    <w:rsid w:val="0E548366"/>
    <w:rsid w:val="0E5FE87B"/>
    <w:rsid w:val="0E688A63"/>
    <w:rsid w:val="0E68B966"/>
    <w:rsid w:val="0E6F526D"/>
    <w:rsid w:val="0E7070B1"/>
    <w:rsid w:val="0E7271F9"/>
    <w:rsid w:val="0E7BB295"/>
    <w:rsid w:val="0E7CC379"/>
    <w:rsid w:val="0E7FD006"/>
    <w:rsid w:val="0E805A6F"/>
    <w:rsid w:val="0EA05C47"/>
    <w:rsid w:val="0EAAF17D"/>
    <w:rsid w:val="0EBC715A"/>
    <w:rsid w:val="0EBE203D"/>
    <w:rsid w:val="0EC1F0F1"/>
    <w:rsid w:val="0EC40706"/>
    <w:rsid w:val="0ED18C24"/>
    <w:rsid w:val="0ED1A9CC"/>
    <w:rsid w:val="0ED7C094"/>
    <w:rsid w:val="0ED93712"/>
    <w:rsid w:val="0EDD19FF"/>
    <w:rsid w:val="0EE0AF64"/>
    <w:rsid w:val="0EF4FE1D"/>
    <w:rsid w:val="0EFF50EB"/>
    <w:rsid w:val="0F0F2EF4"/>
    <w:rsid w:val="0F1035F3"/>
    <w:rsid w:val="0F20C045"/>
    <w:rsid w:val="0F2E768B"/>
    <w:rsid w:val="0F30CF3D"/>
    <w:rsid w:val="0F367DDC"/>
    <w:rsid w:val="0F39EF71"/>
    <w:rsid w:val="0F4708EF"/>
    <w:rsid w:val="0F5BC1AC"/>
    <w:rsid w:val="0F5EF683"/>
    <w:rsid w:val="0F63DE99"/>
    <w:rsid w:val="0F738BC3"/>
    <w:rsid w:val="0F75A835"/>
    <w:rsid w:val="0F7F49FD"/>
    <w:rsid w:val="0F847421"/>
    <w:rsid w:val="0F891053"/>
    <w:rsid w:val="0F8A8FA8"/>
    <w:rsid w:val="0F976EB4"/>
    <w:rsid w:val="0F9C2A83"/>
    <w:rsid w:val="0F9D573F"/>
    <w:rsid w:val="0F9D9D34"/>
    <w:rsid w:val="0FA335BD"/>
    <w:rsid w:val="0FA4C46E"/>
    <w:rsid w:val="0FB959B8"/>
    <w:rsid w:val="0FBA3C97"/>
    <w:rsid w:val="0FD1987E"/>
    <w:rsid w:val="0FD47A0F"/>
    <w:rsid w:val="0FDFC45A"/>
    <w:rsid w:val="0FE6C96D"/>
    <w:rsid w:val="0FEA1EF5"/>
    <w:rsid w:val="0FECA3B7"/>
    <w:rsid w:val="0FEF14DE"/>
    <w:rsid w:val="0FF45590"/>
    <w:rsid w:val="10062BEC"/>
    <w:rsid w:val="1007B91B"/>
    <w:rsid w:val="10097195"/>
    <w:rsid w:val="100A0778"/>
    <w:rsid w:val="100A856B"/>
    <w:rsid w:val="100E9A75"/>
    <w:rsid w:val="100EEA3B"/>
    <w:rsid w:val="10183ABE"/>
    <w:rsid w:val="102B5550"/>
    <w:rsid w:val="1034F6E0"/>
    <w:rsid w:val="103F28F5"/>
    <w:rsid w:val="103F4F4D"/>
    <w:rsid w:val="10489CEF"/>
    <w:rsid w:val="104E37B7"/>
    <w:rsid w:val="104FEE4F"/>
    <w:rsid w:val="1054BEDD"/>
    <w:rsid w:val="10554681"/>
    <w:rsid w:val="1057EFBD"/>
    <w:rsid w:val="105D9D9B"/>
    <w:rsid w:val="1062C2E2"/>
    <w:rsid w:val="1062EBA0"/>
    <w:rsid w:val="10729EB0"/>
    <w:rsid w:val="107BBEA9"/>
    <w:rsid w:val="107CD6AB"/>
    <w:rsid w:val="107CF66B"/>
    <w:rsid w:val="108DAA1D"/>
    <w:rsid w:val="10969139"/>
    <w:rsid w:val="109E6786"/>
    <w:rsid w:val="109FADAC"/>
    <w:rsid w:val="10AC1254"/>
    <w:rsid w:val="10B79686"/>
    <w:rsid w:val="10BCD7BC"/>
    <w:rsid w:val="10C00C88"/>
    <w:rsid w:val="10C69C8F"/>
    <w:rsid w:val="10C79832"/>
    <w:rsid w:val="10CD6202"/>
    <w:rsid w:val="10D52AD1"/>
    <w:rsid w:val="10D9782D"/>
    <w:rsid w:val="10DA06D0"/>
    <w:rsid w:val="10DE42EE"/>
    <w:rsid w:val="10DF8CFA"/>
    <w:rsid w:val="10E3F601"/>
    <w:rsid w:val="10E93178"/>
    <w:rsid w:val="10F0A8FD"/>
    <w:rsid w:val="10F75F97"/>
    <w:rsid w:val="1100D2D8"/>
    <w:rsid w:val="11143B1C"/>
    <w:rsid w:val="1115EE77"/>
    <w:rsid w:val="1119093C"/>
    <w:rsid w:val="111A64DB"/>
    <w:rsid w:val="111B951E"/>
    <w:rsid w:val="111C57D3"/>
    <w:rsid w:val="113B7DA5"/>
    <w:rsid w:val="113C16C9"/>
    <w:rsid w:val="1149592D"/>
    <w:rsid w:val="114E5A10"/>
    <w:rsid w:val="1151A615"/>
    <w:rsid w:val="11639647"/>
    <w:rsid w:val="116422BD"/>
    <w:rsid w:val="11762E5A"/>
    <w:rsid w:val="117D69FF"/>
    <w:rsid w:val="1181032B"/>
    <w:rsid w:val="11823A9B"/>
    <w:rsid w:val="11902180"/>
    <w:rsid w:val="119C1548"/>
    <w:rsid w:val="11A149A1"/>
    <w:rsid w:val="11A96D82"/>
    <w:rsid w:val="11B11B35"/>
    <w:rsid w:val="11B706E3"/>
    <w:rsid w:val="11BF048D"/>
    <w:rsid w:val="11C247DE"/>
    <w:rsid w:val="11C3A771"/>
    <w:rsid w:val="11C47012"/>
    <w:rsid w:val="11CFB848"/>
    <w:rsid w:val="11E42DF1"/>
    <w:rsid w:val="11E57D45"/>
    <w:rsid w:val="11FD84B0"/>
    <w:rsid w:val="12081137"/>
    <w:rsid w:val="120F769F"/>
    <w:rsid w:val="121E55F4"/>
    <w:rsid w:val="1225B9A2"/>
    <w:rsid w:val="122BF744"/>
    <w:rsid w:val="122C8B08"/>
    <w:rsid w:val="1239445D"/>
    <w:rsid w:val="1248B594"/>
    <w:rsid w:val="124C2413"/>
    <w:rsid w:val="124C355D"/>
    <w:rsid w:val="12520087"/>
    <w:rsid w:val="1254AF0F"/>
    <w:rsid w:val="12553CEA"/>
    <w:rsid w:val="1255D707"/>
    <w:rsid w:val="125616A5"/>
    <w:rsid w:val="1256AFE0"/>
    <w:rsid w:val="12575F53"/>
    <w:rsid w:val="12588523"/>
    <w:rsid w:val="1258F504"/>
    <w:rsid w:val="125AD502"/>
    <w:rsid w:val="125DAEA4"/>
    <w:rsid w:val="12681D81"/>
    <w:rsid w:val="126BC858"/>
    <w:rsid w:val="127A4657"/>
    <w:rsid w:val="128A606E"/>
    <w:rsid w:val="128BDC14"/>
    <w:rsid w:val="1290B346"/>
    <w:rsid w:val="12943824"/>
    <w:rsid w:val="129A1D5F"/>
    <w:rsid w:val="129BD558"/>
    <w:rsid w:val="12A32DD3"/>
    <w:rsid w:val="12BDDA4C"/>
    <w:rsid w:val="12DB490B"/>
    <w:rsid w:val="12DC1CFB"/>
    <w:rsid w:val="12E21809"/>
    <w:rsid w:val="12E84602"/>
    <w:rsid w:val="12E95BB6"/>
    <w:rsid w:val="12EABAEA"/>
    <w:rsid w:val="12EBE972"/>
    <w:rsid w:val="12EBF7AC"/>
    <w:rsid w:val="12EEC400"/>
    <w:rsid w:val="12EFAF05"/>
    <w:rsid w:val="13024A69"/>
    <w:rsid w:val="13032D7E"/>
    <w:rsid w:val="1306D5E0"/>
    <w:rsid w:val="1309EC66"/>
    <w:rsid w:val="130EF128"/>
    <w:rsid w:val="131E1A2C"/>
    <w:rsid w:val="132F0A58"/>
    <w:rsid w:val="1331EB02"/>
    <w:rsid w:val="133F71AD"/>
    <w:rsid w:val="13414308"/>
    <w:rsid w:val="1343B783"/>
    <w:rsid w:val="134BC622"/>
    <w:rsid w:val="134EAD03"/>
    <w:rsid w:val="13530DC8"/>
    <w:rsid w:val="135987E5"/>
    <w:rsid w:val="1368D5BB"/>
    <w:rsid w:val="136C14F7"/>
    <w:rsid w:val="136E3B2D"/>
    <w:rsid w:val="137038F0"/>
    <w:rsid w:val="13731880"/>
    <w:rsid w:val="1375E459"/>
    <w:rsid w:val="13774D3C"/>
    <w:rsid w:val="13784907"/>
    <w:rsid w:val="1378ED2F"/>
    <w:rsid w:val="137ADB5C"/>
    <w:rsid w:val="1381139B"/>
    <w:rsid w:val="138AA56E"/>
    <w:rsid w:val="139295B4"/>
    <w:rsid w:val="13A48FC7"/>
    <w:rsid w:val="13A4EAE7"/>
    <w:rsid w:val="13AEBE98"/>
    <w:rsid w:val="13B592FD"/>
    <w:rsid w:val="13BC2C6B"/>
    <w:rsid w:val="13C80045"/>
    <w:rsid w:val="13CFAF1B"/>
    <w:rsid w:val="13D119A3"/>
    <w:rsid w:val="13D6E390"/>
    <w:rsid w:val="13DA6AB0"/>
    <w:rsid w:val="13DC1980"/>
    <w:rsid w:val="13E55BEC"/>
    <w:rsid w:val="13F02BE2"/>
    <w:rsid w:val="13F7DC9E"/>
    <w:rsid w:val="13FB21D4"/>
    <w:rsid w:val="13FE9864"/>
    <w:rsid w:val="13FFFC97"/>
    <w:rsid w:val="1400D9DF"/>
    <w:rsid w:val="1405504C"/>
    <w:rsid w:val="1405855A"/>
    <w:rsid w:val="140B03AF"/>
    <w:rsid w:val="14179669"/>
    <w:rsid w:val="141CA8B9"/>
    <w:rsid w:val="1426ED27"/>
    <w:rsid w:val="142F7FDC"/>
    <w:rsid w:val="143928C5"/>
    <w:rsid w:val="143BA2AC"/>
    <w:rsid w:val="1440552F"/>
    <w:rsid w:val="144CB18B"/>
    <w:rsid w:val="1450AB0F"/>
    <w:rsid w:val="145FBECE"/>
    <w:rsid w:val="146DF1B2"/>
    <w:rsid w:val="1479BD95"/>
    <w:rsid w:val="147F23E2"/>
    <w:rsid w:val="14832870"/>
    <w:rsid w:val="149A11AC"/>
    <w:rsid w:val="149C2071"/>
    <w:rsid w:val="149C851B"/>
    <w:rsid w:val="149D4656"/>
    <w:rsid w:val="14BD3543"/>
    <w:rsid w:val="14C065AC"/>
    <w:rsid w:val="14C313CD"/>
    <w:rsid w:val="14D359D3"/>
    <w:rsid w:val="14E2C721"/>
    <w:rsid w:val="14E2D259"/>
    <w:rsid w:val="14F28192"/>
    <w:rsid w:val="14F2CA24"/>
    <w:rsid w:val="14F7C5BB"/>
    <w:rsid w:val="14F8B24B"/>
    <w:rsid w:val="14FD9B48"/>
    <w:rsid w:val="150A79A7"/>
    <w:rsid w:val="15145EAD"/>
    <w:rsid w:val="15176B51"/>
    <w:rsid w:val="151B8D2E"/>
    <w:rsid w:val="151F1A3C"/>
    <w:rsid w:val="1522C298"/>
    <w:rsid w:val="15258890"/>
    <w:rsid w:val="15288398"/>
    <w:rsid w:val="1530630F"/>
    <w:rsid w:val="1530EB5D"/>
    <w:rsid w:val="15323859"/>
    <w:rsid w:val="153A9235"/>
    <w:rsid w:val="153B81E6"/>
    <w:rsid w:val="153E0654"/>
    <w:rsid w:val="1540BEC3"/>
    <w:rsid w:val="1541B3D0"/>
    <w:rsid w:val="154919BF"/>
    <w:rsid w:val="1549AD25"/>
    <w:rsid w:val="155879AC"/>
    <w:rsid w:val="1566A7ED"/>
    <w:rsid w:val="15670525"/>
    <w:rsid w:val="156C10E4"/>
    <w:rsid w:val="157DBBB6"/>
    <w:rsid w:val="157E9110"/>
    <w:rsid w:val="1585737A"/>
    <w:rsid w:val="158EEBF8"/>
    <w:rsid w:val="158FCDC2"/>
    <w:rsid w:val="15914200"/>
    <w:rsid w:val="15958BAC"/>
    <w:rsid w:val="159E02E8"/>
    <w:rsid w:val="15A6D265"/>
    <w:rsid w:val="15AB5E62"/>
    <w:rsid w:val="15C53919"/>
    <w:rsid w:val="15C5E0B1"/>
    <w:rsid w:val="15C74CDE"/>
    <w:rsid w:val="15C949BE"/>
    <w:rsid w:val="15CEA283"/>
    <w:rsid w:val="15D993CC"/>
    <w:rsid w:val="15E24BA6"/>
    <w:rsid w:val="15E35B27"/>
    <w:rsid w:val="15E7DCB2"/>
    <w:rsid w:val="15EE6269"/>
    <w:rsid w:val="15F3C634"/>
    <w:rsid w:val="15F85C83"/>
    <w:rsid w:val="16014A2C"/>
    <w:rsid w:val="16184535"/>
    <w:rsid w:val="161CC0CA"/>
    <w:rsid w:val="161E1C10"/>
    <w:rsid w:val="16201AED"/>
    <w:rsid w:val="16263C09"/>
    <w:rsid w:val="162AD9CE"/>
    <w:rsid w:val="16354721"/>
    <w:rsid w:val="16377FEF"/>
    <w:rsid w:val="1647324A"/>
    <w:rsid w:val="164FD413"/>
    <w:rsid w:val="16554FE3"/>
    <w:rsid w:val="165FB338"/>
    <w:rsid w:val="1664D86C"/>
    <w:rsid w:val="16650DD0"/>
    <w:rsid w:val="166D7FEB"/>
    <w:rsid w:val="1672BF01"/>
    <w:rsid w:val="1688D786"/>
    <w:rsid w:val="169063C2"/>
    <w:rsid w:val="16AAC168"/>
    <w:rsid w:val="16B79BAF"/>
    <w:rsid w:val="16B81766"/>
    <w:rsid w:val="16BF3FE0"/>
    <w:rsid w:val="16CA8BC9"/>
    <w:rsid w:val="16D34595"/>
    <w:rsid w:val="16D3B9F1"/>
    <w:rsid w:val="16D6F260"/>
    <w:rsid w:val="16DC2F43"/>
    <w:rsid w:val="16DD8DE1"/>
    <w:rsid w:val="16DDA5FB"/>
    <w:rsid w:val="16E25B39"/>
    <w:rsid w:val="16E31311"/>
    <w:rsid w:val="16F19475"/>
    <w:rsid w:val="16F554FB"/>
    <w:rsid w:val="16FED6ED"/>
    <w:rsid w:val="16FF99DB"/>
    <w:rsid w:val="170B643A"/>
    <w:rsid w:val="170B6D70"/>
    <w:rsid w:val="171C7BE0"/>
    <w:rsid w:val="171DA72A"/>
    <w:rsid w:val="172013B6"/>
    <w:rsid w:val="1724C343"/>
    <w:rsid w:val="1726D9F6"/>
    <w:rsid w:val="172C7985"/>
    <w:rsid w:val="172F38F3"/>
    <w:rsid w:val="1734FB4E"/>
    <w:rsid w:val="173A5EA3"/>
    <w:rsid w:val="173DE357"/>
    <w:rsid w:val="173EB2FA"/>
    <w:rsid w:val="1741233F"/>
    <w:rsid w:val="174AC3BB"/>
    <w:rsid w:val="174B9FDC"/>
    <w:rsid w:val="175A93EF"/>
    <w:rsid w:val="1766633A"/>
    <w:rsid w:val="1773F4E7"/>
    <w:rsid w:val="17787EAC"/>
    <w:rsid w:val="1778CDEC"/>
    <w:rsid w:val="177CC6A1"/>
    <w:rsid w:val="1781CE9C"/>
    <w:rsid w:val="179B574F"/>
    <w:rsid w:val="179BD1FB"/>
    <w:rsid w:val="179FDC25"/>
    <w:rsid w:val="17A2E1D4"/>
    <w:rsid w:val="17A4D3D7"/>
    <w:rsid w:val="17BDA910"/>
    <w:rsid w:val="17C70888"/>
    <w:rsid w:val="17C8B13B"/>
    <w:rsid w:val="17D28ADC"/>
    <w:rsid w:val="17D968B2"/>
    <w:rsid w:val="17DABFE7"/>
    <w:rsid w:val="17E8E10C"/>
    <w:rsid w:val="17EDE599"/>
    <w:rsid w:val="17F2A018"/>
    <w:rsid w:val="1801C433"/>
    <w:rsid w:val="1806A50B"/>
    <w:rsid w:val="1808D538"/>
    <w:rsid w:val="18165C49"/>
    <w:rsid w:val="1825BFF2"/>
    <w:rsid w:val="182A5EB8"/>
    <w:rsid w:val="18310895"/>
    <w:rsid w:val="183377CC"/>
    <w:rsid w:val="18345F5B"/>
    <w:rsid w:val="1838C815"/>
    <w:rsid w:val="18411BE5"/>
    <w:rsid w:val="18436A15"/>
    <w:rsid w:val="1849A6B2"/>
    <w:rsid w:val="185C03AF"/>
    <w:rsid w:val="185C44D3"/>
    <w:rsid w:val="185E12CC"/>
    <w:rsid w:val="1866A4F4"/>
    <w:rsid w:val="18784C2C"/>
    <w:rsid w:val="187AE0CA"/>
    <w:rsid w:val="187B90C8"/>
    <w:rsid w:val="187D5B34"/>
    <w:rsid w:val="18809F5A"/>
    <w:rsid w:val="18821154"/>
    <w:rsid w:val="188808A6"/>
    <w:rsid w:val="18894A65"/>
    <w:rsid w:val="188B728D"/>
    <w:rsid w:val="188C7400"/>
    <w:rsid w:val="188D3FC7"/>
    <w:rsid w:val="1891C52A"/>
    <w:rsid w:val="18924518"/>
    <w:rsid w:val="189B208E"/>
    <w:rsid w:val="18A1B910"/>
    <w:rsid w:val="18A230C7"/>
    <w:rsid w:val="18A8B63B"/>
    <w:rsid w:val="18B139F9"/>
    <w:rsid w:val="18B9E501"/>
    <w:rsid w:val="18BCFF55"/>
    <w:rsid w:val="18C327E2"/>
    <w:rsid w:val="18C6A687"/>
    <w:rsid w:val="18C6D46D"/>
    <w:rsid w:val="18C6F730"/>
    <w:rsid w:val="18D25A1A"/>
    <w:rsid w:val="18E14E90"/>
    <w:rsid w:val="18E660AD"/>
    <w:rsid w:val="18E6630B"/>
    <w:rsid w:val="18F990F7"/>
    <w:rsid w:val="1901E0C7"/>
    <w:rsid w:val="1905A8BF"/>
    <w:rsid w:val="1906E5A5"/>
    <w:rsid w:val="1907170D"/>
    <w:rsid w:val="1910273B"/>
    <w:rsid w:val="19177466"/>
    <w:rsid w:val="1918103C"/>
    <w:rsid w:val="191B3A64"/>
    <w:rsid w:val="1920A526"/>
    <w:rsid w:val="19258AB4"/>
    <w:rsid w:val="192F998C"/>
    <w:rsid w:val="192FBBF8"/>
    <w:rsid w:val="193EE45A"/>
    <w:rsid w:val="194DA8C1"/>
    <w:rsid w:val="19563BD0"/>
    <w:rsid w:val="195B60A7"/>
    <w:rsid w:val="1964AFC2"/>
    <w:rsid w:val="19655D23"/>
    <w:rsid w:val="19691D60"/>
    <w:rsid w:val="196A6B73"/>
    <w:rsid w:val="196D0BE9"/>
    <w:rsid w:val="196D5668"/>
    <w:rsid w:val="19724F46"/>
    <w:rsid w:val="1972F078"/>
    <w:rsid w:val="197359A1"/>
    <w:rsid w:val="19771A45"/>
    <w:rsid w:val="197AFA7C"/>
    <w:rsid w:val="197E40D2"/>
    <w:rsid w:val="197F80D2"/>
    <w:rsid w:val="1980C6A3"/>
    <w:rsid w:val="1985B1BF"/>
    <w:rsid w:val="1989739B"/>
    <w:rsid w:val="19A01F64"/>
    <w:rsid w:val="19ACAD4E"/>
    <w:rsid w:val="19B8075B"/>
    <w:rsid w:val="19BE4946"/>
    <w:rsid w:val="19C2CA16"/>
    <w:rsid w:val="19CF137A"/>
    <w:rsid w:val="19D1F634"/>
    <w:rsid w:val="19D2224D"/>
    <w:rsid w:val="19D5C979"/>
    <w:rsid w:val="19E25193"/>
    <w:rsid w:val="19E35303"/>
    <w:rsid w:val="19E52201"/>
    <w:rsid w:val="19EC29B6"/>
    <w:rsid w:val="19ED972C"/>
    <w:rsid w:val="19F21771"/>
    <w:rsid w:val="19F61976"/>
    <w:rsid w:val="19FB40E0"/>
    <w:rsid w:val="19FD57C0"/>
    <w:rsid w:val="1A099475"/>
    <w:rsid w:val="1A0F75D6"/>
    <w:rsid w:val="1A17D1BD"/>
    <w:rsid w:val="1A190117"/>
    <w:rsid w:val="1A1F87E7"/>
    <w:rsid w:val="1A223DC3"/>
    <w:rsid w:val="1A27B5DD"/>
    <w:rsid w:val="1A2B0D94"/>
    <w:rsid w:val="1A30D1D2"/>
    <w:rsid w:val="1A3F5612"/>
    <w:rsid w:val="1A3F90E5"/>
    <w:rsid w:val="1A41EBAF"/>
    <w:rsid w:val="1A4349EF"/>
    <w:rsid w:val="1A47ACF3"/>
    <w:rsid w:val="1A5D6B27"/>
    <w:rsid w:val="1A65A3D5"/>
    <w:rsid w:val="1A6764E7"/>
    <w:rsid w:val="1A6A6BEE"/>
    <w:rsid w:val="1A6BB784"/>
    <w:rsid w:val="1A6DC673"/>
    <w:rsid w:val="1A6F1109"/>
    <w:rsid w:val="1A73FE05"/>
    <w:rsid w:val="1A7BA5A2"/>
    <w:rsid w:val="1A83A6B0"/>
    <w:rsid w:val="1A962562"/>
    <w:rsid w:val="1A98660E"/>
    <w:rsid w:val="1A988D10"/>
    <w:rsid w:val="1A9C0C8E"/>
    <w:rsid w:val="1AA23B79"/>
    <w:rsid w:val="1AA4FFCE"/>
    <w:rsid w:val="1AA66E87"/>
    <w:rsid w:val="1ABBFA2D"/>
    <w:rsid w:val="1ABE97F9"/>
    <w:rsid w:val="1AC40724"/>
    <w:rsid w:val="1AC5D84A"/>
    <w:rsid w:val="1AC5E166"/>
    <w:rsid w:val="1ACF14CE"/>
    <w:rsid w:val="1AD05464"/>
    <w:rsid w:val="1ADA4AAA"/>
    <w:rsid w:val="1AF466D3"/>
    <w:rsid w:val="1AF7F297"/>
    <w:rsid w:val="1AFB21DF"/>
    <w:rsid w:val="1B04D5FA"/>
    <w:rsid w:val="1B07BF13"/>
    <w:rsid w:val="1B0C5E17"/>
    <w:rsid w:val="1B0E2E75"/>
    <w:rsid w:val="1B12970E"/>
    <w:rsid w:val="1B13CD11"/>
    <w:rsid w:val="1B1D98EE"/>
    <w:rsid w:val="1B200AB6"/>
    <w:rsid w:val="1B2DDCA5"/>
    <w:rsid w:val="1B3408CE"/>
    <w:rsid w:val="1B464E97"/>
    <w:rsid w:val="1B480934"/>
    <w:rsid w:val="1B54B630"/>
    <w:rsid w:val="1B58EF22"/>
    <w:rsid w:val="1B5D60E8"/>
    <w:rsid w:val="1B6CCAFE"/>
    <w:rsid w:val="1B6DF61C"/>
    <w:rsid w:val="1B6FF21A"/>
    <w:rsid w:val="1B750AC9"/>
    <w:rsid w:val="1B7C8416"/>
    <w:rsid w:val="1B844B44"/>
    <w:rsid w:val="1B84B34C"/>
    <w:rsid w:val="1B92B5C6"/>
    <w:rsid w:val="1B9A9898"/>
    <w:rsid w:val="1B9DE714"/>
    <w:rsid w:val="1BA2671E"/>
    <w:rsid w:val="1BA49272"/>
    <w:rsid w:val="1BB24767"/>
    <w:rsid w:val="1BB775A8"/>
    <w:rsid w:val="1BBA5144"/>
    <w:rsid w:val="1BBC2588"/>
    <w:rsid w:val="1BBD0A84"/>
    <w:rsid w:val="1BBEA87A"/>
    <w:rsid w:val="1BC2557E"/>
    <w:rsid w:val="1BD7ABBC"/>
    <w:rsid w:val="1BD7B8DE"/>
    <w:rsid w:val="1BE92209"/>
    <w:rsid w:val="1BEC276A"/>
    <w:rsid w:val="1BEC29C8"/>
    <w:rsid w:val="1BED79D3"/>
    <w:rsid w:val="1BEFF51F"/>
    <w:rsid w:val="1BF1B02D"/>
    <w:rsid w:val="1BF2EEDB"/>
    <w:rsid w:val="1BF56B39"/>
    <w:rsid w:val="1BFC46B1"/>
    <w:rsid w:val="1BFECB50"/>
    <w:rsid w:val="1C0111B0"/>
    <w:rsid w:val="1C017626"/>
    <w:rsid w:val="1C01DA73"/>
    <w:rsid w:val="1C058959"/>
    <w:rsid w:val="1C12B825"/>
    <w:rsid w:val="1C1F35BB"/>
    <w:rsid w:val="1C2ACFAA"/>
    <w:rsid w:val="1C2BE41F"/>
    <w:rsid w:val="1C481F7A"/>
    <w:rsid w:val="1C50201C"/>
    <w:rsid w:val="1C545EAC"/>
    <w:rsid w:val="1C5C3938"/>
    <w:rsid w:val="1C600A20"/>
    <w:rsid w:val="1C64BE27"/>
    <w:rsid w:val="1C66E150"/>
    <w:rsid w:val="1C695D08"/>
    <w:rsid w:val="1C7CF873"/>
    <w:rsid w:val="1C7FE127"/>
    <w:rsid w:val="1C80981D"/>
    <w:rsid w:val="1C8494A1"/>
    <w:rsid w:val="1C854EF4"/>
    <w:rsid w:val="1C9515AD"/>
    <w:rsid w:val="1CA31285"/>
    <w:rsid w:val="1CA84A39"/>
    <w:rsid w:val="1CAD5F93"/>
    <w:rsid w:val="1CB22E9F"/>
    <w:rsid w:val="1CB4AF4F"/>
    <w:rsid w:val="1CB81D33"/>
    <w:rsid w:val="1CB8DF2B"/>
    <w:rsid w:val="1CC32573"/>
    <w:rsid w:val="1CE2B421"/>
    <w:rsid w:val="1CE78A6E"/>
    <w:rsid w:val="1CE7B0AC"/>
    <w:rsid w:val="1CE90EFA"/>
    <w:rsid w:val="1CEEA153"/>
    <w:rsid w:val="1CEEB71E"/>
    <w:rsid w:val="1CF5A592"/>
    <w:rsid w:val="1CF89E07"/>
    <w:rsid w:val="1CFAFABB"/>
    <w:rsid w:val="1D071147"/>
    <w:rsid w:val="1D16A637"/>
    <w:rsid w:val="1D16AAE1"/>
    <w:rsid w:val="1D16DCB4"/>
    <w:rsid w:val="1D262B7D"/>
    <w:rsid w:val="1D2711D3"/>
    <w:rsid w:val="1D281695"/>
    <w:rsid w:val="1D318114"/>
    <w:rsid w:val="1D35784E"/>
    <w:rsid w:val="1D3A3C30"/>
    <w:rsid w:val="1D40BFF0"/>
    <w:rsid w:val="1D4C0E1B"/>
    <w:rsid w:val="1D4C7009"/>
    <w:rsid w:val="1D4E2EA3"/>
    <w:rsid w:val="1D567ECB"/>
    <w:rsid w:val="1D5C0EE4"/>
    <w:rsid w:val="1D6119F4"/>
    <w:rsid w:val="1D68B82F"/>
    <w:rsid w:val="1D6D61CF"/>
    <w:rsid w:val="1D6EB83C"/>
    <w:rsid w:val="1D711362"/>
    <w:rsid w:val="1D788317"/>
    <w:rsid w:val="1D7F69C3"/>
    <w:rsid w:val="1D8DF269"/>
    <w:rsid w:val="1D9067F0"/>
    <w:rsid w:val="1D9A1489"/>
    <w:rsid w:val="1D9B29B5"/>
    <w:rsid w:val="1D9CAEB6"/>
    <w:rsid w:val="1DA12286"/>
    <w:rsid w:val="1DA21990"/>
    <w:rsid w:val="1DB709D8"/>
    <w:rsid w:val="1DBB96CE"/>
    <w:rsid w:val="1DCEE321"/>
    <w:rsid w:val="1DCFAC59"/>
    <w:rsid w:val="1DD2D42A"/>
    <w:rsid w:val="1DDC7465"/>
    <w:rsid w:val="1DE077DA"/>
    <w:rsid w:val="1DE28455"/>
    <w:rsid w:val="1DE62624"/>
    <w:rsid w:val="1DEC1A7A"/>
    <w:rsid w:val="1DF0889C"/>
    <w:rsid w:val="1DF1FD3A"/>
    <w:rsid w:val="1DFD3EBD"/>
    <w:rsid w:val="1DFE4FBB"/>
    <w:rsid w:val="1E05532D"/>
    <w:rsid w:val="1E17ABA1"/>
    <w:rsid w:val="1E1A7AD5"/>
    <w:rsid w:val="1E1D05EB"/>
    <w:rsid w:val="1E2D21EA"/>
    <w:rsid w:val="1E2E16CF"/>
    <w:rsid w:val="1E30C75F"/>
    <w:rsid w:val="1E399EDF"/>
    <w:rsid w:val="1E435632"/>
    <w:rsid w:val="1E468398"/>
    <w:rsid w:val="1E487396"/>
    <w:rsid w:val="1E58728D"/>
    <w:rsid w:val="1E636F34"/>
    <w:rsid w:val="1E6D2EA1"/>
    <w:rsid w:val="1E7863A6"/>
    <w:rsid w:val="1E7A6A52"/>
    <w:rsid w:val="1E869A57"/>
    <w:rsid w:val="1E88E067"/>
    <w:rsid w:val="1E912AB7"/>
    <w:rsid w:val="1E9565F0"/>
    <w:rsid w:val="1E98BBF9"/>
    <w:rsid w:val="1E9B998B"/>
    <w:rsid w:val="1EA011F7"/>
    <w:rsid w:val="1EA74487"/>
    <w:rsid w:val="1EAD81C7"/>
    <w:rsid w:val="1EB65E36"/>
    <w:rsid w:val="1EBD0AAE"/>
    <w:rsid w:val="1EC74CE6"/>
    <w:rsid w:val="1ED054F6"/>
    <w:rsid w:val="1ED4B21D"/>
    <w:rsid w:val="1EDC4ED9"/>
    <w:rsid w:val="1EF08F42"/>
    <w:rsid w:val="1EF28498"/>
    <w:rsid w:val="1EFDE354"/>
    <w:rsid w:val="1F099EFD"/>
    <w:rsid w:val="1F0F494D"/>
    <w:rsid w:val="1F0FD030"/>
    <w:rsid w:val="1F24EA9A"/>
    <w:rsid w:val="1F270533"/>
    <w:rsid w:val="1F2D5892"/>
    <w:rsid w:val="1F3EC235"/>
    <w:rsid w:val="1F429DE4"/>
    <w:rsid w:val="1F43018F"/>
    <w:rsid w:val="1F44FE0B"/>
    <w:rsid w:val="1F460E89"/>
    <w:rsid w:val="1F474897"/>
    <w:rsid w:val="1F5D9FA8"/>
    <w:rsid w:val="1F64EF93"/>
    <w:rsid w:val="1F670768"/>
    <w:rsid w:val="1F674C01"/>
    <w:rsid w:val="1F6B0192"/>
    <w:rsid w:val="1F700638"/>
    <w:rsid w:val="1F718C60"/>
    <w:rsid w:val="1F7D11ED"/>
    <w:rsid w:val="1F7FA70D"/>
    <w:rsid w:val="1F850394"/>
    <w:rsid w:val="1F861DF3"/>
    <w:rsid w:val="1F86D6F7"/>
    <w:rsid w:val="1F8C7D8D"/>
    <w:rsid w:val="1F9D427F"/>
    <w:rsid w:val="1FA6A65B"/>
    <w:rsid w:val="1FC3954C"/>
    <w:rsid w:val="1FCD92B9"/>
    <w:rsid w:val="1FD5AD33"/>
    <w:rsid w:val="1FD6E592"/>
    <w:rsid w:val="1FD76AF9"/>
    <w:rsid w:val="1FDED318"/>
    <w:rsid w:val="1FDEDA43"/>
    <w:rsid w:val="1FDF9CA9"/>
    <w:rsid w:val="1FF2ED3E"/>
    <w:rsid w:val="1FF30C77"/>
    <w:rsid w:val="1FFA1A2A"/>
    <w:rsid w:val="1FFA6C79"/>
    <w:rsid w:val="1FFE28B2"/>
    <w:rsid w:val="200B6D13"/>
    <w:rsid w:val="2013B913"/>
    <w:rsid w:val="201F039A"/>
    <w:rsid w:val="20241A42"/>
    <w:rsid w:val="20245710"/>
    <w:rsid w:val="20248A31"/>
    <w:rsid w:val="20261E2A"/>
    <w:rsid w:val="20274A35"/>
    <w:rsid w:val="202999CB"/>
    <w:rsid w:val="202C3848"/>
    <w:rsid w:val="202EA749"/>
    <w:rsid w:val="203DAA5E"/>
    <w:rsid w:val="2049F893"/>
    <w:rsid w:val="2057FA1A"/>
    <w:rsid w:val="205BC713"/>
    <w:rsid w:val="205F4AE1"/>
    <w:rsid w:val="205FB184"/>
    <w:rsid w:val="206E5C5A"/>
    <w:rsid w:val="206E7573"/>
    <w:rsid w:val="20728066"/>
    <w:rsid w:val="207BBD10"/>
    <w:rsid w:val="2083E6E2"/>
    <w:rsid w:val="2087588A"/>
    <w:rsid w:val="20896CBC"/>
    <w:rsid w:val="2089BDAC"/>
    <w:rsid w:val="20938B70"/>
    <w:rsid w:val="209648E4"/>
    <w:rsid w:val="209FCEE7"/>
    <w:rsid w:val="20A0C6F1"/>
    <w:rsid w:val="20ABC447"/>
    <w:rsid w:val="20BD9E85"/>
    <w:rsid w:val="20BEF154"/>
    <w:rsid w:val="20DF455F"/>
    <w:rsid w:val="20E0A7DF"/>
    <w:rsid w:val="20E43389"/>
    <w:rsid w:val="20E613DB"/>
    <w:rsid w:val="20E6DF2B"/>
    <w:rsid w:val="20EA4042"/>
    <w:rsid w:val="20ED5926"/>
    <w:rsid w:val="20EE42CE"/>
    <w:rsid w:val="20F17292"/>
    <w:rsid w:val="20F534B8"/>
    <w:rsid w:val="20F6A044"/>
    <w:rsid w:val="20F7901F"/>
    <w:rsid w:val="20F8B919"/>
    <w:rsid w:val="20FC1FF3"/>
    <w:rsid w:val="20FD865D"/>
    <w:rsid w:val="21031609"/>
    <w:rsid w:val="210F2481"/>
    <w:rsid w:val="21109316"/>
    <w:rsid w:val="21180F70"/>
    <w:rsid w:val="21199229"/>
    <w:rsid w:val="212E89D3"/>
    <w:rsid w:val="2138B53C"/>
    <w:rsid w:val="2139F006"/>
    <w:rsid w:val="213E33F3"/>
    <w:rsid w:val="214B0546"/>
    <w:rsid w:val="21524321"/>
    <w:rsid w:val="215372F0"/>
    <w:rsid w:val="21586206"/>
    <w:rsid w:val="215BF506"/>
    <w:rsid w:val="21619D8D"/>
    <w:rsid w:val="21673A84"/>
    <w:rsid w:val="217C2323"/>
    <w:rsid w:val="217FDC8F"/>
    <w:rsid w:val="2186E4BA"/>
    <w:rsid w:val="218983F8"/>
    <w:rsid w:val="2189EA19"/>
    <w:rsid w:val="219F10E3"/>
    <w:rsid w:val="219FDDCC"/>
    <w:rsid w:val="21C4813B"/>
    <w:rsid w:val="21CF0EC1"/>
    <w:rsid w:val="21E0DD0D"/>
    <w:rsid w:val="21E7241B"/>
    <w:rsid w:val="21FB4D60"/>
    <w:rsid w:val="21FE01BD"/>
    <w:rsid w:val="220C9817"/>
    <w:rsid w:val="222144EC"/>
    <w:rsid w:val="222C65F5"/>
    <w:rsid w:val="223550FD"/>
    <w:rsid w:val="2240F7D2"/>
    <w:rsid w:val="22416608"/>
    <w:rsid w:val="2245910E"/>
    <w:rsid w:val="225791B3"/>
    <w:rsid w:val="2258E187"/>
    <w:rsid w:val="225CA074"/>
    <w:rsid w:val="225E5C9E"/>
    <w:rsid w:val="226678E6"/>
    <w:rsid w:val="226A4583"/>
    <w:rsid w:val="2274E2DA"/>
    <w:rsid w:val="2276626F"/>
    <w:rsid w:val="2281ABB9"/>
    <w:rsid w:val="2285556D"/>
    <w:rsid w:val="228E9624"/>
    <w:rsid w:val="2294526F"/>
    <w:rsid w:val="229569D6"/>
    <w:rsid w:val="229C5BA1"/>
    <w:rsid w:val="22A13E1D"/>
    <w:rsid w:val="22A411B7"/>
    <w:rsid w:val="22A62BBC"/>
    <w:rsid w:val="22A6E89B"/>
    <w:rsid w:val="22A71D91"/>
    <w:rsid w:val="22AC60B3"/>
    <w:rsid w:val="22AFC44A"/>
    <w:rsid w:val="22B674BD"/>
    <w:rsid w:val="22BB93C8"/>
    <w:rsid w:val="22C1FFFA"/>
    <w:rsid w:val="22D15751"/>
    <w:rsid w:val="22D4A568"/>
    <w:rsid w:val="22DF9FE8"/>
    <w:rsid w:val="22E9F26F"/>
    <w:rsid w:val="22EC275E"/>
    <w:rsid w:val="22F323C3"/>
    <w:rsid w:val="22F7AF4F"/>
    <w:rsid w:val="2311A8B5"/>
    <w:rsid w:val="23124A6E"/>
    <w:rsid w:val="231511AC"/>
    <w:rsid w:val="23183B49"/>
    <w:rsid w:val="231C43BD"/>
    <w:rsid w:val="232ADE36"/>
    <w:rsid w:val="2334C75B"/>
    <w:rsid w:val="23402C66"/>
    <w:rsid w:val="2347ABEC"/>
    <w:rsid w:val="2348FB7A"/>
    <w:rsid w:val="2349EFCF"/>
    <w:rsid w:val="234B08DA"/>
    <w:rsid w:val="2351607C"/>
    <w:rsid w:val="2351D37A"/>
    <w:rsid w:val="235D3251"/>
    <w:rsid w:val="236BCBB1"/>
    <w:rsid w:val="236D0AD6"/>
    <w:rsid w:val="236F34FA"/>
    <w:rsid w:val="237A60A9"/>
    <w:rsid w:val="237AC130"/>
    <w:rsid w:val="23808884"/>
    <w:rsid w:val="23844B15"/>
    <w:rsid w:val="2384DB7B"/>
    <w:rsid w:val="2387A761"/>
    <w:rsid w:val="238893E9"/>
    <w:rsid w:val="238C311F"/>
    <w:rsid w:val="238D2A3E"/>
    <w:rsid w:val="239C37DA"/>
    <w:rsid w:val="23A405EA"/>
    <w:rsid w:val="23B1FEC2"/>
    <w:rsid w:val="23B70145"/>
    <w:rsid w:val="23B75A18"/>
    <w:rsid w:val="23C436B3"/>
    <w:rsid w:val="23CC61B3"/>
    <w:rsid w:val="23D4A972"/>
    <w:rsid w:val="23DDD2C5"/>
    <w:rsid w:val="23E01F36"/>
    <w:rsid w:val="23E22552"/>
    <w:rsid w:val="23E4FE74"/>
    <w:rsid w:val="23E995B4"/>
    <w:rsid w:val="23EA5671"/>
    <w:rsid w:val="23F2BABA"/>
    <w:rsid w:val="23F35668"/>
    <w:rsid w:val="23FB0AC0"/>
    <w:rsid w:val="24030861"/>
    <w:rsid w:val="240590D5"/>
    <w:rsid w:val="2406F797"/>
    <w:rsid w:val="240DF584"/>
    <w:rsid w:val="2410B48E"/>
    <w:rsid w:val="2410BB5F"/>
    <w:rsid w:val="24118BCA"/>
    <w:rsid w:val="2415796D"/>
    <w:rsid w:val="241906B8"/>
    <w:rsid w:val="241F1DC9"/>
    <w:rsid w:val="2422A980"/>
    <w:rsid w:val="2424B2DB"/>
    <w:rsid w:val="2431FB0A"/>
    <w:rsid w:val="2437FDB6"/>
    <w:rsid w:val="243FDA6A"/>
    <w:rsid w:val="244966CC"/>
    <w:rsid w:val="245C2276"/>
    <w:rsid w:val="2463BF7D"/>
    <w:rsid w:val="24640687"/>
    <w:rsid w:val="2464E0F7"/>
    <w:rsid w:val="2475FBB4"/>
    <w:rsid w:val="247EA726"/>
    <w:rsid w:val="248945C3"/>
    <w:rsid w:val="248B1A86"/>
    <w:rsid w:val="248C0FA4"/>
    <w:rsid w:val="2496B6B1"/>
    <w:rsid w:val="2499EF41"/>
    <w:rsid w:val="249B76BB"/>
    <w:rsid w:val="249BE9C3"/>
    <w:rsid w:val="249C4C60"/>
    <w:rsid w:val="24A138AA"/>
    <w:rsid w:val="24A3D319"/>
    <w:rsid w:val="24AA56B5"/>
    <w:rsid w:val="24BB7774"/>
    <w:rsid w:val="24BEB3ED"/>
    <w:rsid w:val="24C0F869"/>
    <w:rsid w:val="24CACD1C"/>
    <w:rsid w:val="24D3F50C"/>
    <w:rsid w:val="24DC6F1F"/>
    <w:rsid w:val="24DCD69A"/>
    <w:rsid w:val="24E569FB"/>
    <w:rsid w:val="24E71D8A"/>
    <w:rsid w:val="24EB91B8"/>
    <w:rsid w:val="24EB97DD"/>
    <w:rsid w:val="24F173B9"/>
    <w:rsid w:val="24FD5FB9"/>
    <w:rsid w:val="24FE2588"/>
    <w:rsid w:val="24FE953F"/>
    <w:rsid w:val="24FFCAAA"/>
    <w:rsid w:val="2504A894"/>
    <w:rsid w:val="2508CBEA"/>
    <w:rsid w:val="250A4599"/>
    <w:rsid w:val="250B6E2F"/>
    <w:rsid w:val="2510C5B6"/>
    <w:rsid w:val="251C7D52"/>
    <w:rsid w:val="252A64CA"/>
    <w:rsid w:val="2531D127"/>
    <w:rsid w:val="253664C7"/>
    <w:rsid w:val="25412655"/>
    <w:rsid w:val="25434DE0"/>
    <w:rsid w:val="254DE70C"/>
    <w:rsid w:val="2559A6DE"/>
    <w:rsid w:val="255EB42F"/>
    <w:rsid w:val="25706D41"/>
    <w:rsid w:val="2578BA97"/>
    <w:rsid w:val="25A304CA"/>
    <w:rsid w:val="25AE8D4C"/>
    <w:rsid w:val="25BDF6B2"/>
    <w:rsid w:val="25C00012"/>
    <w:rsid w:val="25C3FC1C"/>
    <w:rsid w:val="25CD440E"/>
    <w:rsid w:val="25CDA0A8"/>
    <w:rsid w:val="25D703C0"/>
    <w:rsid w:val="25DA4BE7"/>
    <w:rsid w:val="25DB9171"/>
    <w:rsid w:val="25E5528C"/>
    <w:rsid w:val="25E6DFAD"/>
    <w:rsid w:val="25F91CC9"/>
    <w:rsid w:val="25FDB92B"/>
    <w:rsid w:val="260266CA"/>
    <w:rsid w:val="26071390"/>
    <w:rsid w:val="260D9679"/>
    <w:rsid w:val="2620301C"/>
    <w:rsid w:val="2626BEAC"/>
    <w:rsid w:val="262714C6"/>
    <w:rsid w:val="2631B93B"/>
    <w:rsid w:val="26389C2C"/>
    <w:rsid w:val="26397249"/>
    <w:rsid w:val="263EF193"/>
    <w:rsid w:val="263F56BD"/>
    <w:rsid w:val="2647E56E"/>
    <w:rsid w:val="265A1837"/>
    <w:rsid w:val="265F5A48"/>
    <w:rsid w:val="266D5E1F"/>
    <w:rsid w:val="26716332"/>
    <w:rsid w:val="2672962A"/>
    <w:rsid w:val="267B9E32"/>
    <w:rsid w:val="2680D915"/>
    <w:rsid w:val="2684CAF3"/>
    <w:rsid w:val="2686E555"/>
    <w:rsid w:val="26871C89"/>
    <w:rsid w:val="269983ED"/>
    <w:rsid w:val="269A04B0"/>
    <w:rsid w:val="269ED48A"/>
    <w:rsid w:val="26A7BD20"/>
    <w:rsid w:val="26AD3C5E"/>
    <w:rsid w:val="26AFD451"/>
    <w:rsid w:val="26B4A36B"/>
    <w:rsid w:val="26BC5F1A"/>
    <w:rsid w:val="26DA20A4"/>
    <w:rsid w:val="26E87DFC"/>
    <w:rsid w:val="26F10CB0"/>
    <w:rsid w:val="26F686B4"/>
    <w:rsid w:val="26F72E06"/>
    <w:rsid w:val="26F8DC2D"/>
    <w:rsid w:val="270F0578"/>
    <w:rsid w:val="2710933C"/>
    <w:rsid w:val="2710CDBC"/>
    <w:rsid w:val="271A9F31"/>
    <w:rsid w:val="272D4490"/>
    <w:rsid w:val="273397BD"/>
    <w:rsid w:val="273BB89B"/>
    <w:rsid w:val="273E80B6"/>
    <w:rsid w:val="27448140"/>
    <w:rsid w:val="2752E8F3"/>
    <w:rsid w:val="2755C284"/>
    <w:rsid w:val="275C3AB6"/>
    <w:rsid w:val="27647A46"/>
    <w:rsid w:val="276868C7"/>
    <w:rsid w:val="276AD029"/>
    <w:rsid w:val="276E5AF4"/>
    <w:rsid w:val="277AA607"/>
    <w:rsid w:val="277DC040"/>
    <w:rsid w:val="277E5CDD"/>
    <w:rsid w:val="2795DE03"/>
    <w:rsid w:val="2796494F"/>
    <w:rsid w:val="279CE114"/>
    <w:rsid w:val="27A58FC5"/>
    <w:rsid w:val="27A65459"/>
    <w:rsid w:val="27A8142D"/>
    <w:rsid w:val="27ADEFCB"/>
    <w:rsid w:val="27B835F7"/>
    <w:rsid w:val="27C1FB54"/>
    <w:rsid w:val="27DF786D"/>
    <w:rsid w:val="27E667C7"/>
    <w:rsid w:val="27EB1441"/>
    <w:rsid w:val="27EFC3BE"/>
    <w:rsid w:val="27F6D15C"/>
    <w:rsid w:val="28025C73"/>
    <w:rsid w:val="280B86F2"/>
    <w:rsid w:val="280FAFAB"/>
    <w:rsid w:val="2812EF99"/>
    <w:rsid w:val="2818DBD2"/>
    <w:rsid w:val="2819DB7F"/>
    <w:rsid w:val="281D0ABD"/>
    <w:rsid w:val="281F2EFB"/>
    <w:rsid w:val="28253B14"/>
    <w:rsid w:val="28254A6F"/>
    <w:rsid w:val="28363BDA"/>
    <w:rsid w:val="283697C8"/>
    <w:rsid w:val="28392883"/>
    <w:rsid w:val="283B517C"/>
    <w:rsid w:val="283DBC7D"/>
    <w:rsid w:val="284470BA"/>
    <w:rsid w:val="284984F3"/>
    <w:rsid w:val="2849956C"/>
    <w:rsid w:val="28541809"/>
    <w:rsid w:val="285EE747"/>
    <w:rsid w:val="28661B41"/>
    <w:rsid w:val="2867BB68"/>
    <w:rsid w:val="286947FB"/>
    <w:rsid w:val="2869CC54"/>
    <w:rsid w:val="286FD7D1"/>
    <w:rsid w:val="28724A5F"/>
    <w:rsid w:val="2872EC27"/>
    <w:rsid w:val="287432B5"/>
    <w:rsid w:val="28752D69"/>
    <w:rsid w:val="2882FA9D"/>
    <w:rsid w:val="2884C45A"/>
    <w:rsid w:val="2886943D"/>
    <w:rsid w:val="2889E346"/>
    <w:rsid w:val="289228BA"/>
    <w:rsid w:val="289EA54E"/>
    <w:rsid w:val="289F804E"/>
    <w:rsid w:val="28A39F43"/>
    <w:rsid w:val="28A643AB"/>
    <w:rsid w:val="28AAB767"/>
    <w:rsid w:val="28AB6714"/>
    <w:rsid w:val="28AE5945"/>
    <w:rsid w:val="28B1A2C6"/>
    <w:rsid w:val="28B8FD06"/>
    <w:rsid w:val="28B9790F"/>
    <w:rsid w:val="28BFEE27"/>
    <w:rsid w:val="28CAAA72"/>
    <w:rsid w:val="28D65F2E"/>
    <w:rsid w:val="28DE5A61"/>
    <w:rsid w:val="28E2C966"/>
    <w:rsid w:val="28E4D94D"/>
    <w:rsid w:val="28F34F24"/>
    <w:rsid w:val="291372EB"/>
    <w:rsid w:val="2913D0CA"/>
    <w:rsid w:val="291D0A2C"/>
    <w:rsid w:val="29275F37"/>
    <w:rsid w:val="29287F1C"/>
    <w:rsid w:val="292C4ACD"/>
    <w:rsid w:val="2945634C"/>
    <w:rsid w:val="2948A0A5"/>
    <w:rsid w:val="294D524E"/>
    <w:rsid w:val="2950D40F"/>
    <w:rsid w:val="29591917"/>
    <w:rsid w:val="295D2E6B"/>
    <w:rsid w:val="2961CDCF"/>
    <w:rsid w:val="2965657B"/>
    <w:rsid w:val="2972DBA0"/>
    <w:rsid w:val="29789390"/>
    <w:rsid w:val="297B793B"/>
    <w:rsid w:val="297C31E4"/>
    <w:rsid w:val="29959CFC"/>
    <w:rsid w:val="29966772"/>
    <w:rsid w:val="299FE22E"/>
    <w:rsid w:val="29A32A05"/>
    <w:rsid w:val="29A3AA9F"/>
    <w:rsid w:val="29A485FC"/>
    <w:rsid w:val="29A68CE4"/>
    <w:rsid w:val="29ADDE77"/>
    <w:rsid w:val="29BA5EFA"/>
    <w:rsid w:val="29BD59CD"/>
    <w:rsid w:val="29C78703"/>
    <w:rsid w:val="29D1D186"/>
    <w:rsid w:val="29D75DC8"/>
    <w:rsid w:val="29DD1734"/>
    <w:rsid w:val="29F55E40"/>
    <w:rsid w:val="29F67A41"/>
    <w:rsid w:val="2A02E664"/>
    <w:rsid w:val="2A03AB45"/>
    <w:rsid w:val="2A08FEB2"/>
    <w:rsid w:val="2A17F74E"/>
    <w:rsid w:val="2A20053F"/>
    <w:rsid w:val="2A207D73"/>
    <w:rsid w:val="2A328FD7"/>
    <w:rsid w:val="2A3AC9F6"/>
    <w:rsid w:val="2A3C7FB4"/>
    <w:rsid w:val="2A4068B6"/>
    <w:rsid w:val="2A4127F3"/>
    <w:rsid w:val="2A4CE735"/>
    <w:rsid w:val="2A4D69F8"/>
    <w:rsid w:val="2A541EFD"/>
    <w:rsid w:val="2A54E711"/>
    <w:rsid w:val="2A55F678"/>
    <w:rsid w:val="2A624A4D"/>
    <w:rsid w:val="2A676D3C"/>
    <w:rsid w:val="2A6C2A5E"/>
    <w:rsid w:val="2A7C948B"/>
    <w:rsid w:val="2A7D691E"/>
    <w:rsid w:val="2A805A8F"/>
    <w:rsid w:val="2A9D1601"/>
    <w:rsid w:val="2AA280F2"/>
    <w:rsid w:val="2AAC6D29"/>
    <w:rsid w:val="2AB5503B"/>
    <w:rsid w:val="2AC6227A"/>
    <w:rsid w:val="2ACE2406"/>
    <w:rsid w:val="2AE0E3DF"/>
    <w:rsid w:val="2AF095E5"/>
    <w:rsid w:val="2AFAA209"/>
    <w:rsid w:val="2B06C879"/>
    <w:rsid w:val="2B08177C"/>
    <w:rsid w:val="2B103043"/>
    <w:rsid w:val="2B152BDC"/>
    <w:rsid w:val="2B1B6CE4"/>
    <w:rsid w:val="2B1BFE87"/>
    <w:rsid w:val="2B1FBB64"/>
    <w:rsid w:val="2B217FF7"/>
    <w:rsid w:val="2B2B2339"/>
    <w:rsid w:val="2B2C750F"/>
    <w:rsid w:val="2B4BB5F1"/>
    <w:rsid w:val="2B4F40E8"/>
    <w:rsid w:val="2B55488A"/>
    <w:rsid w:val="2B639E77"/>
    <w:rsid w:val="2B66F794"/>
    <w:rsid w:val="2B704233"/>
    <w:rsid w:val="2B98E2E2"/>
    <w:rsid w:val="2B9C20FB"/>
    <w:rsid w:val="2BAD8666"/>
    <w:rsid w:val="2BAE309C"/>
    <w:rsid w:val="2BB80561"/>
    <w:rsid w:val="2BBB1D5F"/>
    <w:rsid w:val="2BBB9504"/>
    <w:rsid w:val="2BBCE0D6"/>
    <w:rsid w:val="2BC29B73"/>
    <w:rsid w:val="2BCDEC2B"/>
    <w:rsid w:val="2BD91736"/>
    <w:rsid w:val="2BDE295B"/>
    <w:rsid w:val="2BDF9E58"/>
    <w:rsid w:val="2BE035D0"/>
    <w:rsid w:val="2BE84EF1"/>
    <w:rsid w:val="2BF5B42F"/>
    <w:rsid w:val="2BF807F8"/>
    <w:rsid w:val="2C030844"/>
    <w:rsid w:val="2C1864EC"/>
    <w:rsid w:val="2C18B2B0"/>
    <w:rsid w:val="2C25311C"/>
    <w:rsid w:val="2C2A61DF"/>
    <w:rsid w:val="2C315FA4"/>
    <w:rsid w:val="2C32BDC1"/>
    <w:rsid w:val="2C3B7A4C"/>
    <w:rsid w:val="2C3F5375"/>
    <w:rsid w:val="2C40EB56"/>
    <w:rsid w:val="2C4B2337"/>
    <w:rsid w:val="2C4D4BC9"/>
    <w:rsid w:val="2C4E5B0E"/>
    <w:rsid w:val="2C5C7A12"/>
    <w:rsid w:val="2C5F3CA0"/>
    <w:rsid w:val="2C616A0C"/>
    <w:rsid w:val="2C6553F7"/>
    <w:rsid w:val="2C682F07"/>
    <w:rsid w:val="2C6ACCD5"/>
    <w:rsid w:val="2C764267"/>
    <w:rsid w:val="2C76CCDF"/>
    <w:rsid w:val="2C7CCAA3"/>
    <w:rsid w:val="2C87A210"/>
    <w:rsid w:val="2C888645"/>
    <w:rsid w:val="2C892798"/>
    <w:rsid w:val="2C8ACD58"/>
    <w:rsid w:val="2C8CFF52"/>
    <w:rsid w:val="2C981B48"/>
    <w:rsid w:val="2C9891B3"/>
    <w:rsid w:val="2C994E76"/>
    <w:rsid w:val="2CA57DDE"/>
    <w:rsid w:val="2CA604B5"/>
    <w:rsid w:val="2CA94B7A"/>
    <w:rsid w:val="2CB405E2"/>
    <w:rsid w:val="2CB87FB2"/>
    <w:rsid w:val="2CB91D3A"/>
    <w:rsid w:val="2CB99802"/>
    <w:rsid w:val="2CCE47B8"/>
    <w:rsid w:val="2CCEE1AC"/>
    <w:rsid w:val="2CDC9294"/>
    <w:rsid w:val="2CE46A48"/>
    <w:rsid w:val="2CF033F8"/>
    <w:rsid w:val="2CF53DA1"/>
    <w:rsid w:val="2CFBB90A"/>
    <w:rsid w:val="2D01F7CA"/>
    <w:rsid w:val="2D1205B2"/>
    <w:rsid w:val="2D141F02"/>
    <w:rsid w:val="2D15FF9C"/>
    <w:rsid w:val="2D1B658A"/>
    <w:rsid w:val="2D1F15D5"/>
    <w:rsid w:val="2D25F410"/>
    <w:rsid w:val="2D2E3DE0"/>
    <w:rsid w:val="2D340206"/>
    <w:rsid w:val="2D35C9B4"/>
    <w:rsid w:val="2D3A9716"/>
    <w:rsid w:val="2D475CF7"/>
    <w:rsid w:val="2D50C880"/>
    <w:rsid w:val="2D5D16E6"/>
    <w:rsid w:val="2D5D3DFA"/>
    <w:rsid w:val="2D5D7ABB"/>
    <w:rsid w:val="2D5E985E"/>
    <w:rsid w:val="2D62437A"/>
    <w:rsid w:val="2D6C823B"/>
    <w:rsid w:val="2D6CF719"/>
    <w:rsid w:val="2D74B50C"/>
    <w:rsid w:val="2D77D248"/>
    <w:rsid w:val="2D7FCCD9"/>
    <w:rsid w:val="2D832F65"/>
    <w:rsid w:val="2D90495E"/>
    <w:rsid w:val="2DA5A3BF"/>
    <w:rsid w:val="2DB51837"/>
    <w:rsid w:val="2DB5AE7F"/>
    <w:rsid w:val="2DBA9785"/>
    <w:rsid w:val="2DBEEA69"/>
    <w:rsid w:val="2DCBB6E8"/>
    <w:rsid w:val="2DD02689"/>
    <w:rsid w:val="2DDF0612"/>
    <w:rsid w:val="2DE0D2EC"/>
    <w:rsid w:val="2DEF6B23"/>
    <w:rsid w:val="2DF07E2B"/>
    <w:rsid w:val="2DF0C9F6"/>
    <w:rsid w:val="2DFB9EB0"/>
    <w:rsid w:val="2DFD1D6B"/>
    <w:rsid w:val="2DFD6730"/>
    <w:rsid w:val="2E056E70"/>
    <w:rsid w:val="2E0A10C5"/>
    <w:rsid w:val="2E20A298"/>
    <w:rsid w:val="2E4846D9"/>
    <w:rsid w:val="2E4C5DD6"/>
    <w:rsid w:val="2E4D5D57"/>
    <w:rsid w:val="2E56410E"/>
    <w:rsid w:val="2E58DA8D"/>
    <w:rsid w:val="2E64C549"/>
    <w:rsid w:val="2E65174D"/>
    <w:rsid w:val="2E6DF225"/>
    <w:rsid w:val="2E6EC6A4"/>
    <w:rsid w:val="2E7546D2"/>
    <w:rsid w:val="2E76AF1F"/>
    <w:rsid w:val="2E7AEED3"/>
    <w:rsid w:val="2E7CE76B"/>
    <w:rsid w:val="2E800C39"/>
    <w:rsid w:val="2E84F256"/>
    <w:rsid w:val="2E91767B"/>
    <w:rsid w:val="2E983528"/>
    <w:rsid w:val="2E9D73D9"/>
    <w:rsid w:val="2EA04406"/>
    <w:rsid w:val="2EA1BF9D"/>
    <w:rsid w:val="2EA7C72B"/>
    <w:rsid w:val="2EAB3901"/>
    <w:rsid w:val="2EACEEE1"/>
    <w:rsid w:val="2EB08857"/>
    <w:rsid w:val="2EB17817"/>
    <w:rsid w:val="2EC04C50"/>
    <w:rsid w:val="2ECA0709"/>
    <w:rsid w:val="2ECFEC35"/>
    <w:rsid w:val="2ED58172"/>
    <w:rsid w:val="2EDA473A"/>
    <w:rsid w:val="2EDD0D3E"/>
    <w:rsid w:val="2EDE99B8"/>
    <w:rsid w:val="2EE32024"/>
    <w:rsid w:val="2EE49456"/>
    <w:rsid w:val="2EE866F0"/>
    <w:rsid w:val="2EE932E8"/>
    <w:rsid w:val="2EFCB24E"/>
    <w:rsid w:val="2EFD14DA"/>
    <w:rsid w:val="2F07EFAA"/>
    <w:rsid w:val="2F0BC4F9"/>
    <w:rsid w:val="2F0C0921"/>
    <w:rsid w:val="2F16948A"/>
    <w:rsid w:val="2F173CA7"/>
    <w:rsid w:val="2F1C7B6C"/>
    <w:rsid w:val="2F1E3524"/>
    <w:rsid w:val="2F239E23"/>
    <w:rsid w:val="2F33C117"/>
    <w:rsid w:val="2F3694B1"/>
    <w:rsid w:val="2F39C4AE"/>
    <w:rsid w:val="2F3FC838"/>
    <w:rsid w:val="2F458EED"/>
    <w:rsid w:val="2F4A5545"/>
    <w:rsid w:val="2F5752B1"/>
    <w:rsid w:val="2F598B9B"/>
    <w:rsid w:val="2F5D53CA"/>
    <w:rsid w:val="2F61E295"/>
    <w:rsid w:val="2F6BE404"/>
    <w:rsid w:val="2F703AC0"/>
    <w:rsid w:val="2F71BE22"/>
    <w:rsid w:val="2F72DE0F"/>
    <w:rsid w:val="2F7E0171"/>
    <w:rsid w:val="2F8BA3D1"/>
    <w:rsid w:val="2F90D31A"/>
    <w:rsid w:val="2F92D0C1"/>
    <w:rsid w:val="2F92D81B"/>
    <w:rsid w:val="2F996C17"/>
    <w:rsid w:val="2F9BB645"/>
    <w:rsid w:val="2F9C6C63"/>
    <w:rsid w:val="2FA43283"/>
    <w:rsid w:val="2FAAD3E5"/>
    <w:rsid w:val="2FAE0259"/>
    <w:rsid w:val="2FAEC002"/>
    <w:rsid w:val="2FBD88F2"/>
    <w:rsid w:val="2FBE47DD"/>
    <w:rsid w:val="2FC00538"/>
    <w:rsid w:val="2FC24481"/>
    <w:rsid w:val="2FC54625"/>
    <w:rsid w:val="2FC606BB"/>
    <w:rsid w:val="2FC8411A"/>
    <w:rsid w:val="2FCA9BBF"/>
    <w:rsid w:val="2FCAF599"/>
    <w:rsid w:val="2FCB2C09"/>
    <w:rsid w:val="2FCB2FDE"/>
    <w:rsid w:val="2FCB827B"/>
    <w:rsid w:val="2FDD2CE3"/>
    <w:rsid w:val="2FDE2696"/>
    <w:rsid w:val="2FEB35BB"/>
    <w:rsid w:val="2FEC4B7F"/>
    <w:rsid w:val="300F640F"/>
    <w:rsid w:val="300FE23B"/>
    <w:rsid w:val="301542D0"/>
    <w:rsid w:val="301765C9"/>
    <w:rsid w:val="3019141E"/>
    <w:rsid w:val="30192BDE"/>
    <w:rsid w:val="3019333B"/>
    <w:rsid w:val="301FDBFA"/>
    <w:rsid w:val="302872D7"/>
    <w:rsid w:val="3035ABC4"/>
    <w:rsid w:val="30401B69"/>
    <w:rsid w:val="30446D7F"/>
    <w:rsid w:val="304C1482"/>
    <w:rsid w:val="3051447F"/>
    <w:rsid w:val="30550D34"/>
    <w:rsid w:val="305BF4E1"/>
    <w:rsid w:val="305C69AA"/>
    <w:rsid w:val="306F0261"/>
    <w:rsid w:val="306F07E4"/>
    <w:rsid w:val="30732C06"/>
    <w:rsid w:val="3078BB98"/>
    <w:rsid w:val="3079832A"/>
    <w:rsid w:val="3087A3CD"/>
    <w:rsid w:val="308CC1EA"/>
    <w:rsid w:val="30A36027"/>
    <w:rsid w:val="30B495D7"/>
    <w:rsid w:val="30BF3CA4"/>
    <w:rsid w:val="30C43612"/>
    <w:rsid w:val="30C56557"/>
    <w:rsid w:val="30D32D2A"/>
    <w:rsid w:val="30D77976"/>
    <w:rsid w:val="30D9BB63"/>
    <w:rsid w:val="30E3A778"/>
    <w:rsid w:val="30E509DC"/>
    <w:rsid w:val="30E555DB"/>
    <w:rsid w:val="30E5B1D7"/>
    <w:rsid w:val="30E87A89"/>
    <w:rsid w:val="30EC8B9E"/>
    <w:rsid w:val="30ECEED4"/>
    <w:rsid w:val="30F49E46"/>
    <w:rsid w:val="30F5E4D0"/>
    <w:rsid w:val="30FE395D"/>
    <w:rsid w:val="31051316"/>
    <w:rsid w:val="310B444A"/>
    <w:rsid w:val="310D77D0"/>
    <w:rsid w:val="310D8E83"/>
    <w:rsid w:val="310F55A1"/>
    <w:rsid w:val="31136714"/>
    <w:rsid w:val="31158134"/>
    <w:rsid w:val="312580A2"/>
    <w:rsid w:val="3126D747"/>
    <w:rsid w:val="3129CAA2"/>
    <w:rsid w:val="3129D5D7"/>
    <w:rsid w:val="312BA245"/>
    <w:rsid w:val="312F1564"/>
    <w:rsid w:val="313C6876"/>
    <w:rsid w:val="313C9155"/>
    <w:rsid w:val="313D5363"/>
    <w:rsid w:val="313E00D2"/>
    <w:rsid w:val="31421BED"/>
    <w:rsid w:val="31531732"/>
    <w:rsid w:val="3154361E"/>
    <w:rsid w:val="3156A21E"/>
    <w:rsid w:val="315E3A05"/>
    <w:rsid w:val="31688211"/>
    <w:rsid w:val="3169E92C"/>
    <w:rsid w:val="31701B49"/>
    <w:rsid w:val="317430DB"/>
    <w:rsid w:val="3176DDA5"/>
    <w:rsid w:val="3194DEBA"/>
    <w:rsid w:val="319967FA"/>
    <w:rsid w:val="319B2347"/>
    <w:rsid w:val="31AF1EE4"/>
    <w:rsid w:val="31B59AB4"/>
    <w:rsid w:val="31BD6C1C"/>
    <w:rsid w:val="31BF52AC"/>
    <w:rsid w:val="31C8B483"/>
    <w:rsid w:val="31CC79DF"/>
    <w:rsid w:val="31CD4C91"/>
    <w:rsid w:val="31D1981A"/>
    <w:rsid w:val="31E2AA05"/>
    <w:rsid w:val="31E4B98E"/>
    <w:rsid w:val="31E960D1"/>
    <w:rsid w:val="31EEB35E"/>
    <w:rsid w:val="31EF0496"/>
    <w:rsid w:val="31F4A891"/>
    <w:rsid w:val="3206B7F4"/>
    <w:rsid w:val="321309CF"/>
    <w:rsid w:val="32188821"/>
    <w:rsid w:val="3223E24E"/>
    <w:rsid w:val="322A1365"/>
    <w:rsid w:val="322A578C"/>
    <w:rsid w:val="3239A962"/>
    <w:rsid w:val="3245A589"/>
    <w:rsid w:val="324D6353"/>
    <w:rsid w:val="324E4CB1"/>
    <w:rsid w:val="324F7377"/>
    <w:rsid w:val="3257430E"/>
    <w:rsid w:val="3268483B"/>
    <w:rsid w:val="326FAE7F"/>
    <w:rsid w:val="327F5DDA"/>
    <w:rsid w:val="3289F7C6"/>
    <w:rsid w:val="328DE642"/>
    <w:rsid w:val="3293D887"/>
    <w:rsid w:val="3297804A"/>
    <w:rsid w:val="329BE142"/>
    <w:rsid w:val="329FD427"/>
    <w:rsid w:val="32A05A13"/>
    <w:rsid w:val="32A1CA0A"/>
    <w:rsid w:val="32A366BD"/>
    <w:rsid w:val="32A401B7"/>
    <w:rsid w:val="32A95EE4"/>
    <w:rsid w:val="32AFFF2E"/>
    <w:rsid w:val="32B513C3"/>
    <w:rsid w:val="32BE0F5A"/>
    <w:rsid w:val="32C0A274"/>
    <w:rsid w:val="32C15785"/>
    <w:rsid w:val="32CBEE19"/>
    <w:rsid w:val="32D687ED"/>
    <w:rsid w:val="32DAE2C6"/>
    <w:rsid w:val="32DB6F6B"/>
    <w:rsid w:val="32E581E9"/>
    <w:rsid w:val="32F34848"/>
    <w:rsid w:val="32F81C06"/>
    <w:rsid w:val="3301A0C0"/>
    <w:rsid w:val="3304E8C5"/>
    <w:rsid w:val="330D7B4D"/>
    <w:rsid w:val="3318852B"/>
    <w:rsid w:val="331947FD"/>
    <w:rsid w:val="331C7649"/>
    <w:rsid w:val="333251E1"/>
    <w:rsid w:val="3332CE16"/>
    <w:rsid w:val="3337099C"/>
    <w:rsid w:val="33481A62"/>
    <w:rsid w:val="334DD36E"/>
    <w:rsid w:val="334E0C46"/>
    <w:rsid w:val="334F1599"/>
    <w:rsid w:val="3352BD22"/>
    <w:rsid w:val="33560A56"/>
    <w:rsid w:val="33583368"/>
    <w:rsid w:val="336F7EB0"/>
    <w:rsid w:val="33778B2C"/>
    <w:rsid w:val="33783A4F"/>
    <w:rsid w:val="337BAEF5"/>
    <w:rsid w:val="337D8F27"/>
    <w:rsid w:val="3391FC7D"/>
    <w:rsid w:val="339C4245"/>
    <w:rsid w:val="33AFB7FB"/>
    <w:rsid w:val="33C14467"/>
    <w:rsid w:val="33C5E3C6"/>
    <w:rsid w:val="33C9098A"/>
    <w:rsid w:val="33C9C7D3"/>
    <w:rsid w:val="33CB09B0"/>
    <w:rsid w:val="33D13501"/>
    <w:rsid w:val="33D54DB6"/>
    <w:rsid w:val="33EB7DF4"/>
    <w:rsid w:val="33EDD1BF"/>
    <w:rsid w:val="33F586BC"/>
    <w:rsid w:val="33F88564"/>
    <w:rsid w:val="33F9F779"/>
    <w:rsid w:val="33FF3F0C"/>
    <w:rsid w:val="340027B9"/>
    <w:rsid w:val="34021CE0"/>
    <w:rsid w:val="3406DF45"/>
    <w:rsid w:val="340F5A9A"/>
    <w:rsid w:val="341F2FC9"/>
    <w:rsid w:val="34267B61"/>
    <w:rsid w:val="342B1100"/>
    <w:rsid w:val="342FA06A"/>
    <w:rsid w:val="34377B5E"/>
    <w:rsid w:val="3437E519"/>
    <w:rsid w:val="343945DF"/>
    <w:rsid w:val="343D185A"/>
    <w:rsid w:val="343DB875"/>
    <w:rsid w:val="3444D2D8"/>
    <w:rsid w:val="34452F45"/>
    <w:rsid w:val="345466EA"/>
    <w:rsid w:val="345B38AE"/>
    <w:rsid w:val="34750769"/>
    <w:rsid w:val="347A7711"/>
    <w:rsid w:val="3491D9CF"/>
    <w:rsid w:val="349B0E5B"/>
    <w:rsid w:val="349BA482"/>
    <w:rsid w:val="349D52ED"/>
    <w:rsid w:val="34C26A40"/>
    <w:rsid w:val="34C3FA82"/>
    <w:rsid w:val="34C6DE9D"/>
    <w:rsid w:val="34D11022"/>
    <w:rsid w:val="34D4B196"/>
    <w:rsid w:val="34D5CB28"/>
    <w:rsid w:val="34D754DC"/>
    <w:rsid w:val="34D97DA3"/>
    <w:rsid w:val="34E122DA"/>
    <w:rsid w:val="34F727FC"/>
    <w:rsid w:val="350C1A78"/>
    <w:rsid w:val="351640ED"/>
    <w:rsid w:val="351A2F19"/>
    <w:rsid w:val="35265318"/>
    <w:rsid w:val="352A6826"/>
    <w:rsid w:val="352DB970"/>
    <w:rsid w:val="352E03A2"/>
    <w:rsid w:val="3533CC38"/>
    <w:rsid w:val="3536A3BF"/>
    <w:rsid w:val="353B7CA1"/>
    <w:rsid w:val="3542759A"/>
    <w:rsid w:val="354A77C8"/>
    <w:rsid w:val="354DBC94"/>
    <w:rsid w:val="354F7E3D"/>
    <w:rsid w:val="3554687A"/>
    <w:rsid w:val="3554A2E1"/>
    <w:rsid w:val="35610B59"/>
    <w:rsid w:val="35688102"/>
    <w:rsid w:val="3568BE2D"/>
    <w:rsid w:val="3568ED33"/>
    <w:rsid w:val="357401C9"/>
    <w:rsid w:val="357E3562"/>
    <w:rsid w:val="357F9812"/>
    <w:rsid w:val="3586DA67"/>
    <w:rsid w:val="3587D8B7"/>
    <w:rsid w:val="35918D65"/>
    <w:rsid w:val="35A730CF"/>
    <w:rsid w:val="35AA55B7"/>
    <w:rsid w:val="35AF42DA"/>
    <w:rsid w:val="35BB21B0"/>
    <w:rsid w:val="35C0AD23"/>
    <w:rsid w:val="35C21DDD"/>
    <w:rsid w:val="35C5E40A"/>
    <w:rsid w:val="35CDB641"/>
    <w:rsid w:val="35D98B33"/>
    <w:rsid w:val="35DA9904"/>
    <w:rsid w:val="35DF2C19"/>
    <w:rsid w:val="35E40495"/>
    <w:rsid w:val="35E51EE7"/>
    <w:rsid w:val="35EBF1B6"/>
    <w:rsid w:val="35EC4770"/>
    <w:rsid w:val="3609E33D"/>
    <w:rsid w:val="360F8FD7"/>
    <w:rsid w:val="361CF6F4"/>
    <w:rsid w:val="361F9716"/>
    <w:rsid w:val="36201817"/>
    <w:rsid w:val="362348AB"/>
    <w:rsid w:val="362AFCE9"/>
    <w:rsid w:val="362D12B8"/>
    <w:rsid w:val="3633A7DC"/>
    <w:rsid w:val="36412092"/>
    <w:rsid w:val="36412536"/>
    <w:rsid w:val="3642A0AB"/>
    <w:rsid w:val="364D4D26"/>
    <w:rsid w:val="366AD83B"/>
    <w:rsid w:val="366C4593"/>
    <w:rsid w:val="3670BE03"/>
    <w:rsid w:val="3685D540"/>
    <w:rsid w:val="36894DF8"/>
    <w:rsid w:val="368BB596"/>
    <w:rsid w:val="36907F8F"/>
    <w:rsid w:val="36930649"/>
    <w:rsid w:val="369B73AC"/>
    <w:rsid w:val="36A6BA42"/>
    <w:rsid w:val="36ABAC73"/>
    <w:rsid w:val="36B06B45"/>
    <w:rsid w:val="36B2D2E0"/>
    <w:rsid w:val="36BD291D"/>
    <w:rsid w:val="36BFE429"/>
    <w:rsid w:val="36C35D94"/>
    <w:rsid w:val="36DCEA21"/>
    <w:rsid w:val="36E2F08A"/>
    <w:rsid w:val="36F61A01"/>
    <w:rsid w:val="36FD4263"/>
    <w:rsid w:val="36FF9B1A"/>
    <w:rsid w:val="3702A0DA"/>
    <w:rsid w:val="37047764"/>
    <w:rsid w:val="3704C40F"/>
    <w:rsid w:val="37066E70"/>
    <w:rsid w:val="370B6FDE"/>
    <w:rsid w:val="3713A4E4"/>
    <w:rsid w:val="37279308"/>
    <w:rsid w:val="37292FA5"/>
    <w:rsid w:val="3738FB2E"/>
    <w:rsid w:val="373FE086"/>
    <w:rsid w:val="37407A31"/>
    <w:rsid w:val="3748667B"/>
    <w:rsid w:val="3756A0A4"/>
    <w:rsid w:val="37581B7A"/>
    <w:rsid w:val="375AC15E"/>
    <w:rsid w:val="375B70ED"/>
    <w:rsid w:val="375C7995"/>
    <w:rsid w:val="376BA91C"/>
    <w:rsid w:val="376D1E1E"/>
    <w:rsid w:val="376D57F9"/>
    <w:rsid w:val="3775AC45"/>
    <w:rsid w:val="37786078"/>
    <w:rsid w:val="377C3D9F"/>
    <w:rsid w:val="377F132D"/>
    <w:rsid w:val="3785B5A0"/>
    <w:rsid w:val="37887D24"/>
    <w:rsid w:val="37980EE1"/>
    <w:rsid w:val="379E2E60"/>
    <w:rsid w:val="37A42467"/>
    <w:rsid w:val="37A483E3"/>
    <w:rsid w:val="37C3B84C"/>
    <w:rsid w:val="37CC23AD"/>
    <w:rsid w:val="37CC8F9A"/>
    <w:rsid w:val="37CE3647"/>
    <w:rsid w:val="37ECEC4D"/>
    <w:rsid w:val="37EECA8E"/>
    <w:rsid w:val="37EECDF0"/>
    <w:rsid w:val="37EFA344"/>
    <w:rsid w:val="37F92402"/>
    <w:rsid w:val="37FD6E9E"/>
    <w:rsid w:val="38006425"/>
    <w:rsid w:val="380114C3"/>
    <w:rsid w:val="380763D6"/>
    <w:rsid w:val="38081D75"/>
    <w:rsid w:val="38082705"/>
    <w:rsid w:val="380905C6"/>
    <w:rsid w:val="38101CEF"/>
    <w:rsid w:val="3811457D"/>
    <w:rsid w:val="38136E6A"/>
    <w:rsid w:val="382BC2FC"/>
    <w:rsid w:val="382E2B3B"/>
    <w:rsid w:val="383754CA"/>
    <w:rsid w:val="3838060D"/>
    <w:rsid w:val="383E5CE4"/>
    <w:rsid w:val="383EE349"/>
    <w:rsid w:val="383F4833"/>
    <w:rsid w:val="38458FBC"/>
    <w:rsid w:val="38468641"/>
    <w:rsid w:val="384EAB83"/>
    <w:rsid w:val="3856E8E3"/>
    <w:rsid w:val="38573D51"/>
    <w:rsid w:val="385F7978"/>
    <w:rsid w:val="3867C423"/>
    <w:rsid w:val="38687D6A"/>
    <w:rsid w:val="386AF4A1"/>
    <w:rsid w:val="38733621"/>
    <w:rsid w:val="3875AD39"/>
    <w:rsid w:val="387B400F"/>
    <w:rsid w:val="3880873A"/>
    <w:rsid w:val="38862E1E"/>
    <w:rsid w:val="388886D3"/>
    <w:rsid w:val="388A0D9E"/>
    <w:rsid w:val="388D77C4"/>
    <w:rsid w:val="389EEDBE"/>
    <w:rsid w:val="38A4F621"/>
    <w:rsid w:val="38AE032D"/>
    <w:rsid w:val="38B6A6D1"/>
    <w:rsid w:val="38BAA4E7"/>
    <w:rsid w:val="38BB9ECD"/>
    <w:rsid w:val="38C75A55"/>
    <w:rsid w:val="38CAF132"/>
    <w:rsid w:val="38CB0A65"/>
    <w:rsid w:val="38D1D3B7"/>
    <w:rsid w:val="38D33F7D"/>
    <w:rsid w:val="38D98BAC"/>
    <w:rsid w:val="38DD99D5"/>
    <w:rsid w:val="38E00B3F"/>
    <w:rsid w:val="38E3610F"/>
    <w:rsid w:val="38ED25D7"/>
    <w:rsid w:val="38F8B011"/>
    <w:rsid w:val="38FD5571"/>
    <w:rsid w:val="3900D949"/>
    <w:rsid w:val="390AA75F"/>
    <w:rsid w:val="391EA60C"/>
    <w:rsid w:val="39279BC3"/>
    <w:rsid w:val="3932AD4F"/>
    <w:rsid w:val="394387EE"/>
    <w:rsid w:val="3945CEB2"/>
    <w:rsid w:val="39460CFA"/>
    <w:rsid w:val="394B86C2"/>
    <w:rsid w:val="39544577"/>
    <w:rsid w:val="395549C5"/>
    <w:rsid w:val="395750FC"/>
    <w:rsid w:val="3959F307"/>
    <w:rsid w:val="395A4AED"/>
    <w:rsid w:val="395C8811"/>
    <w:rsid w:val="39639CBB"/>
    <w:rsid w:val="3965EBC9"/>
    <w:rsid w:val="3967D91B"/>
    <w:rsid w:val="39697C10"/>
    <w:rsid w:val="39738FE0"/>
    <w:rsid w:val="397D0C99"/>
    <w:rsid w:val="39876FF0"/>
    <w:rsid w:val="398990D7"/>
    <w:rsid w:val="398B6422"/>
    <w:rsid w:val="3991B09C"/>
    <w:rsid w:val="399AC15C"/>
    <w:rsid w:val="399EE460"/>
    <w:rsid w:val="39A39A85"/>
    <w:rsid w:val="39A4CE9E"/>
    <w:rsid w:val="39AAF88A"/>
    <w:rsid w:val="39ABCB6F"/>
    <w:rsid w:val="39B3F702"/>
    <w:rsid w:val="39B7851A"/>
    <w:rsid w:val="39B785EB"/>
    <w:rsid w:val="39B8D9A5"/>
    <w:rsid w:val="39BF7732"/>
    <w:rsid w:val="39C1ADA5"/>
    <w:rsid w:val="39DAA611"/>
    <w:rsid w:val="39DC6F5E"/>
    <w:rsid w:val="39DC7EB5"/>
    <w:rsid w:val="39DECBB3"/>
    <w:rsid w:val="39E38F68"/>
    <w:rsid w:val="39F8666B"/>
    <w:rsid w:val="3A0475D5"/>
    <w:rsid w:val="3A08FDF8"/>
    <w:rsid w:val="3A0E74D2"/>
    <w:rsid w:val="3A108DAC"/>
    <w:rsid w:val="3A12715F"/>
    <w:rsid w:val="3A1A3713"/>
    <w:rsid w:val="3A23AD4D"/>
    <w:rsid w:val="3A2428D4"/>
    <w:rsid w:val="3A2996E9"/>
    <w:rsid w:val="3A2BC5B0"/>
    <w:rsid w:val="3A2C8A26"/>
    <w:rsid w:val="3A32144A"/>
    <w:rsid w:val="3A41C4DD"/>
    <w:rsid w:val="3A42730A"/>
    <w:rsid w:val="3A492035"/>
    <w:rsid w:val="3A4D4E2C"/>
    <w:rsid w:val="3A50D0E2"/>
    <w:rsid w:val="3A5AA288"/>
    <w:rsid w:val="3A63993E"/>
    <w:rsid w:val="3A67B22F"/>
    <w:rsid w:val="3A6A0956"/>
    <w:rsid w:val="3A6DC460"/>
    <w:rsid w:val="3A731641"/>
    <w:rsid w:val="3A793170"/>
    <w:rsid w:val="3A89219E"/>
    <w:rsid w:val="3A928931"/>
    <w:rsid w:val="3A9A32E7"/>
    <w:rsid w:val="3AA08D03"/>
    <w:rsid w:val="3AA0D042"/>
    <w:rsid w:val="3AA50BF1"/>
    <w:rsid w:val="3AAC5E70"/>
    <w:rsid w:val="3AAE8E8B"/>
    <w:rsid w:val="3AAE9C33"/>
    <w:rsid w:val="3AAF4236"/>
    <w:rsid w:val="3AB9A862"/>
    <w:rsid w:val="3AC2E756"/>
    <w:rsid w:val="3AC3B2EA"/>
    <w:rsid w:val="3AC98273"/>
    <w:rsid w:val="3AD3CCC8"/>
    <w:rsid w:val="3AD7ABDD"/>
    <w:rsid w:val="3ADC457A"/>
    <w:rsid w:val="3AE4EA98"/>
    <w:rsid w:val="3AF15848"/>
    <w:rsid w:val="3AF5F82D"/>
    <w:rsid w:val="3AF8DDDF"/>
    <w:rsid w:val="3B006B15"/>
    <w:rsid w:val="3B018106"/>
    <w:rsid w:val="3B0E2198"/>
    <w:rsid w:val="3B0FDAA7"/>
    <w:rsid w:val="3B256138"/>
    <w:rsid w:val="3B2BCB9B"/>
    <w:rsid w:val="3B30C8C8"/>
    <w:rsid w:val="3B36FE10"/>
    <w:rsid w:val="3B4272CD"/>
    <w:rsid w:val="3B491D50"/>
    <w:rsid w:val="3B520A76"/>
    <w:rsid w:val="3B53564C"/>
    <w:rsid w:val="3B54DB40"/>
    <w:rsid w:val="3B5BE3FC"/>
    <w:rsid w:val="3B6837C6"/>
    <w:rsid w:val="3B75C99C"/>
    <w:rsid w:val="3B764BD5"/>
    <w:rsid w:val="3B7B42EB"/>
    <w:rsid w:val="3B7D0303"/>
    <w:rsid w:val="3B7FA61F"/>
    <w:rsid w:val="3B97B2FD"/>
    <w:rsid w:val="3B9E5DCB"/>
    <w:rsid w:val="3BA6A85F"/>
    <w:rsid w:val="3BA974B4"/>
    <w:rsid w:val="3BA991A8"/>
    <w:rsid w:val="3BAC8E7D"/>
    <w:rsid w:val="3BAFFC60"/>
    <w:rsid w:val="3BB87218"/>
    <w:rsid w:val="3BC54522"/>
    <w:rsid w:val="3BCA3BF5"/>
    <w:rsid w:val="3BCD7A13"/>
    <w:rsid w:val="3BCEC1E1"/>
    <w:rsid w:val="3BD1B4E7"/>
    <w:rsid w:val="3BD83532"/>
    <w:rsid w:val="3BD8D5DE"/>
    <w:rsid w:val="3BE25D88"/>
    <w:rsid w:val="3BE641DA"/>
    <w:rsid w:val="3BE8E20C"/>
    <w:rsid w:val="3BF34F8F"/>
    <w:rsid w:val="3BF8DA35"/>
    <w:rsid w:val="3C058B74"/>
    <w:rsid w:val="3C0DC448"/>
    <w:rsid w:val="3C122658"/>
    <w:rsid w:val="3C144296"/>
    <w:rsid w:val="3C17E529"/>
    <w:rsid w:val="3C1C8771"/>
    <w:rsid w:val="3C1CC356"/>
    <w:rsid w:val="3C2127DC"/>
    <w:rsid w:val="3C218E0D"/>
    <w:rsid w:val="3C21956D"/>
    <w:rsid w:val="3C29FA21"/>
    <w:rsid w:val="3C315F61"/>
    <w:rsid w:val="3C36E849"/>
    <w:rsid w:val="3C38189C"/>
    <w:rsid w:val="3C3A612C"/>
    <w:rsid w:val="3C3B2C1C"/>
    <w:rsid w:val="3C3DDDF3"/>
    <w:rsid w:val="3C3F6455"/>
    <w:rsid w:val="3C47193F"/>
    <w:rsid w:val="3C4ADDAE"/>
    <w:rsid w:val="3C4D1930"/>
    <w:rsid w:val="3C4F9340"/>
    <w:rsid w:val="3C4F9E2A"/>
    <w:rsid w:val="3C52C9F8"/>
    <w:rsid w:val="3C53A845"/>
    <w:rsid w:val="3C548F98"/>
    <w:rsid w:val="3C5DF41C"/>
    <w:rsid w:val="3C620B87"/>
    <w:rsid w:val="3C628E7A"/>
    <w:rsid w:val="3C65CEA4"/>
    <w:rsid w:val="3C65FC1E"/>
    <w:rsid w:val="3C67C842"/>
    <w:rsid w:val="3C686B90"/>
    <w:rsid w:val="3C698F90"/>
    <w:rsid w:val="3C6D026B"/>
    <w:rsid w:val="3C6D405A"/>
    <w:rsid w:val="3C71659D"/>
    <w:rsid w:val="3C803299"/>
    <w:rsid w:val="3C8283F3"/>
    <w:rsid w:val="3C873BF8"/>
    <w:rsid w:val="3C9282C5"/>
    <w:rsid w:val="3C9E7661"/>
    <w:rsid w:val="3CAB531B"/>
    <w:rsid w:val="3CB100EC"/>
    <w:rsid w:val="3CBA08BF"/>
    <w:rsid w:val="3CBA2E0A"/>
    <w:rsid w:val="3CD60369"/>
    <w:rsid w:val="3CDC8BCE"/>
    <w:rsid w:val="3CE69CE2"/>
    <w:rsid w:val="3CEB7EE9"/>
    <w:rsid w:val="3CF2EDA6"/>
    <w:rsid w:val="3CF61693"/>
    <w:rsid w:val="3CF8BBF9"/>
    <w:rsid w:val="3D0280D5"/>
    <w:rsid w:val="3D070334"/>
    <w:rsid w:val="3D14A64A"/>
    <w:rsid w:val="3D1677BE"/>
    <w:rsid w:val="3D180A28"/>
    <w:rsid w:val="3D1E9CD8"/>
    <w:rsid w:val="3D2240A1"/>
    <w:rsid w:val="3D25ED0D"/>
    <w:rsid w:val="3D2A3A92"/>
    <w:rsid w:val="3D2BD8DF"/>
    <w:rsid w:val="3D2CAB01"/>
    <w:rsid w:val="3D2D0A51"/>
    <w:rsid w:val="3D2FFA3B"/>
    <w:rsid w:val="3D304335"/>
    <w:rsid w:val="3D37D16D"/>
    <w:rsid w:val="3D3B0F0F"/>
    <w:rsid w:val="3D44518A"/>
    <w:rsid w:val="3D536141"/>
    <w:rsid w:val="3D5CA7F3"/>
    <w:rsid w:val="3D65311C"/>
    <w:rsid w:val="3D6A0173"/>
    <w:rsid w:val="3D7021BC"/>
    <w:rsid w:val="3D71B07B"/>
    <w:rsid w:val="3D749E21"/>
    <w:rsid w:val="3D809E07"/>
    <w:rsid w:val="3D856906"/>
    <w:rsid w:val="3D8B5DB6"/>
    <w:rsid w:val="3D8E0D69"/>
    <w:rsid w:val="3D93C777"/>
    <w:rsid w:val="3D99E704"/>
    <w:rsid w:val="3D9F5334"/>
    <w:rsid w:val="3DA06202"/>
    <w:rsid w:val="3DA15B52"/>
    <w:rsid w:val="3DA6FC37"/>
    <w:rsid w:val="3DA9495B"/>
    <w:rsid w:val="3DAAAE54"/>
    <w:rsid w:val="3DBA4FE2"/>
    <w:rsid w:val="3DBD00BA"/>
    <w:rsid w:val="3DBECEA1"/>
    <w:rsid w:val="3DBFCB4A"/>
    <w:rsid w:val="3DC9C143"/>
    <w:rsid w:val="3DE81230"/>
    <w:rsid w:val="3DE94E81"/>
    <w:rsid w:val="3DFC96E1"/>
    <w:rsid w:val="3E00860B"/>
    <w:rsid w:val="3E0A1872"/>
    <w:rsid w:val="3E137EDE"/>
    <w:rsid w:val="3E1DBD62"/>
    <w:rsid w:val="3E243173"/>
    <w:rsid w:val="3E253CE0"/>
    <w:rsid w:val="3E2B953A"/>
    <w:rsid w:val="3E31606E"/>
    <w:rsid w:val="3E34079E"/>
    <w:rsid w:val="3E34A007"/>
    <w:rsid w:val="3E350770"/>
    <w:rsid w:val="3E414FC8"/>
    <w:rsid w:val="3E422112"/>
    <w:rsid w:val="3E446E04"/>
    <w:rsid w:val="3E48CCD6"/>
    <w:rsid w:val="3E4F154B"/>
    <w:rsid w:val="3E4FB5CA"/>
    <w:rsid w:val="3E5AFA7E"/>
    <w:rsid w:val="3E5E6011"/>
    <w:rsid w:val="3E5F1B70"/>
    <w:rsid w:val="3E632E18"/>
    <w:rsid w:val="3E640259"/>
    <w:rsid w:val="3E65C720"/>
    <w:rsid w:val="3E7D9682"/>
    <w:rsid w:val="3E8565DE"/>
    <w:rsid w:val="3E87642E"/>
    <w:rsid w:val="3EA5002E"/>
    <w:rsid w:val="3EB5BBC4"/>
    <w:rsid w:val="3EC53A81"/>
    <w:rsid w:val="3EC7BC41"/>
    <w:rsid w:val="3ECB4A62"/>
    <w:rsid w:val="3ECFD659"/>
    <w:rsid w:val="3ED50CCB"/>
    <w:rsid w:val="3ED6B6E4"/>
    <w:rsid w:val="3ED9DD4D"/>
    <w:rsid w:val="3EDA59CA"/>
    <w:rsid w:val="3EDEF32D"/>
    <w:rsid w:val="3EF3C2F4"/>
    <w:rsid w:val="3EF59B6F"/>
    <w:rsid w:val="3EFD1E82"/>
    <w:rsid w:val="3F022801"/>
    <w:rsid w:val="3F053E04"/>
    <w:rsid w:val="3F0FD5F4"/>
    <w:rsid w:val="3F1CD5CE"/>
    <w:rsid w:val="3F22DFC9"/>
    <w:rsid w:val="3F34158D"/>
    <w:rsid w:val="3F38A482"/>
    <w:rsid w:val="3F3D9D6F"/>
    <w:rsid w:val="3F415568"/>
    <w:rsid w:val="3F50121E"/>
    <w:rsid w:val="3F545397"/>
    <w:rsid w:val="3F5791F6"/>
    <w:rsid w:val="3F59A8CB"/>
    <w:rsid w:val="3F5BEA87"/>
    <w:rsid w:val="3F6894BC"/>
    <w:rsid w:val="3F6AE546"/>
    <w:rsid w:val="3F7603D4"/>
    <w:rsid w:val="3F787C8E"/>
    <w:rsid w:val="3F7A3879"/>
    <w:rsid w:val="3F7C906E"/>
    <w:rsid w:val="3F7FB6D2"/>
    <w:rsid w:val="3F889786"/>
    <w:rsid w:val="3F8F05F5"/>
    <w:rsid w:val="3F946750"/>
    <w:rsid w:val="3F9B24D6"/>
    <w:rsid w:val="3F9C7A92"/>
    <w:rsid w:val="3F9CD9ED"/>
    <w:rsid w:val="3F9F91CE"/>
    <w:rsid w:val="3FA20FCA"/>
    <w:rsid w:val="3FA83C56"/>
    <w:rsid w:val="3FC5B59E"/>
    <w:rsid w:val="3FCDF00E"/>
    <w:rsid w:val="3FCDFCBB"/>
    <w:rsid w:val="3FCF6322"/>
    <w:rsid w:val="3FD40452"/>
    <w:rsid w:val="3FDF389C"/>
    <w:rsid w:val="3FE85342"/>
    <w:rsid w:val="3FF230D5"/>
    <w:rsid w:val="3FFF965D"/>
    <w:rsid w:val="4002AE89"/>
    <w:rsid w:val="40056905"/>
    <w:rsid w:val="401DB76F"/>
    <w:rsid w:val="401FD80F"/>
    <w:rsid w:val="40247F77"/>
    <w:rsid w:val="40275DAC"/>
    <w:rsid w:val="40340AAF"/>
    <w:rsid w:val="40354480"/>
    <w:rsid w:val="403BF0C0"/>
    <w:rsid w:val="40410B89"/>
    <w:rsid w:val="404B5EBC"/>
    <w:rsid w:val="4057D609"/>
    <w:rsid w:val="40589DA4"/>
    <w:rsid w:val="405FA3ED"/>
    <w:rsid w:val="406C9C9E"/>
    <w:rsid w:val="40719C80"/>
    <w:rsid w:val="4071D9A6"/>
    <w:rsid w:val="40758C58"/>
    <w:rsid w:val="408EE256"/>
    <w:rsid w:val="40963202"/>
    <w:rsid w:val="4098A9EB"/>
    <w:rsid w:val="40B8CF51"/>
    <w:rsid w:val="40BBAD7C"/>
    <w:rsid w:val="40C62909"/>
    <w:rsid w:val="40CC98CF"/>
    <w:rsid w:val="40CE9792"/>
    <w:rsid w:val="40CF1CC2"/>
    <w:rsid w:val="40D0C10A"/>
    <w:rsid w:val="40D56C32"/>
    <w:rsid w:val="40D8190B"/>
    <w:rsid w:val="40DB3D24"/>
    <w:rsid w:val="40E1D4B8"/>
    <w:rsid w:val="40E3CBB9"/>
    <w:rsid w:val="40E494AB"/>
    <w:rsid w:val="40E8B1CA"/>
    <w:rsid w:val="40E8C5A7"/>
    <w:rsid w:val="40EF48A6"/>
    <w:rsid w:val="40F72668"/>
    <w:rsid w:val="40F915BC"/>
    <w:rsid w:val="41027499"/>
    <w:rsid w:val="4105D3A8"/>
    <w:rsid w:val="41072C84"/>
    <w:rsid w:val="410E50FF"/>
    <w:rsid w:val="4114EB74"/>
    <w:rsid w:val="41156486"/>
    <w:rsid w:val="411B9EC1"/>
    <w:rsid w:val="412CED04"/>
    <w:rsid w:val="4139A381"/>
    <w:rsid w:val="413D60FC"/>
    <w:rsid w:val="4146F1E8"/>
    <w:rsid w:val="414A6B47"/>
    <w:rsid w:val="415021D2"/>
    <w:rsid w:val="41517235"/>
    <w:rsid w:val="4163D832"/>
    <w:rsid w:val="41673C1B"/>
    <w:rsid w:val="417D8547"/>
    <w:rsid w:val="417F4136"/>
    <w:rsid w:val="41880FC2"/>
    <w:rsid w:val="41989F31"/>
    <w:rsid w:val="419C67E5"/>
    <w:rsid w:val="41A96AA6"/>
    <w:rsid w:val="41B648D5"/>
    <w:rsid w:val="41B66AE6"/>
    <w:rsid w:val="41CDFCE4"/>
    <w:rsid w:val="41D02F60"/>
    <w:rsid w:val="41D1EF59"/>
    <w:rsid w:val="41DACA70"/>
    <w:rsid w:val="41DBD40B"/>
    <w:rsid w:val="41E9C6CA"/>
    <w:rsid w:val="41EA05F1"/>
    <w:rsid w:val="41F6A19E"/>
    <w:rsid w:val="4200AA8F"/>
    <w:rsid w:val="4209FDB2"/>
    <w:rsid w:val="420DDABD"/>
    <w:rsid w:val="4211E37F"/>
    <w:rsid w:val="421BADBE"/>
    <w:rsid w:val="4222B00C"/>
    <w:rsid w:val="42286DC1"/>
    <w:rsid w:val="4229C0FE"/>
    <w:rsid w:val="422B4290"/>
    <w:rsid w:val="422D431B"/>
    <w:rsid w:val="422D50D7"/>
    <w:rsid w:val="423F8E61"/>
    <w:rsid w:val="423FC9EF"/>
    <w:rsid w:val="42427699"/>
    <w:rsid w:val="424AD38D"/>
    <w:rsid w:val="424C700A"/>
    <w:rsid w:val="42585860"/>
    <w:rsid w:val="42685AD7"/>
    <w:rsid w:val="42688910"/>
    <w:rsid w:val="42695968"/>
    <w:rsid w:val="427690E0"/>
    <w:rsid w:val="427E79C5"/>
    <w:rsid w:val="42809173"/>
    <w:rsid w:val="42817017"/>
    <w:rsid w:val="428BF4D8"/>
    <w:rsid w:val="428D6A4A"/>
    <w:rsid w:val="428E18B9"/>
    <w:rsid w:val="4291CC5B"/>
    <w:rsid w:val="42989D23"/>
    <w:rsid w:val="429AF227"/>
    <w:rsid w:val="429D3266"/>
    <w:rsid w:val="429FB7E7"/>
    <w:rsid w:val="42A515FA"/>
    <w:rsid w:val="42A62554"/>
    <w:rsid w:val="42A75441"/>
    <w:rsid w:val="42B93D2B"/>
    <w:rsid w:val="42BA541B"/>
    <w:rsid w:val="42C6789F"/>
    <w:rsid w:val="42D34DDA"/>
    <w:rsid w:val="42DCD2D6"/>
    <w:rsid w:val="42DECB3F"/>
    <w:rsid w:val="42E9C22C"/>
    <w:rsid w:val="42ED5C31"/>
    <w:rsid w:val="42EE5280"/>
    <w:rsid w:val="42F7C326"/>
    <w:rsid w:val="42F887A2"/>
    <w:rsid w:val="430C4208"/>
    <w:rsid w:val="43117980"/>
    <w:rsid w:val="431499DE"/>
    <w:rsid w:val="431C3C01"/>
    <w:rsid w:val="4322F685"/>
    <w:rsid w:val="4323461D"/>
    <w:rsid w:val="4324A54E"/>
    <w:rsid w:val="4329EACE"/>
    <w:rsid w:val="432C028A"/>
    <w:rsid w:val="43443854"/>
    <w:rsid w:val="434611E9"/>
    <w:rsid w:val="434CEA3C"/>
    <w:rsid w:val="43542807"/>
    <w:rsid w:val="43624C9C"/>
    <w:rsid w:val="4362E412"/>
    <w:rsid w:val="4364CDF1"/>
    <w:rsid w:val="4365727B"/>
    <w:rsid w:val="43707D71"/>
    <w:rsid w:val="4372E16D"/>
    <w:rsid w:val="4379F50A"/>
    <w:rsid w:val="437A5DF9"/>
    <w:rsid w:val="4382E63D"/>
    <w:rsid w:val="438A4E0E"/>
    <w:rsid w:val="438F2F3B"/>
    <w:rsid w:val="439B3270"/>
    <w:rsid w:val="43A391C0"/>
    <w:rsid w:val="43A84B35"/>
    <w:rsid w:val="43BBDC7B"/>
    <w:rsid w:val="43CD0208"/>
    <w:rsid w:val="43D1C0E4"/>
    <w:rsid w:val="43D27C60"/>
    <w:rsid w:val="43D3B81D"/>
    <w:rsid w:val="43D5089C"/>
    <w:rsid w:val="43DC11BC"/>
    <w:rsid w:val="43DD32F1"/>
    <w:rsid w:val="43E5D2C9"/>
    <w:rsid w:val="43EE6F98"/>
    <w:rsid w:val="43F34462"/>
    <w:rsid w:val="43FEB379"/>
    <w:rsid w:val="4403DAB2"/>
    <w:rsid w:val="4404181B"/>
    <w:rsid w:val="44075008"/>
    <w:rsid w:val="4407A059"/>
    <w:rsid w:val="440C768B"/>
    <w:rsid w:val="440FCF9D"/>
    <w:rsid w:val="4411AE94"/>
    <w:rsid w:val="44188ADF"/>
    <w:rsid w:val="44200A55"/>
    <w:rsid w:val="442121E8"/>
    <w:rsid w:val="442437E5"/>
    <w:rsid w:val="44311F9E"/>
    <w:rsid w:val="4439C044"/>
    <w:rsid w:val="444359ED"/>
    <w:rsid w:val="4444818C"/>
    <w:rsid w:val="4456F1FD"/>
    <w:rsid w:val="4457CD75"/>
    <w:rsid w:val="445C8B61"/>
    <w:rsid w:val="445FCA3A"/>
    <w:rsid w:val="4466A4D5"/>
    <w:rsid w:val="44677B77"/>
    <w:rsid w:val="44771604"/>
    <w:rsid w:val="44786448"/>
    <w:rsid w:val="447BC58B"/>
    <w:rsid w:val="448755FC"/>
    <w:rsid w:val="448AC2C4"/>
    <w:rsid w:val="449040C9"/>
    <w:rsid w:val="4493F769"/>
    <w:rsid w:val="44A0A1F2"/>
    <w:rsid w:val="44A6062C"/>
    <w:rsid w:val="44A619C0"/>
    <w:rsid w:val="44B56640"/>
    <w:rsid w:val="44B799C8"/>
    <w:rsid w:val="44B967BE"/>
    <w:rsid w:val="44BBD2F0"/>
    <w:rsid w:val="44BFFAAC"/>
    <w:rsid w:val="44C76664"/>
    <w:rsid w:val="44CA3438"/>
    <w:rsid w:val="44CA8778"/>
    <w:rsid w:val="44CED5EE"/>
    <w:rsid w:val="44D00EAA"/>
    <w:rsid w:val="44D04B20"/>
    <w:rsid w:val="44D2DE83"/>
    <w:rsid w:val="44D6FFF4"/>
    <w:rsid w:val="44D94EDE"/>
    <w:rsid w:val="44DD330F"/>
    <w:rsid w:val="44F7F09A"/>
    <w:rsid w:val="45003D4F"/>
    <w:rsid w:val="4507ACE2"/>
    <w:rsid w:val="450C0006"/>
    <w:rsid w:val="450F8F88"/>
    <w:rsid w:val="4519AFB8"/>
    <w:rsid w:val="451DDA79"/>
    <w:rsid w:val="4526786A"/>
    <w:rsid w:val="45293A2D"/>
    <w:rsid w:val="45307443"/>
    <w:rsid w:val="4532C93C"/>
    <w:rsid w:val="4536F83E"/>
    <w:rsid w:val="4539CD5E"/>
    <w:rsid w:val="453CB4BB"/>
    <w:rsid w:val="454677FA"/>
    <w:rsid w:val="4555B6DC"/>
    <w:rsid w:val="4555D2C0"/>
    <w:rsid w:val="45566AFB"/>
    <w:rsid w:val="4557C739"/>
    <w:rsid w:val="455CC625"/>
    <w:rsid w:val="455EE046"/>
    <w:rsid w:val="45623B26"/>
    <w:rsid w:val="45638D5F"/>
    <w:rsid w:val="4563E661"/>
    <w:rsid w:val="45688F37"/>
    <w:rsid w:val="456ACA75"/>
    <w:rsid w:val="4576DBE3"/>
    <w:rsid w:val="45788AE4"/>
    <w:rsid w:val="45822F50"/>
    <w:rsid w:val="458624C8"/>
    <w:rsid w:val="458974A1"/>
    <w:rsid w:val="458D9781"/>
    <w:rsid w:val="458F447E"/>
    <w:rsid w:val="4595061F"/>
    <w:rsid w:val="4595ACD3"/>
    <w:rsid w:val="459C839D"/>
    <w:rsid w:val="459FFE08"/>
    <w:rsid w:val="45A0CD96"/>
    <w:rsid w:val="45A38F9C"/>
    <w:rsid w:val="45A3D985"/>
    <w:rsid w:val="45A9134B"/>
    <w:rsid w:val="45AEABEA"/>
    <w:rsid w:val="45BCAC21"/>
    <w:rsid w:val="45C27073"/>
    <w:rsid w:val="45C50FE1"/>
    <w:rsid w:val="45CA0C58"/>
    <w:rsid w:val="45CA613C"/>
    <w:rsid w:val="45DA77DA"/>
    <w:rsid w:val="45E4228A"/>
    <w:rsid w:val="45E79A1D"/>
    <w:rsid w:val="45E84D5A"/>
    <w:rsid w:val="45E86B58"/>
    <w:rsid w:val="45E8ADD5"/>
    <w:rsid w:val="45F0F5AD"/>
    <w:rsid w:val="45FA57B0"/>
    <w:rsid w:val="4603E3A5"/>
    <w:rsid w:val="460AE0BB"/>
    <w:rsid w:val="461A4BC0"/>
    <w:rsid w:val="46216483"/>
    <w:rsid w:val="46238EFF"/>
    <w:rsid w:val="4628BF41"/>
    <w:rsid w:val="4632B2A6"/>
    <w:rsid w:val="46331D2F"/>
    <w:rsid w:val="463333FA"/>
    <w:rsid w:val="463DB88E"/>
    <w:rsid w:val="4644EB62"/>
    <w:rsid w:val="465F9CE8"/>
    <w:rsid w:val="4672EFF7"/>
    <w:rsid w:val="46808013"/>
    <w:rsid w:val="46887DAA"/>
    <w:rsid w:val="468E5B4D"/>
    <w:rsid w:val="468EF5D6"/>
    <w:rsid w:val="46A7DBCC"/>
    <w:rsid w:val="46ACBA1A"/>
    <w:rsid w:val="46AF6DBE"/>
    <w:rsid w:val="46B14FB2"/>
    <w:rsid w:val="46B66E7C"/>
    <w:rsid w:val="46B67FCA"/>
    <w:rsid w:val="46B76EA9"/>
    <w:rsid w:val="46C12B20"/>
    <w:rsid w:val="46CBC68F"/>
    <w:rsid w:val="46CC693E"/>
    <w:rsid w:val="46D996C5"/>
    <w:rsid w:val="46E9BFF3"/>
    <w:rsid w:val="46ED5237"/>
    <w:rsid w:val="46F46FE7"/>
    <w:rsid w:val="47005C8D"/>
    <w:rsid w:val="47023055"/>
    <w:rsid w:val="4705EF3E"/>
    <w:rsid w:val="47061ECF"/>
    <w:rsid w:val="4713A852"/>
    <w:rsid w:val="47152FA3"/>
    <w:rsid w:val="47164329"/>
    <w:rsid w:val="47177D94"/>
    <w:rsid w:val="47269E17"/>
    <w:rsid w:val="472B6FB7"/>
    <w:rsid w:val="473C6A53"/>
    <w:rsid w:val="4744EA8B"/>
    <w:rsid w:val="475106D0"/>
    <w:rsid w:val="475E2B67"/>
    <w:rsid w:val="4760652D"/>
    <w:rsid w:val="47619715"/>
    <w:rsid w:val="4767A808"/>
    <w:rsid w:val="4777CFDC"/>
    <w:rsid w:val="477E604D"/>
    <w:rsid w:val="47816367"/>
    <w:rsid w:val="47820AAF"/>
    <w:rsid w:val="4792C7C1"/>
    <w:rsid w:val="4796B0AB"/>
    <w:rsid w:val="47A65806"/>
    <w:rsid w:val="47A66075"/>
    <w:rsid w:val="47B03B0E"/>
    <w:rsid w:val="47B0BCAF"/>
    <w:rsid w:val="47B58E38"/>
    <w:rsid w:val="47B62421"/>
    <w:rsid w:val="47B78B35"/>
    <w:rsid w:val="47BAA010"/>
    <w:rsid w:val="47BCC569"/>
    <w:rsid w:val="47C047CE"/>
    <w:rsid w:val="47C5CC62"/>
    <w:rsid w:val="47CDDCA6"/>
    <w:rsid w:val="47E070D3"/>
    <w:rsid w:val="47E63402"/>
    <w:rsid w:val="47EB42F3"/>
    <w:rsid w:val="47EB7668"/>
    <w:rsid w:val="47F61E33"/>
    <w:rsid w:val="4810AB0F"/>
    <w:rsid w:val="481B1634"/>
    <w:rsid w:val="481B7EB8"/>
    <w:rsid w:val="4821565F"/>
    <w:rsid w:val="48223068"/>
    <w:rsid w:val="48241B7F"/>
    <w:rsid w:val="48247D0C"/>
    <w:rsid w:val="482BEB58"/>
    <w:rsid w:val="48301BAC"/>
    <w:rsid w:val="48323E6C"/>
    <w:rsid w:val="4834ED15"/>
    <w:rsid w:val="48416E3C"/>
    <w:rsid w:val="484856C6"/>
    <w:rsid w:val="4856A57D"/>
    <w:rsid w:val="4856F93C"/>
    <w:rsid w:val="48669AD1"/>
    <w:rsid w:val="48698CED"/>
    <w:rsid w:val="4879142E"/>
    <w:rsid w:val="4885F365"/>
    <w:rsid w:val="4886BE4D"/>
    <w:rsid w:val="488F4DF5"/>
    <w:rsid w:val="4891E040"/>
    <w:rsid w:val="48940998"/>
    <w:rsid w:val="48950BB5"/>
    <w:rsid w:val="48975488"/>
    <w:rsid w:val="48AAC3B9"/>
    <w:rsid w:val="48ABCC85"/>
    <w:rsid w:val="48B7F2A3"/>
    <w:rsid w:val="48B91C13"/>
    <w:rsid w:val="48B940EF"/>
    <w:rsid w:val="48BBD2D7"/>
    <w:rsid w:val="48BEF329"/>
    <w:rsid w:val="48D96F87"/>
    <w:rsid w:val="48DF8C50"/>
    <w:rsid w:val="48E1DED2"/>
    <w:rsid w:val="48ED7330"/>
    <w:rsid w:val="48EFEA41"/>
    <w:rsid w:val="4905FDF7"/>
    <w:rsid w:val="490CC8CD"/>
    <w:rsid w:val="49153F3E"/>
    <w:rsid w:val="4916EB17"/>
    <w:rsid w:val="491FA2CE"/>
    <w:rsid w:val="49252BA2"/>
    <w:rsid w:val="492DAA61"/>
    <w:rsid w:val="493E2156"/>
    <w:rsid w:val="4941A96A"/>
    <w:rsid w:val="494A0C91"/>
    <w:rsid w:val="494B7824"/>
    <w:rsid w:val="494C8C2D"/>
    <w:rsid w:val="494E0C0D"/>
    <w:rsid w:val="4955BBBD"/>
    <w:rsid w:val="4958B3D4"/>
    <w:rsid w:val="495B3996"/>
    <w:rsid w:val="495D322B"/>
    <w:rsid w:val="49606BAC"/>
    <w:rsid w:val="49707158"/>
    <w:rsid w:val="49729593"/>
    <w:rsid w:val="4979DA05"/>
    <w:rsid w:val="497A2EEA"/>
    <w:rsid w:val="497ED3D6"/>
    <w:rsid w:val="4988609D"/>
    <w:rsid w:val="4989F985"/>
    <w:rsid w:val="4995B481"/>
    <w:rsid w:val="499B97D7"/>
    <w:rsid w:val="49A490A3"/>
    <w:rsid w:val="49A5C79A"/>
    <w:rsid w:val="49A8A34E"/>
    <w:rsid w:val="49B4CDC2"/>
    <w:rsid w:val="49C53C8C"/>
    <w:rsid w:val="49DB74C9"/>
    <w:rsid w:val="49DB8413"/>
    <w:rsid w:val="49F0C55D"/>
    <w:rsid w:val="49F104C5"/>
    <w:rsid w:val="49F742FC"/>
    <w:rsid w:val="49FB2CBD"/>
    <w:rsid w:val="49FB7F2B"/>
    <w:rsid w:val="4A00B70D"/>
    <w:rsid w:val="4A01FEC1"/>
    <w:rsid w:val="4A02D7FA"/>
    <w:rsid w:val="4A0434EC"/>
    <w:rsid w:val="4A05F7FF"/>
    <w:rsid w:val="4A0786DF"/>
    <w:rsid w:val="4A082E5E"/>
    <w:rsid w:val="4A12AA8C"/>
    <w:rsid w:val="4A252136"/>
    <w:rsid w:val="4A28E94E"/>
    <w:rsid w:val="4A30BF35"/>
    <w:rsid w:val="4A34347B"/>
    <w:rsid w:val="4A391AEB"/>
    <w:rsid w:val="4A3EBE72"/>
    <w:rsid w:val="4A4C4576"/>
    <w:rsid w:val="4A56D29A"/>
    <w:rsid w:val="4A56DE71"/>
    <w:rsid w:val="4A5A705F"/>
    <w:rsid w:val="4A660994"/>
    <w:rsid w:val="4A7BB80F"/>
    <w:rsid w:val="4A812921"/>
    <w:rsid w:val="4A81889F"/>
    <w:rsid w:val="4A8242AD"/>
    <w:rsid w:val="4A85587E"/>
    <w:rsid w:val="4A85FDB9"/>
    <w:rsid w:val="4A8E557E"/>
    <w:rsid w:val="4A90922F"/>
    <w:rsid w:val="4A944D01"/>
    <w:rsid w:val="4A9C84E6"/>
    <w:rsid w:val="4A9D1229"/>
    <w:rsid w:val="4AA2262A"/>
    <w:rsid w:val="4AA24C92"/>
    <w:rsid w:val="4AA419EA"/>
    <w:rsid w:val="4AA7204F"/>
    <w:rsid w:val="4AA89C9E"/>
    <w:rsid w:val="4AC90F8A"/>
    <w:rsid w:val="4ADB6947"/>
    <w:rsid w:val="4ADF8C94"/>
    <w:rsid w:val="4AE36C2F"/>
    <w:rsid w:val="4AE99582"/>
    <w:rsid w:val="4AEB322E"/>
    <w:rsid w:val="4AEC3207"/>
    <w:rsid w:val="4AEC9F65"/>
    <w:rsid w:val="4AED75A9"/>
    <w:rsid w:val="4AEF8038"/>
    <w:rsid w:val="4AF2E9BA"/>
    <w:rsid w:val="4AF4CFB8"/>
    <w:rsid w:val="4AF51B52"/>
    <w:rsid w:val="4AF5F070"/>
    <w:rsid w:val="4B008F2B"/>
    <w:rsid w:val="4B0992DC"/>
    <w:rsid w:val="4B0C5938"/>
    <w:rsid w:val="4B0D46F7"/>
    <w:rsid w:val="4B0E2933"/>
    <w:rsid w:val="4B109D03"/>
    <w:rsid w:val="4B227FA1"/>
    <w:rsid w:val="4B2A1A5E"/>
    <w:rsid w:val="4B2FD9D1"/>
    <w:rsid w:val="4B377D22"/>
    <w:rsid w:val="4B39BA0D"/>
    <w:rsid w:val="4B3F5639"/>
    <w:rsid w:val="4B4442ED"/>
    <w:rsid w:val="4B464B8E"/>
    <w:rsid w:val="4B4D8414"/>
    <w:rsid w:val="4B4E0270"/>
    <w:rsid w:val="4B5849C7"/>
    <w:rsid w:val="4B5C2484"/>
    <w:rsid w:val="4B646C19"/>
    <w:rsid w:val="4B6B3546"/>
    <w:rsid w:val="4B749DEF"/>
    <w:rsid w:val="4B7E94A6"/>
    <w:rsid w:val="4B8D625C"/>
    <w:rsid w:val="4B94F907"/>
    <w:rsid w:val="4B9723B6"/>
    <w:rsid w:val="4BAA0CD7"/>
    <w:rsid w:val="4BADD8F8"/>
    <w:rsid w:val="4BAE386C"/>
    <w:rsid w:val="4BB219A2"/>
    <w:rsid w:val="4BBA30C9"/>
    <w:rsid w:val="4BBDD825"/>
    <w:rsid w:val="4BC124A5"/>
    <w:rsid w:val="4BC34153"/>
    <w:rsid w:val="4BCD7ABF"/>
    <w:rsid w:val="4BD62A9E"/>
    <w:rsid w:val="4BE187BE"/>
    <w:rsid w:val="4BE394A5"/>
    <w:rsid w:val="4BE49E83"/>
    <w:rsid w:val="4BEB1866"/>
    <w:rsid w:val="4BEF6AD2"/>
    <w:rsid w:val="4BF7C882"/>
    <w:rsid w:val="4BFF705E"/>
    <w:rsid w:val="4C059EA7"/>
    <w:rsid w:val="4C061EA9"/>
    <w:rsid w:val="4C0B5F42"/>
    <w:rsid w:val="4C116DFC"/>
    <w:rsid w:val="4C19510B"/>
    <w:rsid w:val="4C1D5A4F"/>
    <w:rsid w:val="4C259B0D"/>
    <w:rsid w:val="4C28525D"/>
    <w:rsid w:val="4C29640B"/>
    <w:rsid w:val="4C2A6213"/>
    <w:rsid w:val="4C37046D"/>
    <w:rsid w:val="4C39587D"/>
    <w:rsid w:val="4C3ACD37"/>
    <w:rsid w:val="4C3E65AE"/>
    <w:rsid w:val="4C5639AD"/>
    <w:rsid w:val="4C5B3439"/>
    <w:rsid w:val="4C5CAFA3"/>
    <w:rsid w:val="4C600EB5"/>
    <w:rsid w:val="4C604956"/>
    <w:rsid w:val="4C6A60A7"/>
    <w:rsid w:val="4C6A6EC5"/>
    <w:rsid w:val="4C711C04"/>
    <w:rsid w:val="4C78F2E8"/>
    <w:rsid w:val="4C7BB5D1"/>
    <w:rsid w:val="4C8B3C7F"/>
    <w:rsid w:val="4C91BC17"/>
    <w:rsid w:val="4C93809B"/>
    <w:rsid w:val="4C9810CB"/>
    <w:rsid w:val="4C9AFD32"/>
    <w:rsid w:val="4CAD9BCF"/>
    <w:rsid w:val="4CADFA21"/>
    <w:rsid w:val="4CB79F7C"/>
    <w:rsid w:val="4CB89D96"/>
    <w:rsid w:val="4CC26A4E"/>
    <w:rsid w:val="4CC3E839"/>
    <w:rsid w:val="4CCAEBA7"/>
    <w:rsid w:val="4CCBB619"/>
    <w:rsid w:val="4CD23905"/>
    <w:rsid w:val="4CDE4942"/>
    <w:rsid w:val="4CDF7AA0"/>
    <w:rsid w:val="4CE7A586"/>
    <w:rsid w:val="4CE85E9D"/>
    <w:rsid w:val="4CEB47BF"/>
    <w:rsid w:val="4CEF2BC2"/>
    <w:rsid w:val="4CF49060"/>
    <w:rsid w:val="4CF73F64"/>
    <w:rsid w:val="4CFE2D8B"/>
    <w:rsid w:val="4D0C77BD"/>
    <w:rsid w:val="4D0FFAD7"/>
    <w:rsid w:val="4D1ECFA3"/>
    <w:rsid w:val="4D296713"/>
    <w:rsid w:val="4D2CC145"/>
    <w:rsid w:val="4D2F0B13"/>
    <w:rsid w:val="4D30EA87"/>
    <w:rsid w:val="4D35C6C2"/>
    <w:rsid w:val="4D3C4FFC"/>
    <w:rsid w:val="4D3E3D11"/>
    <w:rsid w:val="4D456F9F"/>
    <w:rsid w:val="4D45BB50"/>
    <w:rsid w:val="4D4CF186"/>
    <w:rsid w:val="4D4F509C"/>
    <w:rsid w:val="4D4F513E"/>
    <w:rsid w:val="4D5A1F39"/>
    <w:rsid w:val="4D5D5EAC"/>
    <w:rsid w:val="4D6471C5"/>
    <w:rsid w:val="4D67D666"/>
    <w:rsid w:val="4D68C441"/>
    <w:rsid w:val="4D6BB299"/>
    <w:rsid w:val="4D6D0E3F"/>
    <w:rsid w:val="4D71AEFF"/>
    <w:rsid w:val="4D7C2981"/>
    <w:rsid w:val="4D7F97CE"/>
    <w:rsid w:val="4D868251"/>
    <w:rsid w:val="4D8B1B8D"/>
    <w:rsid w:val="4D8E4787"/>
    <w:rsid w:val="4D909B63"/>
    <w:rsid w:val="4DA15578"/>
    <w:rsid w:val="4DCA616A"/>
    <w:rsid w:val="4DCC31B3"/>
    <w:rsid w:val="4DD148ED"/>
    <w:rsid w:val="4DDE623E"/>
    <w:rsid w:val="4DEF747C"/>
    <w:rsid w:val="4DF2F79A"/>
    <w:rsid w:val="4DF4DDD5"/>
    <w:rsid w:val="4DF80944"/>
    <w:rsid w:val="4E0951D0"/>
    <w:rsid w:val="4E0E5695"/>
    <w:rsid w:val="4E0F4608"/>
    <w:rsid w:val="4E193558"/>
    <w:rsid w:val="4E1B9BC0"/>
    <w:rsid w:val="4E1CB03C"/>
    <w:rsid w:val="4E1E27A7"/>
    <w:rsid w:val="4E2751C6"/>
    <w:rsid w:val="4E2B4B7A"/>
    <w:rsid w:val="4E2D0B08"/>
    <w:rsid w:val="4E321097"/>
    <w:rsid w:val="4E3740CD"/>
    <w:rsid w:val="4E42A126"/>
    <w:rsid w:val="4E437EC1"/>
    <w:rsid w:val="4E4658B5"/>
    <w:rsid w:val="4E47B257"/>
    <w:rsid w:val="4E495B19"/>
    <w:rsid w:val="4E497582"/>
    <w:rsid w:val="4E4DADD1"/>
    <w:rsid w:val="4E4F93C6"/>
    <w:rsid w:val="4E4FEA65"/>
    <w:rsid w:val="4E5F0BE2"/>
    <w:rsid w:val="4E753F3A"/>
    <w:rsid w:val="4E8041F7"/>
    <w:rsid w:val="4E865C9E"/>
    <w:rsid w:val="4E8865EE"/>
    <w:rsid w:val="4E8B9DC4"/>
    <w:rsid w:val="4E926D9F"/>
    <w:rsid w:val="4E9D7866"/>
    <w:rsid w:val="4E9D85E7"/>
    <w:rsid w:val="4EA66816"/>
    <w:rsid w:val="4EABA15A"/>
    <w:rsid w:val="4EAD80BB"/>
    <w:rsid w:val="4EAFFF1F"/>
    <w:rsid w:val="4EB897F3"/>
    <w:rsid w:val="4EBE3371"/>
    <w:rsid w:val="4EC1F601"/>
    <w:rsid w:val="4EC4BD98"/>
    <w:rsid w:val="4EC6AC7D"/>
    <w:rsid w:val="4EC792F3"/>
    <w:rsid w:val="4ECD912A"/>
    <w:rsid w:val="4EDC4E2E"/>
    <w:rsid w:val="4EDDEF9F"/>
    <w:rsid w:val="4EF97DFB"/>
    <w:rsid w:val="4F0061EF"/>
    <w:rsid w:val="4F0E7BC2"/>
    <w:rsid w:val="4F172CDE"/>
    <w:rsid w:val="4F1FE8CB"/>
    <w:rsid w:val="4F267514"/>
    <w:rsid w:val="4F2AAEB0"/>
    <w:rsid w:val="4F2F8B7A"/>
    <w:rsid w:val="4F2FA649"/>
    <w:rsid w:val="4F2FCD51"/>
    <w:rsid w:val="4F31223F"/>
    <w:rsid w:val="4F32AC87"/>
    <w:rsid w:val="4F34E030"/>
    <w:rsid w:val="4F360F20"/>
    <w:rsid w:val="4F36A17E"/>
    <w:rsid w:val="4F3E77D8"/>
    <w:rsid w:val="4F3FC98B"/>
    <w:rsid w:val="4F3FDAB1"/>
    <w:rsid w:val="4F48C1AB"/>
    <w:rsid w:val="4F4B137A"/>
    <w:rsid w:val="4F4C226E"/>
    <w:rsid w:val="4F51125F"/>
    <w:rsid w:val="4F541AFC"/>
    <w:rsid w:val="4F62F617"/>
    <w:rsid w:val="4F6D8235"/>
    <w:rsid w:val="4F756946"/>
    <w:rsid w:val="4F75D13E"/>
    <w:rsid w:val="4F767672"/>
    <w:rsid w:val="4F7A584D"/>
    <w:rsid w:val="4F7E6005"/>
    <w:rsid w:val="4F828464"/>
    <w:rsid w:val="4F849608"/>
    <w:rsid w:val="4F84F6AE"/>
    <w:rsid w:val="4F86D2B8"/>
    <w:rsid w:val="4F90870E"/>
    <w:rsid w:val="4FA4FD9E"/>
    <w:rsid w:val="4FB174B8"/>
    <w:rsid w:val="4FB71BF9"/>
    <w:rsid w:val="4FBC9C8F"/>
    <w:rsid w:val="4FBCC46E"/>
    <w:rsid w:val="4FD0F272"/>
    <w:rsid w:val="4FD24B4C"/>
    <w:rsid w:val="4FE1FE28"/>
    <w:rsid w:val="4FE31AC7"/>
    <w:rsid w:val="4FE93C12"/>
    <w:rsid w:val="4FEA7D7E"/>
    <w:rsid w:val="4FF321E1"/>
    <w:rsid w:val="4FF3DF44"/>
    <w:rsid w:val="4FF92F8E"/>
    <w:rsid w:val="4FF9C874"/>
    <w:rsid w:val="4FFD3EFD"/>
    <w:rsid w:val="5008BC86"/>
    <w:rsid w:val="500D7F54"/>
    <w:rsid w:val="50139F51"/>
    <w:rsid w:val="501599D4"/>
    <w:rsid w:val="50257AD2"/>
    <w:rsid w:val="5029C3C8"/>
    <w:rsid w:val="50397953"/>
    <w:rsid w:val="5048746E"/>
    <w:rsid w:val="505DE335"/>
    <w:rsid w:val="506682B8"/>
    <w:rsid w:val="506AF30D"/>
    <w:rsid w:val="506E233F"/>
    <w:rsid w:val="50761C86"/>
    <w:rsid w:val="507E184B"/>
    <w:rsid w:val="5080041E"/>
    <w:rsid w:val="508118E2"/>
    <w:rsid w:val="5087C078"/>
    <w:rsid w:val="5090F3C6"/>
    <w:rsid w:val="50933E57"/>
    <w:rsid w:val="50985F06"/>
    <w:rsid w:val="509B4F62"/>
    <w:rsid w:val="509EB83B"/>
    <w:rsid w:val="50A6D366"/>
    <w:rsid w:val="50ABA4C6"/>
    <w:rsid w:val="50B10FDA"/>
    <w:rsid w:val="50B91D09"/>
    <w:rsid w:val="50B923A2"/>
    <w:rsid w:val="50BAA1E7"/>
    <w:rsid w:val="50BD9D34"/>
    <w:rsid w:val="50C5A4E0"/>
    <w:rsid w:val="50C62BF6"/>
    <w:rsid w:val="50CCFAC3"/>
    <w:rsid w:val="50D0F02B"/>
    <w:rsid w:val="50D368B7"/>
    <w:rsid w:val="50D3A3EE"/>
    <w:rsid w:val="50D46D4B"/>
    <w:rsid w:val="50DB4EE7"/>
    <w:rsid w:val="50DC46BC"/>
    <w:rsid w:val="50DE177A"/>
    <w:rsid w:val="50E2B0AF"/>
    <w:rsid w:val="50E6029E"/>
    <w:rsid w:val="50ED5BE7"/>
    <w:rsid w:val="50EDAAAB"/>
    <w:rsid w:val="50EDEA09"/>
    <w:rsid w:val="50EE4C57"/>
    <w:rsid w:val="50F0468E"/>
    <w:rsid w:val="50F657AC"/>
    <w:rsid w:val="50F689D2"/>
    <w:rsid w:val="50F76CAF"/>
    <w:rsid w:val="50F8A9A2"/>
    <w:rsid w:val="50FAADB6"/>
    <w:rsid w:val="510137FC"/>
    <w:rsid w:val="5104CF37"/>
    <w:rsid w:val="51069743"/>
    <w:rsid w:val="510912D5"/>
    <w:rsid w:val="51108249"/>
    <w:rsid w:val="5117CDA6"/>
    <w:rsid w:val="51196110"/>
    <w:rsid w:val="511E7237"/>
    <w:rsid w:val="512404B5"/>
    <w:rsid w:val="5128D033"/>
    <w:rsid w:val="5137DE3D"/>
    <w:rsid w:val="5139EF6C"/>
    <w:rsid w:val="513A6097"/>
    <w:rsid w:val="5140924F"/>
    <w:rsid w:val="514382BB"/>
    <w:rsid w:val="51490793"/>
    <w:rsid w:val="514DF7FB"/>
    <w:rsid w:val="51540A54"/>
    <w:rsid w:val="5163C537"/>
    <w:rsid w:val="516E31BE"/>
    <w:rsid w:val="517450CE"/>
    <w:rsid w:val="518C3B19"/>
    <w:rsid w:val="51A7FC0C"/>
    <w:rsid w:val="51B2B40C"/>
    <w:rsid w:val="51B4F7A1"/>
    <w:rsid w:val="51B977E1"/>
    <w:rsid w:val="51BAD368"/>
    <w:rsid w:val="51C8F94F"/>
    <w:rsid w:val="51D0E306"/>
    <w:rsid w:val="51D8054F"/>
    <w:rsid w:val="51D9CFBC"/>
    <w:rsid w:val="51DA5986"/>
    <w:rsid w:val="51DA6670"/>
    <w:rsid w:val="51E6C83F"/>
    <w:rsid w:val="51EFF58E"/>
    <w:rsid w:val="51F54C4F"/>
    <w:rsid w:val="51FB91F4"/>
    <w:rsid w:val="5205C079"/>
    <w:rsid w:val="521B0847"/>
    <w:rsid w:val="521B8BBC"/>
    <w:rsid w:val="521C3497"/>
    <w:rsid w:val="52221AD5"/>
    <w:rsid w:val="52244B5D"/>
    <w:rsid w:val="5226F3CD"/>
    <w:rsid w:val="522B7CE1"/>
    <w:rsid w:val="522C57FB"/>
    <w:rsid w:val="52352068"/>
    <w:rsid w:val="5237B8C6"/>
    <w:rsid w:val="523FE563"/>
    <w:rsid w:val="52405AC5"/>
    <w:rsid w:val="52461C84"/>
    <w:rsid w:val="525B13B5"/>
    <w:rsid w:val="525FD45D"/>
    <w:rsid w:val="52635BFD"/>
    <w:rsid w:val="5277273E"/>
    <w:rsid w:val="5281A371"/>
    <w:rsid w:val="5285311B"/>
    <w:rsid w:val="528DB5E4"/>
    <w:rsid w:val="528FBAAB"/>
    <w:rsid w:val="52996B99"/>
    <w:rsid w:val="52ABBE50"/>
    <w:rsid w:val="52B28D74"/>
    <w:rsid w:val="52C116E5"/>
    <w:rsid w:val="52C2E044"/>
    <w:rsid w:val="52CD3BF5"/>
    <w:rsid w:val="52D21E93"/>
    <w:rsid w:val="52D4A881"/>
    <w:rsid w:val="52D7B5D1"/>
    <w:rsid w:val="52E55535"/>
    <w:rsid w:val="52E7460F"/>
    <w:rsid w:val="52E98A36"/>
    <w:rsid w:val="52E9DDA7"/>
    <w:rsid w:val="52EA05A0"/>
    <w:rsid w:val="52EF25CC"/>
    <w:rsid w:val="52F8BDAC"/>
    <w:rsid w:val="5301CCFE"/>
    <w:rsid w:val="53027A34"/>
    <w:rsid w:val="530655ED"/>
    <w:rsid w:val="530A284B"/>
    <w:rsid w:val="53162335"/>
    <w:rsid w:val="53179671"/>
    <w:rsid w:val="531A4F15"/>
    <w:rsid w:val="531E7AF8"/>
    <w:rsid w:val="532BB827"/>
    <w:rsid w:val="532DB55A"/>
    <w:rsid w:val="53301AA2"/>
    <w:rsid w:val="53451BD6"/>
    <w:rsid w:val="53471308"/>
    <w:rsid w:val="534897A7"/>
    <w:rsid w:val="534D718C"/>
    <w:rsid w:val="534E97C8"/>
    <w:rsid w:val="535B2122"/>
    <w:rsid w:val="53600395"/>
    <w:rsid w:val="5361F7F9"/>
    <w:rsid w:val="536D47E2"/>
    <w:rsid w:val="5370D537"/>
    <w:rsid w:val="538AF02B"/>
    <w:rsid w:val="539772BE"/>
    <w:rsid w:val="53A1B278"/>
    <w:rsid w:val="53A682F5"/>
    <w:rsid w:val="53A831CF"/>
    <w:rsid w:val="53AA47AE"/>
    <w:rsid w:val="53ABBC01"/>
    <w:rsid w:val="53AF7AE7"/>
    <w:rsid w:val="53B5B661"/>
    <w:rsid w:val="53B8354E"/>
    <w:rsid w:val="53C2C4D5"/>
    <w:rsid w:val="53C3A608"/>
    <w:rsid w:val="53CDC224"/>
    <w:rsid w:val="53D0405B"/>
    <w:rsid w:val="53D0E794"/>
    <w:rsid w:val="53D2F8D1"/>
    <w:rsid w:val="53D33CAE"/>
    <w:rsid w:val="53D47990"/>
    <w:rsid w:val="53DCD811"/>
    <w:rsid w:val="53E31312"/>
    <w:rsid w:val="53E42D80"/>
    <w:rsid w:val="53E663D5"/>
    <w:rsid w:val="53EF6173"/>
    <w:rsid w:val="53F0D873"/>
    <w:rsid w:val="53FC05A4"/>
    <w:rsid w:val="5404E1B7"/>
    <w:rsid w:val="54053ACB"/>
    <w:rsid w:val="5408F519"/>
    <w:rsid w:val="540B50B1"/>
    <w:rsid w:val="540E4591"/>
    <w:rsid w:val="5414E24F"/>
    <w:rsid w:val="541527F3"/>
    <w:rsid w:val="54176D85"/>
    <w:rsid w:val="541B20FF"/>
    <w:rsid w:val="541C176C"/>
    <w:rsid w:val="54202261"/>
    <w:rsid w:val="54211721"/>
    <w:rsid w:val="542A7A4D"/>
    <w:rsid w:val="542BE7A6"/>
    <w:rsid w:val="542DFB8B"/>
    <w:rsid w:val="542E6474"/>
    <w:rsid w:val="542FF200"/>
    <w:rsid w:val="5431F269"/>
    <w:rsid w:val="5435041C"/>
    <w:rsid w:val="543813FE"/>
    <w:rsid w:val="545CCC77"/>
    <w:rsid w:val="546179F5"/>
    <w:rsid w:val="54628293"/>
    <w:rsid w:val="546A5D78"/>
    <w:rsid w:val="5474DDC7"/>
    <w:rsid w:val="547743E8"/>
    <w:rsid w:val="54852238"/>
    <w:rsid w:val="548558FB"/>
    <w:rsid w:val="5486BAB5"/>
    <w:rsid w:val="5489AB51"/>
    <w:rsid w:val="548FC35E"/>
    <w:rsid w:val="54949F29"/>
    <w:rsid w:val="54A74951"/>
    <w:rsid w:val="54ADD1CE"/>
    <w:rsid w:val="54B1C42D"/>
    <w:rsid w:val="54BC113B"/>
    <w:rsid w:val="54BE4201"/>
    <w:rsid w:val="54C35CC6"/>
    <w:rsid w:val="54CA80EE"/>
    <w:rsid w:val="54D76136"/>
    <w:rsid w:val="54DC7290"/>
    <w:rsid w:val="54DF0E44"/>
    <w:rsid w:val="54EEE760"/>
    <w:rsid w:val="54F012A2"/>
    <w:rsid w:val="54F1C0D5"/>
    <w:rsid w:val="54FEDD9C"/>
    <w:rsid w:val="5508FF0A"/>
    <w:rsid w:val="550B0768"/>
    <w:rsid w:val="550F894E"/>
    <w:rsid w:val="55105C65"/>
    <w:rsid w:val="551438C6"/>
    <w:rsid w:val="551A6B4F"/>
    <w:rsid w:val="5523DDB3"/>
    <w:rsid w:val="552B378F"/>
    <w:rsid w:val="552B6BEC"/>
    <w:rsid w:val="5536F09E"/>
    <w:rsid w:val="554F7880"/>
    <w:rsid w:val="5553FEF5"/>
    <w:rsid w:val="555F3582"/>
    <w:rsid w:val="55656A3F"/>
    <w:rsid w:val="55671346"/>
    <w:rsid w:val="557529AC"/>
    <w:rsid w:val="55789D54"/>
    <w:rsid w:val="55790D57"/>
    <w:rsid w:val="5581985F"/>
    <w:rsid w:val="5594BDB1"/>
    <w:rsid w:val="55A220F6"/>
    <w:rsid w:val="55AB5CCB"/>
    <w:rsid w:val="55ABCEEA"/>
    <w:rsid w:val="55B621D2"/>
    <w:rsid w:val="55BB569A"/>
    <w:rsid w:val="55BDF9CC"/>
    <w:rsid w:val="55C29C51"/>
    <w:rsid w:val="55C2AABA"/>
    <w:rsid w:val="55CE0960"/>
    <w:rsid w:val="55D1DE45"/>
    <w:rsid w:val="55E86500"/>
    <w:rsid w:val="55F5B0F8"/>
    <w:rsid w:val="56009836"/>
    <w:rsid w:val="5604F15B"/>
    <w:rsid w:val="560B72A6"/>
    <w:rsid w:val="560E7C6D"/>
    <w:rsid w:val="5613166B"/>
    <w:rsid w:val="56199D86"/>
    <w:rsid w:val="561AA238"/>
    <w:rsid w:val="5624AEB4"/>
    <w:rsid w:val="56321EFF"/>
    <w:rsid w:val="564BEF4D"/>
    <w:rsid w:val="565C9855"/>
    <w:rsid w:val="566262DC"/>
    <w:rsid w:val="566F18CD"/>
    <w:rsid w:val="56730DC2"/>
    <w:rsid w:val="56738FDB"/>
    <w:rsid w:val="5674D6B6"/>
    <w:rsid w:val="567A739C"/>
    <w:rsid w:val="568B3ACA"/>
    <w:rsid w:val="569189E9"/>
    <w:rsid w:val="5694017A"/>
    <w:rsid w:val="5699B600"/>
    <w:rsid w:val="56B8900D"/>
    <w:rsid w:val="56BD0148"/>
    <w:rsid w:val="56C1C9F5"/>
    <w:rsid w:val="56C6A16B"/>
    <w:rsid w:val="56CE385C"/>
    <w:rsid w:val="56CF6AC3"/>
    <w:rsid w:val="56D73D3B"/>
    <w:rsid w:val="56DAD618"/>
    <w:rsid w:val="56DDD1AD"/>
    <w:rsid w:val="56E96B1F"/>
    <w:rsid w:val="56ECF313"/>
    <w:rsid w:val="56ED59CF"/>
    <w:rsid w:val="5702A339"/>
    <w:rsid w:val="570350A9"/>
    <w:rsid w:val="570F8BB1"/>
    <w:rsid w:val="5718E855"/>
    <w:rsid w:val="5720BB39"/>
    <w:rsid w:val="57274C83"/>
    <w:rsid w:val="5729344F"/>
    <w:rsid w:val="57300922"/>
    <w:rsid w:val="5734A11D"/>
    <w:rsid w:val="5749C277"/>
    <w:rsid w:val="5749CC9F"/>
    <w:rsid w:val="5756BD47"/>
    <w:rsid w:val="576B7FBA"/>
    <w:rsid w:val="576C6233"/>
    <w:rsid w:val="577C47FE"/>
    <w:rsid w:val="57809C52"/>
    <w:rsid w:val="57841DC6"/>
    <w:rsid w:val="57864259"/>
    <w:rsid w:val="57989838"/>
    <w:rsid w:val="5799B600"/>
    <w:rsid w:val="579BDDE6"/>
    <w:rsid w:val="57A72CE9"/>
    <w:rsid w:val="57AAC31C"/>
    <w:rsid w:val="57AD88E9"/>
    <w:rsid w:val="57ADC80B"/>
    <w:rsid w:val="57B1BFA1"/>
    <w:rsid w:val="57B4A631"/>
    <w:rsid w:val="57C3F99C"/>
    <w:rsid w:val="57C55316"/>
    <w:rsid w:val="57D39584"/>
    <w:rsid w:val="57D6A384"/>
    <w:rsid w:val="57E94CA3"/>
    <w:rsid w:val="57E9C4EB"/>
    <w:rsid w:val="57EE4EDA"/>
    <w:rsid w:val="57EFB7F2"/>
    <w:rsid w:val="57F0778C"/>
    <w:rsid w:val="57F092DC"/>
    <w:rsid w:val="57F1BCD3"/>
    <w:rsid w:val="57F4F9E3"/>
    <w:rsid w:val="57FE693E"/>
    <w:rsid w:val="58017FDA"/>
    <w:rsid w:val="58092240"/>
    <w:rsid w:val="58171CED"/>
    <w:rsid w:val="582BB3CC"/>
    <w:rsid w:val="583A36A5"/>
    <w:rsid w:val="583B52B3"/>
    <w:rsid w:val="584F8BD1"/>
    <w:rsid w:val="584FD962"/>
    <w:rsid w:val="58515112"/>
    <w:rsid w:val="5852EA87"/>
    <w:rsid w:val="585B2399"/>
    <w:rsid w:val="585D2891"/>
    <w:rsid w:val="58618C3A"/>
    <w:rsid w:val="586B3B24"/>
    <w:rsid w:val="5872775A"/>
    <w:rsid w:val="5877BACF"/>
    <w:rsid w:val="5877D680"/>
    <w:rsid w:val="587FD1CE"/>
    <w:rsid w:val="58853FA9"/>
    <w:rsid w:val="589138BE"/>
    <w:rsid w:val="5895ECD7"/>
    <w:rsid w:val="58A4AB3D"/>
    <w:rsid w:val="58A6BE48"/>
    <w:rsid w:val="58AC1935"/>
    <w:rsid w:val="58AF20A9"/>
    <w:rsid w:val="58B321E6"/>
    <w:rsid w:val="58B48708"/>
    <w:rsid w:val="58B79EA3"/>
    <w:rsid w:val="58B7EF74"/>
    <w:rsid w:val="58C09DE8"/>
    <w:rsid w:val="58CBD983"/>
    <w:rsid w:val="58D00608"/>
    <w:rsid w:val="58DCAA2E"/>
    <w:rsid w:val="58E3ACAE"/>
    <w:rsid w:val="58EB84D8"/>
    <w:rsid w:val="58EBB54E"/>
    <w:rsid w:val="58FCE533"/>
    <w:rsid w:val="59005B52"/>
    <w:rsid w:val="590347FB"/>
    <w:rsid w:val="59045FA5"/>
    <w:rsid w:val="590949F1"/>
    <w:rsid w:val="59097F07"/>
    <w:rsid w:val="590A740D"/>
    <w:rsid w:val="59108F59"/>
    <w:rsid w:val="591B8497"/>
    <w:rsid w:val="592132B8"/>
    <w:rsid w:val="5929ADFB"/>
    <w:rsid w:val="592A853A"/>
    <w:rsid w:val="59450151"/>
    <w:rsid w:val="5949198E"/>
    <w:rsid w:val="5951E88A"/>
    <w:rsid w:val="59533BC6"/>
    <w:rsid w:val="59570144"/>
    <w:rsid w:val="5959D409"/>
    <w:rsid w:val="596043A2"/>
    <w:rsid w:val="596EE4A1"/>
    <w:rsid w:val="59722387"/>
    <w:rsid w:val="59742059"/>
    <w:rsid w:val="5978DF65"/>
    <w:rsid w:val="597B67D9"/>
    <w:rsid w:val="5987AF36"/>
    <w:rsid w:val="598B95D9"/>
    <w:rsid w:val="598F4063"/>
    <w:rsid w:val="5993DCC6"/>
    <w:rsid w:val="59A2AF53"/>
    <w:rsid w:val="59ADE2A8"/>
    <w:rsid w:val="59AE193D"/>
    <w:rsid w:val="59AEF2BE"/>
    <w:rsid w:val="59C2359F"/>
    <w:rsid w:val="59CF157F"/>
    <w:rsid w:val="59F3ACE5"/>
    <w:rsid w:val="59F7A1B3"/>
    <w:rsid w:val="59FF0D85"/>
    <w:rsid w:val="5A0B035B"/>
    <w:rsid w:val="5A133D6D"/>
    <w:rsid w:val="5A1A34FD"/>
    <w:rsid w:val="5A2252DE"/>
    <w:rsid w:val="5A26BB56"/>
    <w:rsid w:val="5A2D2EA1"/>
    <w:rsid w:val="5A35B1BD"/>
    <w:rsid w:val="5A3841F8"/>
    <w:rsid w:val="5A440196"/>
    <w:rsid w:val="5A527C18"/>
    <w:rsid w:val="5A564F85"/>
    <w:rsid w:val="5A5835A8"/>
    <w:rsid w:val="5A58AFE7"/>
    <w:rsid w:val="5A677713"/>
    <w:rsid w:val="5A6A223F"/>
    <w:rsid w:val="5A6F1C66"/>
    <w:rsid w:val="5A764308"/>
    <w:rsid w:val="5A76FB14"/>
    <w:rsid w:val="5A7B231C"/>
    <w:rsid w:val="5A80A102"/>
    <w:rsid w:val="5A820211"/>
    <w:rsid w:val="5A8A8F17"/>
    <w:rsid w:val="5A8B6B95"/>
    <w:rsid w:val="5A8BD902"/>
    <w:rsid w:val="5A8F1D46"/>
    <w:rsid w:val="5A8F737D"/>
    <w:rsid w:val="5A90F6C3"/>
    <w:rsid w:val="5A92CB45"/>
    <w:rsid w:val="5A930EDF"/>
    <w:rsid w:val="5A94AD88"/>
    <w:rsid w:val="5AA5D82B"/>
    <w:rsid w:val="5AAE8C48"/>
    <w:rsid w:val="5AB6A6BE"/>
    <w:rsid w:val="5ACA43DF"/>
    <w:rsid w:val="5ACAD517"/>
    <w:rsid w:val="5AD8CC27"/>
    <w:rsid w:val="5ADDA0C6"/>
    <w:rsid w:val="5ADDF063"/>
    <w:rsid w:val="5ADE2E17"/>
    <w:rsid w:val="5AE0BF98"/>
    <w:rsid w:val="5AE35830"/>
    <w:rsid w:val="5AE456D4"/>
    <w:rsid w:val="5AE64BB0"/>
    <w:rsid w:val="5AE78F4D"/>
    <w:rsid w:val="5AEF2465"/>
    <w:rsid w:val="5AF42127"/>
    <w:rsid w:val="5B097A4C"/>
    <w:rsid w:val="5B09C69E"/>
    <w:rsid w:val="5B0E2417"/>
    <w:rsid w:val="5B0F5DAA"/>
    <w:rsid w:val="5B1C051E"/>
    <w:rsid w:val="5B30661C"/>
    <w:rsid w:val="5B347284"/>
    <w:rsid w:val="5B49526E"/>
    <w:rsid w:val="5B4B0268"/>
    <w:rsid w:val="5B50C07A"/>
    <w:rsid w:val="5B5325D7"/>
    <w:rsid w:val="5B564AFA"/>
    <w:rsid w:val="5B597DFB"/>
    <w:rsid w:val="5B603D6E"/>
    <w:rsid w:val="5B60D507"/>
    <w:rsid w:val="5B645CDE"/>
    <w:rsid w:val="5B65006D"/>
    <w:rsid w:val="5B678694"/>
    <w:rsid w:val="5B6789A5"/>
    <w:rsid w:val="5B67E2E8"/>
    <w:rsid w:val="5B682051"/>
    <w:rsid w:val="5B699E80"/>
    <w:rsid w:val="5B6BE07B"/>
    <w:rsid w:val="5B6F4ABA"/>
    <w:rsid w:val="5B6FB6C3"/>
    <w:rsid w:val="5B702A47"/>
    <w:rsid w:val="5B748387"/>
    <w:rsid w:val="5B83A1C9"/>
    <w:rsid w:val="5BA0F999"/>
    <w:rsid w:val="5BA6B541"/>
    <w:rsid w:val="5BAF32B7"/>
    <w:rsid w:val="5BBBA88A"/>
    <w:rsid w:val="5BBFDB57"/>
    <w:rsid w:val="5BC7EC17"/>
    <w:rsid w:val="5BD2E5BE"/>
    <w:rsid w:val="5BD9DE21"/>
    <w:rsid w:val="5BDA1E67"/>
    <w:rsid w:val="5BDA2670"/>
    <w:rsid w:val="5BDC5525"/>
    <w:rsid w:val="5BDD8FAA"/>
    <w:rsid w:val="5BE4F3D7"/>
    <w:rsid w:val="5BE7EA52"/>
    <w:rsid w:val="5BEB084B"/>
    <w:rsid w:val="5BF586C3"/>
    <w:rsid w:val="5C0567D6"/>
    <w:rsid w:val="5C09E653"/>
    <w:rsid w:val="5C134934"/>
    <w:rsid w:val="5C143A4A"/>
    <w:rsid w:val="5C1C6943"/>
    <w:rsid w:val="5C293249"/>
    <w:rsid w:val="5C2CB967"/>
    <w:rsid w:val="5C3485F5"/>
    <w:rsid w:val="5C48AE9D"/>
    <w:rsid w:val="5C4A43E9"/>
    <w:rsid w:val="5C571F0F"/>
    <w:rsid w:val="5C660B41"/>
    <w:rsid w:val="5C66B845"/>
    <w:rsid w:val="5C6D6442"/>
    <w:rsid w:val="5C6D7B01"/>
    <w:rsid w:val="5C711CD1"/>
    <w:rsid w:val="5C723DA0"/>
    <w:rsid w:val="5C77D679"/>
    <w:rsid w:val="5C82E292"/>
    <w:rsid w:val="5C8DDE2E"/>
    <w:rsid w:val="5C901541"/>
    <w:rsid w:val="5C90884F"/>
    <w:rsid w:val="5C9D34C3"/>
    <w:rsid w:val="5CA14363"/>
    <w:rsid w:val="5CABF93A"/>
    <w:rsid w:val="5CADE37C"/>
    <w:rsid w:val="5CAE8988"/>
    <w:rsid w:val="5CBA32CA"/>
    <w:rsid w:val="5CC23229"/>
    <w:rsid w:val="5CCC8FFD"/>
    <w:rsid w:val="5CD1CEA4"/>
    <w:rsid w:val="5CD76853"/>
    <w:rsid w:val="5CDDB7A5"/>
    <w:rsid w:val="5CDEA4B6"/>
    <w:rsid w:val="5CE9E221"/>
    <w:rsid w:val="5CEE924A"/>
    <w:rsid w:val="5CF2AEC4"/>
    <w:rsid w:val="5CF417D0"/>
    <w:rsid w:val="5CF53984"/>
    <w:rsid w:val="5CF636D3"/>
    <w:rsid w:val="5CFE8E31"/>
    <w:rsid w:val="5D05681B"/>
    <w:rsid w:val="5D0B59A0"/>
    <w:rsid w:val="5D176A1D"/>
    <w:rsid w:val="5D1B1B65"/>
    <w:rsid w:val="5D1D035F"/>
    <w:rsid w:val="5D1DEC5E"/>
    <w:rsid w:val="5D290017"/>
    <w:rsid w:val="5D2B821D"/>
    <w:rsid w:val="5D2BB116"/>
    <w:rsid w:val="5D2CB864"/>
    <w:rsid w:val="5D2E614C"/>
    <w:rsid w:val="5D34FD64"/>
    <w:rsid w:val="5D398E2D"/>
    <w:rsid w:val="5D4665F0"/>
    <w:rsid w:val="5D48DB13"/>
    <w:rsid w:val="5D4DD79A"/>
    <w:rsid w:val="5D514344"/>
    <w:rsid w:val="5D5D3763"/>
    <w:rsid w:val="5D6E65DB"/>
    <w:rsid w:val="5D78C63F"/>
    <w:rsid w:val="5D87D2C9"/>
    <w:rsid w:val="5D8D54B0"/>
    <w:rsid w:val="5D8F0814"/>
    <w:rsid w:val="5D969B9F"/>
    <w:rsid w:val="5D9CFEBB"/>
    <w:rsid w:val="5DAD61A8"/>
    <w:rsid w:val="5DBECDC7"/>
    <w:rsid w:val="5DC7D38C"/>
    <w:rsid w:val="5DCC4F99"/>
    <w:rsid w:val="5DCED7C5"/>
    <w:rsid w:val="5DD1F606"/>
    <w:rsid w:val="5DD2DEF8"/>
    <w:rsid w:val="5DD34389"/>
    <w:rsid w:val="5DD621BC"/>
    <w:rsid w:val="5DD8AD6C"/>
    <w:rsid w:val="5DDA5B65"/>
    <w:rsid w:val="5DDB3EA6"/>
    <w:rsid w:val="5DDFD7F4"/>
    <w:rsid w:val="5DF1AFFC"/>
    <w:rsid w:val="5DF3CAA4"/>
    <w:rsid w:val="5DFA99BD"/>
    <w:rsid w:val="5E05D443"/>
    <w:rsid w:val="5E08851A"/>
    <w:rsid w:val="5E0DB587"/>
    <w:rsid w:val="5E131785"/>
    <w:rsid w:val="5E14DB3E"/>
    <w:rsid w:val="5E184989"/>
    <w:rsid w:val="5E197D8E"/>
    <w:rsid w:val="5E2408C9"/>
    <w:rsid w:val="5E24742E"/>
    <w:rsid w:val="5E2B9550"/>
    <w:rsid w:val="5E39FC62"/>
    <w:rsid w:val="5E49429F"/>
    <w:rsid w:val="5E4A706C"/>
    <w:rsid w:val="5E57AA81"/>
    <w:rsid w:val="5E5F7D8F"/>
    <w:rsid w:val="5E639D09"/>
    <w:rsid w:val="5E7863C4"/>
    <w:rsid w:val="5E7BB8EB"/>
    <w:rsid w:val="5E8756D5"/>
    <w:rsid w:val="5E894829"/>
    <w:rsid w:val="5E9158AB"/>
    <w:rsid w:val="5E9D66B3"/>
    <w:rsid w:val="5EA121E5"/>
    <w:rsid w:val="5EA299E8"/>
    <w:rsid w:val="5EA5D9A5"/>
    <w:rsid w:val="5EAA5DF7"/>
    <w:rsid w:val="5EB3C831"/>
    <w:rsid w:val="5EB8925C"/>
    <w:rsid w:val="5EB9BCBF"/>
    <w:rsid w:val="5EBF4F9B"/>
    <w:rsid w:val="5EC58579"/>
    <w:rsid w:val="5EC761C0"/>
    <w:rsid w:val="5EC783F9"/>
    <w:rsid w:val="5ECBBA78"/>
    <w:rsid w:val="5ED0CEA1"/>
    <w:rsid w:val="5ED44233"/>
    <w:rsid w:val="5ED76047"/>
    <w:rsid w:val="5EE0D899"/>
    <w:rsid w:val="5EE8759C"/>
    <w:rsid w:val="5EEA53AB"/>
    <w:rsid w:val="5EF2125D"/>
    <w:rsid w:val="5EF297FD"/>
    <w:rsid w:val="5EFADD3A"/>
    <w:rsid w:val="5F06DA01"/>
    <w:rsid w:val="5F0F8228"/>
    <w:rsid w:val="5F1B0D75"/>
    <w:rsid w:val="5F249860"/>
    <w:rsid w:val="5F252949"/>
    <w:rsid w:val="5F275B3F"/>
    <w:rsid w:val="5F3EE37D"/>
    <w:rsid w:val="5F3F2782"/>
    <w:rsid w:val="5F4A4BBF"/>
    <w:rsid w:val="5F4B0D84"/>
    <w:rsid w:val="5F4B5457"/>
    <w:rsid w:val="5F4DA297"/>
    <w:rsid w:val="5F501484"/>
    <w:rsid w:val="5F563052"/>
    <w:rsid w:val="5F5EBBCB"/>
    <w:rsid w:val="5F65F1D2"/>
    <w:rsid w:val="5F74143D"/>
    <w:rsid w:val="5F776AFF"/>
    <w:rsid w:val="5F810AD5"/>
    <w:rsid w:val="5F9ACC23"/>
    <w:rsid w:val="5F9EDB89"/>
    <w:rsid w:val="5FAA4172"/>
    <w:rsid w:val="5FC88140"/>
    <w:rsid w:val="5FCA0318"/>
    <w:rsid w:val="5FCA23F9"/>
    <w:rsid w:val="5FCD758C"/>
    <w:rsid w:val="5FD711AD"/>
    <w:rsid w:val="5FD92DC4"/>
    <w:rsid w:val="5FEF0D71"/>
    <w:rsid w:val="5FFC36FD"/>
    <w:rsid w:val="5FFF4C5B"/>
    <w:rsid w:val="6001F172"/>
    <w:rsid w:val="6003E148"/>
    <w:rsid w:val="6007987C"/>
    <w:rsid w:val="6009DEF8"/>
    <w:rsid w:val="600BE488"/>
    <w:rsid w:val="60157349"/>
    <w:rsid w:val="6016F34A"/>
    <w:rsid w:val="60177AE8"/>
    <w:rsid w:val="60394252"/>
    <w:rsid w:val="60420238"/>
    <w:rsid w:val="60424C0B"/>
    <w:rsid w:val="60454533"/>
    <w:rsid w:val="6045B971"/>
    <w:rsid w:val="604CB385"/>
    <w:rsid w:val="604D172B"/>
    <w:rsid w:val="6051F84F"/>
    <w:rsid w:val="60545DB1"/>
    <w:rsid w:val="605532C9"/>
    <w:rsid w:val="6058A13D"/>
    <w:rsid w:val="60591A0F"/>
    <w:rsid w:val="605F4288"/>
    <w:rsid w:val="605FFBA4"/>
    <w:rsid w:val="6065F03C"/>
    <w:rsid w:val="606D89A3"/>
    <w:rsid w:val="60746CF8"/>
    <w:rsid w:val="6085007D"/>
    <w:rsid w:val="6089A3CE"/>
    <w:rsid w:val="60991F27"/>
    <w:rsid w:val="609BC236"/>
    <w:rsid w:val="60A08B48"/>
    <w:rsid w:val="60A22DEF"/>
    <w:rsid w:val="60A8D753"/>
    <w:rsid w:val="60AABB11"/>
    <w:rsid w:val="60AE51DA"/>
    <w:rsid w:val="60B0414F"/>
    <w:rsid w:val="60B488E0"/>
    <w:rsid w:val="60CA3868"/>
    <w:rsid w:val="60CF8B05"/>
    <w:rsid w:val="60D21AE2"/>
    <w:rsid w:val="60D3E5F3"/>
    <w:rsid w:val="60D7D4AF"/>
    <w:rsid w:val="60E0A5EF"/>
    <w:rsid w:val="60E0DB25"/>
    <w:rsid w:val="60E3DB58"/>
    <w:rsid w:val="60E99F05"/>
    <w:rsid w:val="60EF2F1B"/>
    <w:rsid w:val="60F39C4D"/>
    <w:rsid w:val="60F91ACE"/>
    <w:rsid w:val="60FA759B"/>
    <w:rsid w:val="60FD0686"/>
    <w:rsid w:val="60FFD857"/>
    <w:rsid w:val="610F3F1F"/>
    <w:rsid w:val="61119872"/>
    <w:rsid w:val="61151384"/>
    <w:rsid w:val="6119047E"/>
    <w:rsid w:val="612317B5"/>
    <w:rsid w:val="61248DDB"/>
    <w:rsid w:val="612647FD"/>
    <w:rsid w:val="612BFE7D"/>
    <w:rsid w:val="613B52D3"/>
    <w:rsid w:val="613BA016"/>
    <w:rsid w:val="61433FC8"/>
    <w:rsid w:val="6151FAB6"/>
    <w:rsid w:val="61538640"/>
    <w:rsid w:val="61547B30"/>
    <w:rsid w:val="61636447"/>
    <w:rsid w:val="61664F11"/>
    <w:rsid w:val="616BD03A"/>
    <w:rsid w:val="616D31BE"/>
    <w:rsid w:val="61730383"/>
    <w:rsid w:val="6178B5B1"/>
    <w:rsid w:val="6183F80A"/>
    <w:rsid w:val="6199A7DD"/>
    <w:rsid w:val="6199C7B8"/>
    <w:rsid w:val="61A4705F"/>
    <w:rsid w:val="61A53CC8"/>
    <w:rsid w:val="61A5AF59"/>
    <w:rsid w:val="61A7D338"/>
    <w:rsid w:val="61B0876A"/>
    <w:rsid w:val="61BC1B0E"/>
    <w:rsid w:val="61BCC4A1"/>
    <w:rsid w:val="61C43888"/>
    <w:rsid w:val="61D00312"/>
    <w:rsid w:val="61D38DFF"/>
    <w:rsid w:val="61D642F1"/>
    <w:rsid w:val="61DA0F9C"/>
    <w:rsid w:val="61DA8513"/>
    <w:rsid w:val="61DBC6C0"/>
    <w:rsid w:val="61E04E20"/>
    <w:rsid w:val="61E7472D"/>
    <w:rsid w:val="61E7CC47"/>
    <w:rsid w:val="61EF845B"/>
    <w:rsid w:val="61F8D198"/>
    <w:rsid w:val="61F9A73C"/>
    <w:rsid w:val="61FB680C"/>
    <w:rsid w:val="61FCE917"/>
    <w:rsid w:val="61FE069A"/>
    <w:rsid w:val="61FF3281"/>
    <w:rsid w:val="6202FC4A"/>
    <w:rsid w:val="62086F63"/>
    <w:rsid w:val="620BF414"/>
    <w:rsid w:val="6213AB95"/>
    <w:rsid w:val="6216E9F0"/>
    <w:rsid w:val="6219028E"/>
    <w:rsid w:val="621B7E6C"/>
    <w:rsid w:val="621BA295"/>
    <w:rsid w:val="6232CDD0"/>
    <w:rsid w:val="623DCA1A"/>
    <w:rsid w:val="623F43D8"/>
    <w:rsid w:val="623FB96D"/>
    <w:rsid w:val="624C3762"/>
    <w:rsid w:val="6251510B"/>
    <w:rsid w:val="625297C9"/>
    <w:rsid w:val="6257A28B"/>
    <w:rsid w:val="625C879F"/>
    <w:rsid w:val="62656D51"/>
    <w:rsid w:val="6273D5D5"/>
    <w:rsid w:val="627DD3AA"/>
    <w:rsid w:val="628331F5"/>
    <w:rsid w:val="62863B82"/>
    <w:rsid w:val="629EC9C6"/>
    <w:rsid w:val="62A49B91"/>
    <w:rsid w:val="62ACEFD0"/>
    <w:rsid w:val="62ADCD37"/>
    <w:rsid w:val="62B4E368"/>
    <w:rsid w:val="62B90B93"/>
    <w:rsid w:val="62BF2FF9"/>
    <w:rsid w:val="62C34415"/>
    <w:rsid w:val="62CD712D"/>
    <w:rsid w:val="62D8E68B"/>
    <w:rsid w:val="62DCA2D3"/>
    <w:rsid w:val="62DECFF7"/>
    <w:rsid w:val="62EF23E5"/>
    <w:rsid w:val="62F6B441"/>
    <w:rsid w:val="62F6DA67"/>
    <w:rsid w:val="62FB01E7"/>
    <w:rsid w:val="62FDA31B"/>
    <w:rsid w:val="63007CE1"/>
    <w:rsid w:val="6301C01E"/>
    <w:rsid w:val="6303F4A8"/>
    <w:rsid w:val="6306B4E1"/>
    <w:rsid w:val="630CCABC"/>
    <w:rsid w:val="631D1B93"/>
    <w:rsid w:val="6321F76B"/>
    <w:rsid w:val="632261F0"/>
    <w:rsid w:val="63246365"/>
    <w:rsid w:val="6336066D"/>
    <w:rsid w:val="63363060"/>
    <w:rsid w:val="633A6EDD"/>
    <w:rsid w:val="633E3BE6"/>
    <w:rsid w:val="63470EC3"/>
    <w:rsid w:val="6348728B"/>
    <w:rsid w:val="63605EF7"/>
    <w:rsid w:val="636D15F4"/>
    <w:rsid w:val="6377BE0E"/>
    <w:rsid w:val="63781BC3"/>
    <w:rsid w:val="637A6D1C"/>
    <w:rsid w:val="637FB104"/>
    <w:rsid w:val="638379B6"/>
    <w:rsid w:val="638E2796"/>
    <w:rsid w:val="6391D47E"/>
    <w:rsid w:val="6392ACCB"/>
    <w:rsid w:val="63931305"/>
    <w:rsid w:val="639C3DD7"/>
    <w:rsid w:val="63A2F80A"/>
    <w:rsid w:val="63A4EAC6"/>
    <w:rsid w:val="63B1F112"/>
    <w:rsid w:val="63BB45BB"/>
    <w:rsid w:val="63BB493C"/>
    <w:rsid w:val="63C1DE36"/>
    <w:rsid w:val="63CECEC5"/>
    <w:rsid w:val="63D9233D"/>
    <w:rsid w:val="63DAA960"/>
    <w:rsid w:val="63E4130E"/>
    <w:rsid w:val="63FEA780"/>
    <w:rsid w:val="64034645"/>
    <w:rsid w:val="6408E2F2"/>
    <w:rsid w:val="642D1034"/>
    <w:rsid w:val="642ED85B"/>
    <w:rsid w:val="6435963F"/>
    <w:rsid w:val="6442E247"/>
    <w:rsid w:val="6453F689"/>
    <w:rsid w:val="645A6489"/>
    <w:rsid w:val="645C9760"/>
    <w:rsid w:val="646537C0"/>
    <w:rsid w:val="64654A5B"/>
    <w:rsid w:val="64696A22"/>
    <w:rsid w:val="64708350"/>
    <w:rsid w:val="64752928"/>
    <w:rsid w:val="6479A85C"/>
    <w:rsid w:val="648435C9"/>
    <w:rsid w:val="64844B61"/>
    <w:rsid w:val="6484719D"/>
    <w:rsid w:val="64869CAC"/>
    <w:rsid w:val="64A33A9D"/>
    <w:rsid w:val="64A7BC2C"/>
    <w:rsid w:val="64AEE278"/>
    <w:rsid w:val="64B4A9C5"/>
    <w:rsid w:val="64B9467A"/>
    <w:rsid w:val="64BBDDEB"/>
    <w:rsid w:val="64BEE23D"/>
    <w:rsid w:val="64C089F4"/>
    <w:rsid w:val="64C2E937"/>
    <w:rsid w:val="64C6E9A6"/>
    <w:rsid w:val="64C97A6B"/>
    <w:rsid w:val="64CC66A4"/>
    <w:rsid w:val="64CFAB7B"/>
    <w:rsid w:val="64D2AB45"/>
    <w:rsid w:val="64D30326"/>
    <w:rsid w:val="64D64FBC"/>
    <w:rsid w:val="64D6B63E"/>
    <w:rsid w:val="64DF69BB"/>
    <w:rsid w:val="64E2606B"/>
    <w:rsid w:val="64E2EB09"/>
    <w:rsid w:val="64E63386"/>
    <w:rsid w:val="64EC5B4E"/>
    <w:rsid w:val="64EF1960"/>
    <w:rsid w:val="64F0F87E"/>
    <w:rsid w:val="64F35207"/>
    <w:rsid w:val="64F4DE1D"/>
    <w:rsid w:val="65076057"/>
    <w:rsid w:val="650EA9B5"/>
    <w:rsid w:val="6517D0A8"/>
    <w:rsid w:val="651B8417"/>
    <w:rsid w:val="651E4A37"/>
    <w:rsid w:val="6523EABC"/>
    <w:rsid w:val="6525FDAF"/>
    <w:rsid w:val="652D1481"/>
    <w:rsid w:val="65362CA7"/>
    <w:rsid w:val="653974FE"/>
    <w:rsid w:val="65398D4D"/>
    <w:rsid w:val="653F22E8"/>
    <w:rsid w:val="65405074"/>
    <w:rsid w:val="654A56B5"/>
    <w:rsid w:val="65557966"/>
    <w:rsid w:val="65562477"/>
    <w:rsid w:val="6556BC6B"/>
    <w:rsid w:val="655E0823"/>
    <w:rsid w:val="6565B196"/>
    <w:rsid w:val="65744F0B"/>
    <w:rsid w:val="65772D3A"/>
    <w:rsid w:val="657A590D"/>
    <w:rsid w:val="657F4BF7"/>
    <w:rsid w:val="6588642B"/>
    <w:rsid w:val="658AE1F4"/>
    <w:rsid w:val="658B475F"/>
    <w:rsid w:val="658C79A2"/>
    <w:rsid w:val="659085B5"/>
    <w:rsid w:val="659503C1"/>
    <w:rsid w:val="65951A06"/>
    <w:rsid w:val="659D3068"/>
    <w:rsid w:val="65A0D269"/>
    <w:rsid w:val="65A1DC49"/>
    <w:rsid w:val="65A36807"/>
    <w:rsid w:val="65A45D43"/>
    <w:rsid w:val="65A5B6B9"/>
    <w:rsid w:val="65A7841C"/>
    <w:rsid w:val="65A8E407"/>
    <w:rsid w:val="65AAFC59"/>
    <w:rsid w:val="65AB427E"/>
    <w:rsid w:val="65B71D3C"/>
    <w:rsid w:val="65BE5FA6"/>
    <w:rsid w:val="65BEFEBD"/>
    <w:rsid w:val="65C1F295"/>
    <w:rsid w:val="65C4FC30"/>
    <w:rsid w:val="65D169CA"/>
    <w:rsid w:val="65DD5CD3"/>
    <w:rsid w:val="65DEBBA3"/>
    <w:rsid w:val="65E24DE5"/>
    <w:rsid w:val="65EF7CEE"/>
    <w:rsid w:val="65F3AB9A"/>
    <w:rsid w:val="66105F35"/>
    <w:rsid w:val="66116D87"/>
    <w:rsid w:val="661CBFF5"/>
    <w:rsid w:val="6629FD3C"/>
    <w:rsid w:val="662BEDB7"/>
    <w:rsid w:val="662F46EB"/>
    <w:rsid w:val="6634F6D6"/>
    <w:rsid w:val="66365876"/>
    <w:rsid w:val="663BEA0C"/>
    <w:rsid w:val="664131A2"/>
    <w:rsid w:val="66455AC4"/>
    <w:rsid w:val="664669A7"/>
    <w:rsid w:val="6663A47E"/>
    <w:rsid w:val="66645C36"/>
    <w:rsid w:val="666EE3A5"/>
    <w:rsid w:val="666FD868"/>
    <w:rsid w:val="6672D88C"/>
    <w:rsid w:val="6673F2DA"/>
    <w:rsid w:val="667CF8A3"/>
    <w:rsid w:val="668ECE21"/>
    <w:rsid w:val="66917F94"/>
    <w:rsid w:val="66C16E57"/>
    <w:rsid w:val="66D2DDE9"/>
    <w:rsid w:val="66E1385C"/>
    <w:rsid w:val="66E1E994"/>
    <w:rsid w:val="66F04853"/>
    <w:rsid w:val="66FFF406"/>
    <w:rsid w:val="6704C4C3"/>
    <w:rsid w:val="671A4158"/>
    <w:rsid w:val="671D04FE"/>
    <w:rsid w:val="6726BACB"/>
    <w:rsid w:val="6743551C"/>
    <w:rsid w:val="674EB592"/>
    <w:rsid w:val="6756485B"/>
    <w:rsid w:val="675902D4"/>
    <w:rsid w:val="67614237"/>
    <w:rsid w:val="6763C3F5"/>
    <w:rsid w:val="6765C736"/>
    <w:rsid w:val="6767DDEF"/>
    <w:rsid w:val="676CCA4C"/>
    <w:rsid w:val="676D73B7"/>
    <w:rsid w:val="67766AAC"/>
    <w:rsid w:val="677D35A2"/>
    <w:rsid w:val="677F72D5"/>
    <w:rsid w:val="6781905C"/>
    <w:rsid w:val="6785EA04"/>
    <w:rsid w:val="6787A900"/>
    <w:rsid w:val="678A1AEC"/>
    <w:rsid w:val="678A8C90"/>
    <w:rsid w:val="67988B5C"/>
    <w:rsid w:val="679C22DB"/>
    <w:rsid w:val="679C4A19"/>
    <w:rsid w:val="679E9C3C"/>
    <w:rsid w:val="67A347DE"/>
    <w:rsid w:val="67A40FD6"/>
    <w:rsid w:val="67A4E6D1"/>
    <w:rsid w:val="67A712D7"/>
    <w:rsid w:val="67A9F310"/>
    <w:rsid w:val="67AEA81D"/>
    <w:rsid w:val="67B4EC9A"/>
    <w:rsid w:val="67D69C41"/>
    <w:rsid w:val="67DE924E"/>
    <w:rsid w:val="67DFFF83"/>
    <w:rsid w:val="67E22392"/>
    <w:rsid w:val="67EDC752"/>
    <w:rsid w:val="67EFA521"/>
    <w:rsid w:val="67F82AB6"/>
    <w:rsid w:val="67FF7CE6"/>
    <w:rsid w:val="68000254"/>
    <w:rsid w:val="680559A4"/>
    <w:rsid w:val="6816ADD6"/>
    <w:rsid w:val="68212941"/>
    <w:rsid w:val="682CE13F"/>
    <w:rsid w:val="682E870B"/>
    <w:rsid w:val="68301FC0"/>
    <w:rsid w:val="683ACE2B"/>
    <w:rsid w:val="6843BF5F"/>
    <w:rsid w:val="6845FA5B"/>
    <w:rsid w:val="68477C46"/>
    <w:rsid w:val="6851105F"/>
    <w:rsid w:val="6853F625"/>
    <w:rsid w:val="68558E8A"/>
    <w:rsid w:val="685DAF70"/>
    <w:rsid w:val="6860BC22"/>
    <w:rsid w:val="68610276"/>
    <w:rsid w:val="686F6F94"/>
    <w:rsid w:val="6873EE60"/>
    <w:rsid w:val="6876C8D5"/>
    <w:rsid w:val="68823521"/>
    <w:rsid w:val="68875177"/>
    <w:rsid w:val="68918FC5"/>
    <w:rsid w:val="68964E16"/>
    <w:rsid w:val="689707BF"/>
    <w:rsid w:val="68A2210D"/>
    <w:rsid w:val="68A825AA"/>
    <w:rsid w:val="68AC5DAA"/>
    <w:rsid w:val="68AD429F"/>
    <w:rsid w:val="68B033DE"/>
    <w:rsid w:val="68B655B4"/>
    <w:rsid w:val="68BE619C"/>
    <w:rsid w:val="68BFBA3E"/>
    <w:rsid w:val="68CF956F"/>
    <w:rsid w:val="68E2A22B"/>
    <w:rsid w:val="68FEA1AD"/>
    <w:rsid w:val="6900B344"/>
    <w:rsid w:val="690BB658"/>
    <w:rsid w:val="6914BE84"/>
    <w:rsid w:val="691620C1"/>
    <w:rsid w:val="691EE710"/>
    <w:rsid w:val="691FA96A"/>
    <w:rsid w:val="6922ED7C"/>
    <w:rsid w:val="692F2745"/>
    <w:rsid w:val="69313ED2"/>
    <w:rsid w:val="693B021A"/>
    <w:rsid w:val="69619C86"/>
    <w:rsid w:val="69629EBD"/>
    <w:rsid w:val="696B0E4F"/>
    <w:rsid w:val="6973D3C3"/>
    <w:rsid w:val="697665F0"/>
    <w:rsid w:val="69776276"/>
    <w:rsid w:val="6985E179"/>
    <w:rsid w:val="6987FE78"/>
    <w:rsid w:val="698FA015"/>
    <w:rsid w:val="699D0BFA"/>
    <w:rsid w:val="69A02F37"/>
    <w:rsid w:val="69A147B3"/>
    <w:rsid w:val="69AC3DA9"/>
    <w:rsid w:val="69C11526"/>
    <w:rsid w:val="69D07263"/>
    <w:rsid w:val="69DBDD8C"/>
    <w:rsid w:val="69E62D02"/>
    <w:rsid w:val="69E933A5"/>
    <w:rsid w:val="69EBE793"/>
    <w:rsid w:val="69F15EEB"/>
    <w:rsid w:val="6A005173"/>
    <w:rsid w:val="6A019A03"/>
    <w:rsid w:val="6A054B01"/>
    <w:rsid w:val="6A132D84"/>
    <w:rsid w:val="6A157DE8"/>
    <w:rsid w:val="6A174433"/>
    <w:rsid w:val="6A1BEB9F"/>
    <w:rsid w:val="6A1CD6AB"/>
    <w:rsid w:val="6A1F6A36"/>
    <w:rsid w:val="6A27E72B"/>
    <w:rsid w:val="6A2A31A1"/>
    <w:rsid w:val="6A2AC09F"/>
    <w:rsid w:val="6A2ADD25"/>
    <w:rsid w:val="6A2C590B"/>
    <w:rsid w:val="6A373756"/>
    <w:rsid w:val="6A3D1AE9"/>
    <w:rsid w:val="6A3DF9A7"/>
    <w:rsid w:val="6A40FEF4"/>
    <w:rsid w:val="6A54DEBD"/>
    <w:rsid w:val="6A5602BA"/>
    <w:rsid w:val="6A591316"/>
    <w:rsid w:val="6A5B2C97"/>
    <w:rsid w:val="6A63AB90"/>
    <w:rsid w:val="6A77CD8F"/>
    <w:rsid w:val="6A876845"/>
    <w:rsid w:val="6A893AA2"/>
    <w:rsid w:val="6A8B6F36"/>
    <w:rsid w:val="6A8CAA78"/>
    <w:rsid w:val="6A8ED0D7"/>
    <w:rsid w:val="6A8FAE07"/>
    <w:rsid w:val="6A92768C"/>
    <w:rsid w:val="6A978BF2"/>
    <w:rsid w:val="6AA08C39"/>
    <w:rsid w:val="6AA6FFC1"/>
    <w:rsid w:val="6AA75851"/>
    <w:rsid w:val="6ACD068D"/>
    <w:rsid w:val="6AE2DA50"/>
    <w:rsid w:val="6AE5D844"/>
    <w:rsid w:val="6AEF07F6"/>
    <w:rsid w:val="6AF44897"/>
    <w:rsid w:val="6B0454C4"/>
    <w:rsid w:val="6B11417B"/>
    <w:rsid w:val="6B11E25D"/>
    <w:rsid w:val="6B26D1B6"/>
    <w:rsid w:val="6B274E76"/>
    <w:rsid w:val="6B2BCABC"/>
    <w:rsid w:val="6B2D44B0"/>
    <w:rsid w:val="6B2EBE74"/>
    <w:rsid w:val="6B3860E2"/>
    <w:rsid w:val="6B621222"/>
    <w:rsid w:val="6B6699F2"/>
    <w:rsid w:val="6B6C1DFC"/>
    <w:rsid w:val="6B7C6805"/>
    <w:rsid w:val="6B8F0D55"/>
    <w:rsid w:val="6B92F7EA"/>
    <w:rsid w:val="6B9535D6"/>
    <w:rsid w:val="6B95F7C9"/>
    <w:rsid w:val="6B96B34C"/>
    <w:rsid w:val="6BA19475"/>
    <w:rsid w:val="6BA1C25B"/>
    <w:rsid w:val="6BAE31E1"/>
    <w:rsid w:val="6BB3FE3C"/>
    <w:rsid w:val="6BB54D50"/>
    <w:rsid w:val="6BB827C4"/>
    <w:rsid w:val="6BB949E3"/>
    <w:rsid w:val="6BC9725A"/>
    <w:rsid w:val="6BC9BD12"/>
    <w:rsid w:val="6BD0B149"/>
    <w:rsid w:val="6BD1BCBC"/>
    <w:rsid w:val="6BD3C625"/>
    <w:rsid w:val="6BD6A0F0"/>
    <w:rsid w:val="6BF64A37"/>
    <w:rsid w:val="6BFD2BA4"/>
    <w:rsid w:val="6BFE84D1"/>
    <w:rsid w:val="6C003AA7"/>
    <w:rsid w:val="6C1061B8"/>
    <w:rsid w:val="6C107026"/>
    <w:rsid w:val="6C110E4D"/>
    <w:rsid w:val="6C11E8EE"/>
    <w:rsid w:val="6C22E0A5"/>
    <w:rsid w:val="6C29D18E"/>
    <w:rsid w:val="6C2EA33B"/>
    <w:rsid w:val="6C341C37"/>
    <w:rsid w:val="6C347634"/>
    <w:rsid w:val="6C395CC9"/>
    <w:rsid w:val="6C3A61F7"/>
    <w:rsid w:val="6C3DFD88"/>
    <w:rsid w:val="6C3E1EFF"/>
    <w:rsid w:val="6C42B633"/>
    <w:rsid w:val="6C44B5FD"/>
    <w:rsid w:val="6C4D8B31"/>
    <w:rsid w:val="6C5889C4"/>
    <w:rsid w:val="6C590FF0"/>
    <w:rsid w:val="6C5D383E"/>
    <w:rsid w:val="6C604522"/>
    <w:rsid w:val="6C60B69B"/>
    <w:rsid w:val="6C636BBC"/>
    <w:rsid w:val="6C6883C4"/>
    <w:rsid w:val="6C6E323D"/>
    <w:rsid w:val="6C6EA599"/>
    <w:rsid w:val="6C7C978E"/>
    <w:rsid w:val="6C839751"/>
    <w:rsid w:val="6C862DDA"/>
    <w:rsid w:val="6C911716"/>
    <w:rsid w:val="6C9A283E"/>
    <w:rsid w:val="6C9DB647"/>
    <w:rsid w:val="6C9F8273"/>
    <w:rsid w:val="6CB1812C"/>
    <w:rsid w:val="6CB1A407"/>
    <w:rsid w:val="6CBF47B0"/>
    <w:rsid w:val="6CC1DAD6"/>
    <w:rsid w:val="6CC31ED7"/>
    <w:rsid w:val="6CC409F4"/>
    <w:rsid w:val="6CCF94C1"/>
    <w:rsid w:val="6CD0A525"/>
    <w:rsid w:val="6CD347C0"/>
    <w:rsid w:val="6CDD3A8B"/>
    <w:rsid w:val="6CDF325F"/>
    <w:rsid w:val="6CF0000F"/>
    <w:rsid w:val="6CF22691"/>
    <w:rsid w:val="6CF3A50A"/>
    <w:rsid w:val="6CF8C06F"/>
    <w:rsid w:val="6D01D7A9"/>
    <w:rsid w:val="6D0910BF"/>
    <w:rsid w:val="6D098977"/>
    <w:rsid w:val="6D0C11E7"/>
    <w:rsid w:val="6D10549F"/>
    <w:rsid w:val="6D1765B4"/>
    <w:rsid w:val="6D1BF8E1"/>
    <w:rsid w:val="6D1C8BC7"/>
    <w:rsid w:val="6D1CD703"/>
    <w:rsid w:val="6D2B17B5"/>
    <w:rsid w:val="6D2C3497"/>
    <w:rsid w:val="6D2F1723"/>
    <w:rsid w:val="6D4A107A"/>
    <w:rsid w:val="6D511468"/>
    <w:rsid w:val="6D64F659"/>
    <w:rsid w:val="6D659BA2"/>
    <w:rsid w:val="6D677F94"/>
    <w:rsid w:val="6D6AE70F"/>
    <w:rsid w:val="6D6D4FF1"/>
    <w:rsid w:val="6D86A866"/>
    <w:rsid w:val="6D8E5B3A"/>
    <w:rsid w:val="6D93CE3C"/>
    <w:rsid w:val="6D9A1517"/>
    <w:rsid w:val="6DB7CBDB"/>
    <w:rsid w:val="6DBB9405"/>
    <w:rsid w:val="6DC68154"/>
    <w:rsid w:val="6DC9E80F"/>
    <w:rsid w:val="6DCB38C9"/>
    <w:rsid w:val="6DD38ADE"/>
    <w:rsid w:val="6DDA93EB"/>
    <w:rsid w:val="6DE12BBB"/>
    <w:rsid w:val="6DE1E803"/>
    <w:rsid w:val="6DEBED87"/>
    <w:rsid w:val="6DEC24A3"/>
    <w:rsid w:val="6DEC88BF"/>
    <w:rsid w:val="6DF23F1E"/>
    <w:rsid w:val="6DF37C64"/>
    <w:rsid w:val="6DF57D0E"/>
    <w:rsid w:val="6E07C813"/>
    <w:rsid w:val="6E12C0FC"/>
    <w:rsid w:val="6E1E6497"/>
    <w:rsid w:val="6E310DCC"/>
    <w:rsid w:val="6E3CBE3A"/>
    <w:rsid w:val="6E3E4405"/>
    <w:rsid w:val="6E49D713"/>
    <w:rsid w:val="6E4A8D7F"/>
    <w:rsid w:val="6E4B3A7D"/>
    <w:rsid w:val="6E4EA611"/>
    <w:rsid w:val="6E50B504"/>
    <w:rsid w:val="6E534601"/>
    <w:rsid w:val="6E6149C3"/>
    <w:rsid w:val="6E68FE62"/>
    <w:rsid w:val="6E6ADA06"/>
    <w:rsid w:val="6E6DA1E7"/>
    <w:rsid w:val="6E718854"/>
    <w:rsid w:val="6E817B11"/>
    <w:rsid w:val="6E862129"/>
    <w:rsid w:val="6E882E70"/>
    <w:rsid w:val="6E893492"/>
    <w:rsid w:val="6E8AA6EF"/>
    <w:rsid w:val="6E8BF0D7"/>
    <w:rsid w:val="6E900906"/>
    <w:rsid w:val="6E900A3F"/>
    <w:rsid w:val="6E9122A6"/>
    <w:rsid w:val="6E9A330D"/>
    <w:rsid w:val="6EA4671D"/>
    <w:rsid w:val="6EA568F3"/>
    <w:rsid w:val="6EA6DCCC"/>
    <w:rsid w:val="6EA93E00"/>
    <w:rsid w:val="6EAD8B86"/>
    <w:rsid w:val="6EB45B9E"/>
    <w:rsid w:val="6EB74D7E"/>
    <w:rsid w:val="6EC32660"/>
    <w:rsid w:val="6EC369A0"/>
    <w:rsid w:val="6ECC9128"/>
    <w:rsid w:val="6ED042E5"/>
    <w:rsid w:val="6ED59AFF"/>
    <w:rsid w:val="6EE1D8D0"/>
    <w:rsid w:val="6EF1F316"/>
    <w:rsid w:val="6EF6457D"/>
    <w:rsid w:val="6EF841EE"/>
    <w:rsid w:val="6EFB00C6"/>
    <w:rsid w:val="6F061CED"/>
    <w:rsid w:val="6F0B43FB"/>
    <w:rsid w:val="6F0BD548"/>
    <w:rsid w:val="6F0DDB7D"/>
    <w:rsid w:val="6F0FE5FE"/>
    <w:rsid w:val="6F1788CF"/>
    <w:rsid w:val="6F1E0F80"/>
    <w:rsid w:val="6F1E652F"/>
    <w:rsid w:val="6F245F87"/>
    <w:rsid w:val="6F288C1D"/>
    <w:rsid w:val="6F33ED32"/>
    <w:rsid w:val="6F34D31B"/>
    <w:rsid w:val="6F361518"/>
    <w:rsid w:val="6F37258C"/>
    <w:rsid w:val="6F44BEA6"/>
    <w:rsid w:val="6F604C68"/>
    <w:rsid w:val="6F614989"/>
    <w:rsid w:val="6F62F907"/>
    <w:rsid w:val="6F6803C9"/>
    <w:rsid w:val="6F6C753B"/>
    <w:rsid w:val="6F7327E2"/>
    <w:rsid w:val="6F7B8E56"/>
    <w:rsid w:val="6F7CDE42"/>
    <w:rsid w:val="6F7D6C9F"/>
    <w:rsid w:val="6F7F16BF"/>
    <w:rsid w:val="6F7FCC56"/>
    <w:rsid w:val="6F80B053"/>
    <w:rsid w:val="6F8F3B18"/>
    <w:rsid w:val="6F98680F"/>
    <w:rsid w:val="6F9A7345"/>
    <w:rsid w:val="6FB62D2A"/>
    <w:rsid w:val="6FC11220"/>
    <w:rsid w:val="6FC40C40"/>
    <w:rsid w:val="6FC9D29B"/>
    <w:rsid w:val="6FCBF187"/>
    <w:rsid w:val="6FDF009C"/>
    <w:rsid w:val="6FE2E483"/>
    <w:rsid w:val="6FE51646"/>
    <w:rsid w:val="6FE52F25"/>
    <w:rsid w:val="6FECBD40"/>
    <w:rsid w:val="6FF0CDD8"/>
    <w:rsid w:val="6FF3F155"/>
    <w:rsid w:val="70076D7A"/>
    <w:rsid w:val="70079935"/>
    <w:rsid w:val="70108596"/>
    <w:rsid w:val="701E8AD4"/>
    <w:rsid w:val="70291C1E"/>
    <w:rsid w:val="702F980D"/>
    <w:rsid w:val="703BF2E3"/>
    <w:rsid w:val="703C5720"/>
    <w:rsid w:val="703E0AD8"/>
    <w:rsid w:val="7044F88F"/>
    <w:rsid w:val="704640E2"/>
    <w:rsid w:val="7046AAB7"/>
    <w:rsid w:val="7048E884"/>
    <w:rsid w:val="70595CC9"/>
    <w:rsid w:val="705E5295"/>
    <w:rsid w:val="70653C68"/>
    <w:rsid w:val="7067DDAB"/>
    <w:rsid w:val="707089F6"/>
    <w:rsid w:val="70732072"/>
    <w:rsid w:val="70790C4D"/>
    <w:rsid w:val="7079D552"/>
    <w:rsid w:val="708146A6"/>
    <w:rsid w:val="7083D806"/>
    <w:rsid w:val="7090E31B"/>
    <w:rsid w:val="709B9A8F"/>
    <w:rsid w:val="709D0F5F"/>
    <w:rsid w:val="709F9DCE"/>
    <w:rsid w:val="70A983E2"/>
    <w:rsid w:val="70ACBFF8"/>
    <w:rsid w:val="70B0DBF4"/>
    <w:rsid w:val="70BFA784"/>
    <w:rsid w:val="70CB717F"/>
    <w:rsid w:val="70CCFED7"/>
    <w:rsid w:val="70D51394"/>
    <w:rsid w:val="70DCAEFD"/>
    <w:rsid w:val="70E0F86A"/>
    <w:rsid w:val="70E6506F"/>
    <w:rsid w:val="70EE07A1"/>
    <w:rsid w:val="70EEBFB2"/>
    <w:rsid w:val="70FB8AF0"/>
    <w:rsid w:val="70FF5D15"/>
    <w:rsid w:val="70FFCA2A"/>
    <w:rsid w:val="710509F1"/>
    <w:rsid w:val="710AE9E5"/>
    <w:rsid w:val="710DC440"/>
    <w:rsid w:val="7110CC96"/>
    <w:rsid w:val="71157D30"/>
    <w:rsid w:val="711A817B"/>
    <w:rsid w:val="711B50D4"/>
    <w:rsid w:val="711F775C"/>
    <w:rsid w:val="71203E75"/>
    <w:rsid w:val="7127B671"/>
    <w:rsid w:val="712B22D6"/>
    <w:rsid w:val="7132B368"/>
    <w:rsid w:val="7133EE37"/>
    <w:rsid w:val="713C2ADA"/>
    <w:rsid w:val="713DADA2"/>
    <w:rsid w:val="713EDC36"/>
    <w:rsid w:val="713F9D4A"/>
    <w:rsid w:val="715505DC"/>
    <w:rsid w:val="715C66CA"/>
    <w:rsid w:val="715E497B"/>
    <w:rsid w:val="71690EE8"/>
    <w:rsid w:val="71692EE1"/>
    <w:rsid w:val="7170496E"/>
    <w:rsid w:val="71734A54"/>
    <w:rsid w:val="717AA3A9"/>
    <w:rsid w:val="717C647D"/>
    <w:rsid w:val="717D12C3"/>
    <w:rsid w:val="717E06BD"/>
    <w:rsid w:val="7187880D"/>
    <w:rsid w:val="718EF582"/>
    <w:rsid w:val="719BF9E1"/>
    <w:rsid w:val="719C3A58"/>
    <w:rsid w:val="71A1CC46"/>
    <w:rsid w:val="71A56718"/>
    <w:rsid w:val="71ADD7B9"/>
    <w:rsid w:val="71AF5F52"/>
    <w:rsid w:val="71B524FB"/>
    <w:rsid w:val="71BE2DF6"/>
    <w:rsid w:val="71CC3242"/>
    <w:rsid w:val="71DA951F"/>
    <w:rsid w:val="71DE6295"/>
    <w:rsid w:val="71DE6864"/>
    <w:rsid w:val="71E27A44"/>
    <w:rsid w:val="71E32F90"/>
    <w:rsid w:val="71E6D3A2"/>
    <w:rsid w:val="71ECB53A"/>
    <w:rsid w:val="71EE111A"/>
    <w:rsid w:val="71F9D28F"/>
    <w:rsid w:val="71FC3AC1"/>
    <w:rsid w:val="720B3660"/>
    <w:rsid w:val="720BBD79"/>
    <w:rsid w:val="721098A9"/>
    <w:rsid w:val="7210D5CD"/>
    <w:rsid w:val="721244EE"/>
    <w:rsid w:val="721840F0"/>
    <w:rsid w:val="721E8C26"/>
    <w:rsid w:val="722A49EF"/>
    <w:rsid w:val="722DD415"/>
    <w:rsid w:val="722F5414"/>
    <w:rsid w:val="72339EF3"/>
    <w:rsid w:val="723EA348"/>
    <w:rsid w:val="7245B044"/>
    <w:rsid w:val="7248992C"/>
    <w:rsid w:val="724F9309"/>
    <w:rsid w:val="725C624F"/>
    <w:rsid w:val="72606FE7"/>
    <w:rsid w:val="72624532"/>
    <w:rsid w:val="7269EAA9"/>
    <w:rsid w:val="726CB999"/>
    <w:rsid w:val="726E95DB"/>
    <w:rsid w:val="72728DF7"/>
    <w:rsid w:val="7280E337"/>
    <w:rsid w:val="7285BC9B"/>
    <w:rsid w:val="7286540D"/>
    <w:rsid w:val="7288A936"/>
    <w:rsid w:val="729275EC"/>
    <w:rsid w:val="72932A84"/>
    <w:rsid w:val="729BA0AF"/>
    <w:rsid w:val="729F55BA"/>
    <w:rsid w:val="72AACCFD"/>
    <w:rsid w:val="72AE5611"/>
    <w:rsid w:val="72BBF2FD"/>
    <w:rsid w:val="72BC8BB1"/>
    <w:rsid w:val="72C42B16"/>
    <w:rsid w:val="72C44AFD"/>
    <w:rsid w:val="72C8800F"/>
    <w:rsid w:val="72D43B20"/>
    <w:rsid w:val="72D5065C"/>
    <w:rsid w:val="72DB1239"/>
    <w:rsid w:val="72DB4DE1"/>
    <w:rsid w:val="72DDCCBF"/>
    <w:rsid w:val="72E1819E"/>
    <w:rsid w:val="72E7D457"/>
    <w:rsid w:val="72EDB774"/>
    <w:rsid w:val="72EF5105"/>
    <w:rsid w:val="72F9F8F1"/>
    <w:rsid w:val="72FD196F"/>
    <w:rsid w:val="73079BC9"/>
    <w:rsid w:val="730803BB"/>
    <w:rsid w:val="73108EBD"/>
    <w:rsid w:val="731B3D7D"/>
    <w:rsid w:val="7322E928"/>
    <w:rsid w:val="73355099"/>
    <w:rsid w:val="73385D8A"/>
    <w:rsid w:val="73491DF0"/>
    <w:rsid w:val="734A5EF7"/>
    <w:rsid w:val="734E7C39"/>
    <w:rsid w:val="73506AA2"/>
    <w:rsid w:val="73560F2F"/>
    <w:rsid w:val="73573B33"/>
    <w:rsid w:val="736E7C37"/>
    <w:rsid w:val="737012B2"/>
    <w:rsid w:val="7378F029"/>
    <w:rsid w:val="737953C1"/>
    <w:rsid w:val="7388F738"/>
    <w:rsid w:val="7393B304"/>
    <w:rsid w:val="7398FCD6"/>
    <w:rsid w:val="739C6761"/>
    <w:rsid w:val="739E85CF"/>
    <w:rsid w:val="739EA24B"/>
    <w:rsid w:val="73AFA6F5"/>
    <w:rsid w:val="73B3B2E6"/>
    <w:rsid w:val="73C822A7"/>
    <w:rsid w:val="73CDA035"/>
    <w:rsid w:val="73D680A1"/>
    <w:rsid w:val="73DE341E"/>
    <w:rsid w:val="73E0B5AF"/>
    <w:rsid w:val="73E6A1CC"/>
    <w:rsid w:val="73ED96A2"/>
    <w:rsid w:val="73EDF89C"/>
    <w:rsid w:val="73F2BCA4"/>
    <w:rsid w:val="73F61EE4"/>
    <w:rsid w:val="73F6752C"/>
    <w:rsid w:val="73FB3446"/>
    <w:rsid w:val="73FD8D17"/>
    <w:rsid w:val="73FDDAF3"/>
    <w:rsid w:val="74082D01"/>
    <w:rsid w:val="7416E5BC"/>
    <w:rsid w:val="7417A86C"/>
    <w:rsid w:val="741FF4EB"/>
    <w:rsid w:val="744036DD"/>
    <w:rsid w:val="74435AEC"/>
    <w:rsid w:val="74456237"/>
    <w:rsid w:val="7449AF1E"/>
    <w:rsid w:val="744A7E83"/>
    <w:rsid w:val="7454D6A6"/>
    <w:rsid w:val="7458ED9C"/>
    <w:rsid w:val="7462088F"/>
    <w:rsid w:val="74669BDE"/>
    <w:rsid w:val="74722638"/>
    <w:rsid w:val="74775FCC"/>
    <w:rsid w:val="7479EA4C"/>
    <w:rsid w:val="747BE59A"/>
    <w:rsid w:val="7487D151"/>
    <w:rsid w:val="7491D983"/>
    <w:rsid w:val="7495EA3C"/>
    <w:rsid w:val="7498D3B0"/>
    <w:rsid w:val="74A0AD4B"/>
    <w:rsid w:val="74A8288F"/>
    <w:rsid w:val="74B5EC94"/>
    <w:rsid w:val="74BA650D"/>
    <w:rsid w:val="74C3F52E"/>
    <w:rsid w:val="74C54812"/>
    <w:rsid w:val="74DF29F4"/>
    <w:rsid w:val="74ECB65E"/>
    <w:rsid w:val="74FA2F64"/>
    <w:rsid w:val="750A56FB"/>
    <w:rsid w:val="750AA107"/>
    <w:rsid w:val="750C0F62"/>
    <w:rsid w:val="75166045"/>
    <w:rsid w:val="751B507D"/>
    <w:rsid w:val="751CE688"/>
    <w:rsid w:val="751FD58F"/>
    <w:rsid w:val="7525BAF5"/>
    <w:rsid w:val="75369436"/>
    <w:rsid w:val="753C288D"/>
    <w:rsid w:val="75400993"/>
    <w:rsid w:val="75405A2E"/>
    <w:rsid w:val="75415BA7"/>
    <w:rsid w:val="7545B80E"/>
    <w:rsid w:val="754EA71F"/>
    <w:rsid w:val="754F3250"/>
    <w:rsid w:val="7559FFEF"/>
    <w:rsid w:val="755EAACF"/>
    <w:rsid w:val="7563E658"/>
    <w:rsid w:val="75657FD4"/>
    <w:rsid w:val="7569A5EB"/>
    <w:rsid w:val="756AAE6E"/>
    <w:rsid w:val="75706CE5"/>
    <w:rsid w:val="7571D0EE"/>
    <w:rsid w:val="757B3536"/>
    <w:rsid w:val="7580FC23"/>
    <w:rsid w:val="75880000"/>
    <w:rsid w:val="7589923E"/>
    <w:rsid w:val="758C9532"/>
    <w:rsid w:val="758EFDD2"/>
    <w:rsid w:val="75933389"/>
    <w:rsid w:val="7593B4A9"/>
    <w:rsid w:val="7595AEC3"/>
    <w:rsid w:val="75965E77"/>
    <w:rsid w:val="7596E196"/>
    <w:rsid w:val="7599C9EA"/>
    <w:rsid w:val="759E4097"/>
    <w:rsid w:val="759E9843"/>
    <w:rsid w:val="75A75DE3"/>
    <w:rsid w:val="75A9CB08"/>
    <w:rsid w:val="75AC1141"/>
    <w:rsid w:val="75B03D66"/>
    <w:rsid w:val="75B7C1A1"/>
    <w:rsid w:val="75B8917C"/>
    <w:rsid w:val="75C19FB7"/>
    <w:rsid w:val="75CEF4F5"/>
    <w:rsid w:val="75D3009E"/>
    <w:rsid w:val="75D835BE"/>
    <w:rsid w:val="75DD68BB"/>
    <w:rsid w:val="75E249C8"/>
    <w:rsid w:val="75E660AF"/>
    <w:rsid w:val="75EF8080"/>
    <w:rsid w:val="75FCA6CD"/>
    <w:rsid w:val="75FD7969"/>
    <w:rsid w:val="75FF00D7"/>
    <w:rsid w:val="76086AD5"/>
    <w:rsid w:val="7608923B"/>
    <w:rsid w:val="76179C48"/>
    <w:rsid w:val="7617D574"/>
    <w:rsid w:val="7620FC52"/>
    <w:rsid w:val="762487F1"/>
    <w:rsid w:val="762EAFA0"/>
    <w:rsid w:val="7640886F"/>
    <w:rsid w:val="7641B35B"/>
    <w:rsid w:val="764A74BA"/>
    <w:rsid w:val="764D7495"/>
    <w:rsid w:val="7653B599"/>
    <w:rsid w:val="765609E0"/>
    <w:rsid w:val="7666F906"/>
    <w:rsid w:val="76685C84"/>
    <w:rsid w:val="766B80EA"/>
    <w:rsid w:val="766FBA4F"/>
    <w:rsid w:val="766FF8F0"/>
    <w:rsid w:val="767777EB"/>
    <w:rsid w:val="7678CDE5"/>
    <w:rsid w:val="767CCAE8"/>
    <w:rsid w:val="767DB9F8"/>
    <w:rsid w:val="7686893A"/>
    <w:rsid w:val="76920B5A"/>
    <w:rsid w:val="7692ED1E"/>
    <w:rsid w:val="769531D5"/>
    <w:rsid w:val="7695B187"/>
    <w:rsid w:val="76A275A4"/>
    <w:rsid w:val="76A9DBF4"/>
    <w:rsid w:val="76B6A532"/>
    <w:rsid w:val="76BD4C85"/>
    <w:rsid w:val="76BDAB1E"/>
    <w:rsid w:val="76D8AA94"/>
    <w:rsid w:val="76F0D19C"/>
    <w:rsid w:val="76F576FF"/>
    <w:rsid w:val="76FE8348"/>
    <w:rsid w:val="770423C6"/>
    <w:rsid w:val="770C71EF"/>
    <w:rsid w:val="770EB2D0"/>
    <w:rsid w:val="770FA2EF"/>
    <w:rsid w:val="771271D5"/>
    <w:rsid w:val="771AF07A"/>
    <w:rsid w:val="771B61C0"/>
    <w:rsid w:val="7720942D"/>
    <w:rsid w:val="77219FB3"/>
    <w:rsid w:val="77237FAA"/>
    <w:rsid w:val="772B4478"/>
    <w:rsid w:val="772D5746"/>
    <w:rsid w:val="774B4BB1"/>
    <w:rsid w:val="774C08BF"/>
    <w:rsid w:val="774DBFE0"/>
    <w:rsid w:val="774E23A5"/>
    <w:rsid w:val="777213FA"/>
    <w:rsid w:val="7773C8C0"/>
    <w:rsid w:val="7776B96D"/>
    <w:rsid w:val="777B1238"/>
    <w:rsid w:val="7783DA4E"/>
    <w:rsid w:val="778B4EE2"/>
    <w:rsid w:val="77935896"/>
    <w:rsid w:val="77968D8E"/>
    <w:rsid w:val="77A31E6E"/>
    <w:rsid w:val="77A730F9"/>
    <w:rsid w:val="77AB71A4"/>
    <w:rsid w:val="77B5F5C8"/>
    <w:rsid w:val="77C3769C"/>
    <w:rsid w:val="77D0CC47"/>
    <w:rsid w:val="77D4B3EA"/>
    <w:rsid w:val="77DBA012"/>
    <w:rsid w:val="77EF754A"/>
    <w:rsid w:val="77F45949"/>
    <w:rsid w:val="77F8AED0"/>
    <w:rsid w:val="77FCCF55"/>
    <w:rsid w:val="7801D1B8"/>
    <w:rsid w:val="7803F4BB"/>
    <w:rsid w:val="780659EF"/>
    <w:rsid w:val="780A25EE"/>
    <w:rsid w:val="7813B481"/>
    <w:rsid w:val="78157408"/>
    <w:rsid w:val="781C301F"/>
    <w:rsid w:val="782453F9"/>
    <w:rsid w:val="783A3B5D"/>
    <w:rsid w:val="783AB746"/>
    <w:rsid w:val="7840C5C0"/>
    <w:rsid w:val="7841CAB8"/>
    <w:rsid w:val="7843D50E"/>
    <w:rsid w:val="78488C5C"/>
    <w:rsid w:val="785E1E1D"/>
    <w:rsid w:val="7860075A"/>
    <w:rsid w:val="7861E545"/>
    <w:rsid w:val="78696BBE"/>
    <w:rsid w:val="786DA471"/>
    <w:rsid w:val="78751B1B"/>
    <w:rsid w:val="787E7E1B"/>
    <w:rsid w:val="787E86E9"/>
    <w:rsid w:val="788310B0"/>
    <w:rsid w:val="788AFC7A"/>
    <w:rsid w:val="788FB7BC"/>
    <w:rsid w:val="7898FEA5"/>
    <w:rsid w:val="789CE13B"/>
    <w:rsid w:val="78A55488"/>
    <w:rsid w:val="78B48879"/>
    <w:rsid w:val="78B8AEB7"/>
    <w:rsid w:val="78BCBA27"/>
    <w:rsid w:val="78BEAFA9"/>
    <w:rsid w:val="78C8242B"/>
    <w:rsid w:val="78CE5215"/>
    <w:rsid w:val="78D3757C"/>
    <w:rsid w:val="78D81166"/>
    <w:rsid w:val="78E05CA5"/>
    <w:rsid w:val="78E389D2"/>
    <w:rsid w:val="78E3977B"/>
    <w:rsid w:val="78F0384A"/>
    <w:rsid w:val="78F0B5C0"/>
    <w:rsid w:val="78F305DF"/>
    <w:rsid w:val="78F924B1"/>
    <w:rsid w:val="790164B2"/>
    <w:rsid w:val="7906445C"/>
    <w:rsid w:val="79096250"/>
    <w:rsid w:val="790EF821"/>
    <w:rsid w:val="791041EF"/>
    <w:rsid w:val="79160ED1"/>
    <w:rsid w:val="791CE5E2"/>
    <w:rsid w:val="7921938D"/>
    <w:rsid w:val="792E7FC0"/>
    <w:rsid w:val="793152CA"/>
    <w:rsid w:val="7933CE7B"/>
    <w:rsid w:val="794124C0"/>
    <w:rsid w:val="79428EC7"/>
    <w:rsid w:val="79479D97"/>
    <w:rsid w:val="794C063F"/>
    <w:rsid w:val="7950546E"/>
    <w:rsid w:val="79586A5E"/>
    <w:rsid w:val="795B546B"/>
    <w:rsid w:val="795F5BC5"/>
    <w:rsid w:val="796309D4"/>
    <w:rsid w:val="7972C6D7"/>
    <w:rsid w:val="797A2AE2"/>
    <w:rsid w:val="797B7667"/>
    <w:rsid w:val="797C0250"/>
    <w:rsid w:val="797C8D7E"/>
    <w:rsid w:val="7992E727"/>
    <w:rsid w:val="799B12DA"/>
    <w:rsid w:val="79A32D32"/>
    <w:rsid w:val="79B09DDD"/>
    <w:rsid w:val="79BBFC27"/>
    <w:rsid w:val="79C14EB2"/>
    <w:rsid w:val="79C7D975"/>
    <w:rsid w:val="79CAAFFA"/>
    <w:rsid w:val="79D1AF59"/>
    <w:rsid w:val="79D7154D"/>
    <w:rsid w:val="79DF29CF"/>
    <w:rsid w:val="79F0FF5D"/>
    <w:rsid w:val="79F541AA"/>
    <w:rsid w:val="79F57A6C"/>
    <w:rsid w:val="79F8596B"/>
    <w:rsid w:val="7A06CB57"/>
    <w:rsid w:val="7A0C848E"/>
    <w:rsid w:val="7A28AECE"/>
    <w:rsid w:val="7A2A8932"/>
    <w:rsid w:val="7A2E5B1D"/>
    <w:rsid w:val="7A2EA5E9"/>
    <w:rsid w:val="7A343D90"/>
    <w:rsid w:val="7A431767"/>
    <w:rsid w:val="7A435F81"/>
    <w:rsid w:val="7A46C3B5"/>
    <w:rsid w:val="7A531DBD"/>
    <w:rsid w:val="7A53D1D8"/>
    <w:rsid w:val="7A61B28E"/>
    <w:rsid w:val="7A701540"/>
    <w:rsid w:val="7A769FC8"/>
    <w:rsid w:val="7A7E61A8"/>
    <w:rsid w:val="7A821B94"/>
    <w:rsid w:val="7A861A8E"/>
    <w:rsid w:val="7A8E8F1E"/>
    <w:rsid w:val="7A90AE62"/>
    <w:rsid w:val="7A91EE89"/>
    <w:rsid w:val="7A93EC36"/>
    <w:rsid w:val="7A99DEC1"/>
    <w:rsid w:val="7A9B02D9"/>
    <w:rsid w:val="7A9D026A"/>
    <w:rsid w:val="7AA3C477"/>
    <w:rsid w:val="7AB05344"/>
    <w:rsid w:val="7AB8FCEA"/>
    <w:rsid w:val="7ABD099C"/>
    <w:rsid w:val="7AC11C79"/>
    <w:rsid w:val="7ACEAD51"/>
    <w:rsid w:val="7AD6A605"/>
    <w:rsid w:val="7AD80FD6"/>
    <w:rsid w:val="7AEA1C3A"/>
    <w:rsid w:val="7AEF75A8"/>
    <w:rsid w:val="7AF1AA78"/>
    <w:rsid w:val="7AF73286"/>
    <w:rsid w:val="7AF86E85"/>
    <w:rsid w:val="7AFD299B"/>
    <w:rsid w:val="7B01E9AB"/>
    <w:rsid w:val="7B0A0C07"/>
    <w:rsid w:val="7B0A47B9"/>
    <w:rsid w:val="7B0B6C17"/>
    <w:rsid w:val="7B12C51D"/>
    <w:rsid w:val="7B18049D"/>
    <w:rsid w:val="7B1B55A4"/>
    <w:rsid w:val="7B1BF4EE"/>
    <w:rsid w:val="7B28EC38"/>
    <w:rsid w:val="7B373970"/>
    <w:rsid w:val="7B3E175E"/>
    <w:rsid w:val="7B46C0FC"/>
    <w:rsid w:val="7B4D7673"/>
    <w:rsid w:val="7B514498"/>
    <w:rsid w:val="7B561BB7"/>
    <w:rsid w:val="7B66829D"/>
    <w:rsid w:val="7B6B0C94"/>
    <w:rsid w:val="7B6F462C"/>
    <w:rsid w:val="7B70E979"/>
    <w:rsid w:val="7B7138F0"/>
    <w:rsid w:val="7B836F47"/>
    <w:rsid w:val="7B8D96CE"/>
    <w:rsid w:val="7B8F3E53"/>
    <w:rsid w:val="7B934E92"/>
    <w:rsid w:val="7B9524A2"/>
    <w:rsid w:val="7B97FD80"/>
    <w:rsid w:val="7BA4D19F"/>
    <w:rsid w:val="7BB19908"/>
    <w:rsid w:val="7BBF33F6"/>
    <w:rsid w:val="7BC60686"/>
    <w:rsid w:val="7BC70CAE"/>
    <w:rsid w:val="7BD99675"/>
    <w:rsid w:val="7BDABF6C"/>
    <w:rsid w:val="7BE031D7"/>
    <w:rsid w:val="7BE4C6AF"/>
    <w:rsid w:val="7BEA6157"/>
    <w:rsid w:val="7BEB7960"/>
    <w:rsid w:val="7BF600B8"/>
    <w:rsid w:val="7BF86202"/>
    <w:rsid w:val="7BFDCE46"/>
    <w:rsid w:val="7C0347AE"/>
    <w:rsid w:val="7C05A9E9"/>
    <w:rsid w:val="7C0B44AA"/>
    <w:rsid w:val="7C1117A5"/>
    <w:rsid w:val="7C138825"/>
    <w:rsid w:val="7C19BB7F"/>
    <w:rsid w:val="7C1B9D94"/>
    <w:rsid w:val="7C28B4B9"/>
    <w:rsid w:val="7C2D8A84"/>
    <w:rsid w:val="7C33F136"/>
    <w:rsid w:val="7C357FD4"/>
    <w:rsid w:val="7C3C01B1"/>
    <w:rsid w:val="7C4780FE"/>
    <w:rsid w:val="7C49DE69"/>
    <w:rsid w:val="7C4E8AD6"/>
    <w:rsid w:val="7C4FC30F"/>
    <w:rsid w:val="7C508CB9"/>
    <w:rsid w:val="7C5459E6"/>
    <w:rsid w:val="7C5A0B47"/>
    <w:rsid w:val="7C5A81FA"/>
    <w:rsid w:val="7C66D5BF"/>
    <w:rsid w:val="7C6859D0"/>
    <w:rsid w:val="7C6972D9"/>
    <w:rsid w:val="7C6B3EC1"/>
    <w:rsid w:val="7C6C9D5F"/>
    <w:rsid w:val="7C703583"/>
    <w:rsid w:val="7C77ECEC"/>
    <w:rsid w:val="7C7DFE03"/>
    <w:rsid w:val="7C83A0E7"/>
    <w:rsid w:val="7C8E6D90"/>
    <w:rsid w:val="7C95B0AE"/>
    <w:rsid w:val="7C9C3899"/>
    <w:rsid w:val="7C9DC539"/>
    <w:rsid w:val="7CB4CD75"/>
    <w:rsid w:val="7CC12D58"/>
    <w:rsid w:val="7CCB7D82"/>
    <w:rsid w:val="7CCEF86B"/>
    <w:rsid w:val="7CD103A4"/>
    <w:rsid w:val="7CD16AB5"/>
    <w:rsid w:val="7CD49FC7"/>
    <w:rsid w:val="7CD56C20"/>
    <w:rsid w:val="7CDC843F"/>
    <w:rsid w:val="7CE2A61D"/>
    <w:rsid w:val="7CEB9A5A"/>
    <w:rsid w:val="7CED00A8"/>
    <w:rsid w:val="7CF15E4D"/>
    <w:rsid w:val="7CF56234"/>
    <w:rsid w:val="7CF87989"/>
    <w:rsid w:val="7CFDF8EA"/>
    <w:rsid w:val="7D067E98"/>
    <w:rsid w:val="7D07C0A5"/>
    <w:rsid w:val="7D07E6B2"/>
    <w:rsid w:val="7D087DDF"/>
    <w:rsid w:val="7D09C9B3"/>
    <w:rsid w:val="7D183EFF"/>
    <w:rsid w:val="7D18ECD7"/>
    <w:rsid w:val="7D2431FA"/>
    <w:rsid w:val="7D2860BD"/>
    <w:rsid w:val="7D2C96B0"/>
    <w:rsid w:val="7D2F948B"/>
    <w:rsid w:val="7D30DC8D"/>
    <w:rsid w:val="7D333651"/>
    <w:rsid w:val="7D3E1F4B"/>
    <w:rsid w:val="7D4B5B94"/>
    <w:rsid w:val="7D4D3439"/>
    <w:rsid w:val="7D521307"/>
    <w:rsid w:val="7D52BD65"/>
    <w:rsid w:val="7D6DBBC4"/>
    <w:rsid w:val="7D78923A"/>
    <w:rsid w:val="7D794420"/>
    <w:rsid w:val="7D8698B6"/>
    <w:rsid w:val="7D8CDEA4"/>
    <w:rsid w:val="7D98D3D3"/>
    <w:rsid w:val="7D9A93E4"/>
    <w:rsid w:val="7DA6889B"/>
    <w:rsid w:val="7DA8F013"/>
    <w:rsid w:val="7DB2E400"/>
    <w:rsid w:val="7DC02BE3"/>
    <w:rsid w:val="7DD48D66"/>
    <w:rsid w:val="7DE2F5EE"/>
    <w:rsid w:val="7DE58454"/>
    <w:rsid w:val="7DF15BBD"/>
    <w:rsid w:val="7DF371D3"/>
    <w:rsid w:val="7DF3D1E6"/>
    <w:rsid w:val="7DF7B48D"/>
    <w:rsid w:val="7E04D74A"/>
    <w:rsid w:val="7E0DC70C"/>
    <w:rsid w:val="7E168A67"/>
    <w:rsid w:val="7E215FF0"/>
    <w:rsid w:val="7E40DFCE"/>
    <w:rsid w:val="7E4E6229"/>
    <w:rsid w:val="7E555BDA"/>
    <w:rsid w:val="7E56E41A"/>
    <w:rsid w:val="7E710A14"/>
    <w:rsid w:val="7E7F2495"/>
    <w:rsid w:val="7E850EE3"/>
    <w:rsid w:val="7E889D94"/>
    <w:rsid w:val="7E8BF5BB"/>
    <w:rsid w:val="7E908304"/>
    <w:rsid w:val="7E9A562B"/>
    <w:rsid w:val="7EA026D4"/>
    <w:rsid w:val="7EA1BAAC"/>
    <w:rsid w:val="7EAC541B"/>
    <w:rsid w:val="7EADC891"/>
    <w:rsid w:val="7EAECD36"/>
    <w:rsid w:val="7EB26A33"/>
    <w:rsid w:val="7EB5D247"/>
    <w:rsid w:val="7EBA3724"/>
    <w:rsid w:val="7EC25E44"/>
    <w:rsid w:val="7EC7D917"/>
    <w:rsid w:val="7EC7EC34"/>
    <w:rsid w:val="7EC81F71"/>
    <w:rsid w:val="7ED29EB1"/>
    <w:rsid w:val="7EEDB919"/>
    <w:rsid w:val="7EF239C6"/>
    <w:rsid w:val="7F014396"/>
    <w:rsid w:val="7F01CC80"/>
    <w:rsid w:val="7F1510A2"/>
    <w:rsid w:val="7F1A7B71"/>
    <w:rsid w:val="7F1E3D52"/>
    <w:rsid w:val="7F23D7EF"/>
    <w:rsid w:val="7F23FB66"/>
    <w:rsid w:val="7F2E7172"/>
    <w:rsid w:val="7F301196"/>
    <w:rsid w:val="7F3F31B4"/>
    <w:rsid w:val="7F51EA9C"/>
    <w:rsid w:val="7F55416A"/>
    <w:rsid w:val="7F5C1D46"/>
    <w:rsid w:val="7F623B35"/>
    <w:rsid w:val="7F62FCB5"/>
    <w:rsid w:val="7F6A44A9"/>
    <w:rsid w:val="7F6CBBD9"/>
    <w:rsid w:val="7F6DF062"/>
    <w:rsid w:val="7F72AA15"/>
    <w:rsid w:val="7F8F2573"/>
    <w:rsid w:val="7F8F2D20"/>
    <w:rsid w:val="7F905197"/>
    <w:rsid w:val="7F908A2B"/>
    <w:rsid w:val="7FA0580E"/>
    <w:rsid w:val="7FA27869"/>
    <w:rsid w:val="7FA376C1"/>
    <w:rsid w:val="7FA95458"/>
    <w:rsid w:val="7FA98E6D"/>
    <w:rsid w:val="7FAE5646"/>
    <w:rsid w:val="7FB0BCBC"/>
    <w:rsid w:val="7FB185EC"/>
    <w:rsid w:val="7FB70DAF"/>
    <w:rsid w:val="7FB95394"/>
    <w:rsid w:val="7FB9AEAA"/>
    <w:rsid w:val="7FBE4C19"/>
    <w:rsid w:val="7FCA2545"/>
    <w:rsid w:val="7FCB0BBA"/>
    <w:rsid w:val="7FD414EF"/>
    <w:rsid w:val="7FD7507E"/>
    <w:rsid w:val="7FE095EF"/>
    <w:rsid w:val="7FE35922"/>
    <w:rsid w:val="7FE89B08"/>
    <w:rsid w:val="7FE8B22D"/>
    <w:rsid w:val="7FF2343C"/>
    <w:rsid w:val="7FF4F8DB"/>
    <w:rsid w:val="7FFBCAC3"/>
    <w:rsid w:val="7FFC44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782578E1"/>
  <w15:docId w15:val="{6DF890DF-C16B-4BC6-98FC-0159B8E7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389"/>
    <w:pPr>
      <w:spacing w:after="200" w:line="360" w:lineRule="auto"/>
    </w:pPr>
    <w:rPr>
      <w:sz w:val="24"/>
    </w:rPr>
  </w:style>
  <w:style w:type="paragraph" w:styleId="Heading1">
    <w:name w:val="heading 1"/>
    <w:aliases w:val="Headings"/>
    <w:basedOn w:val="Normal"/>
    <w:next w:val="Normal"/>
    <w:link w:val="Heading1Char"/>
    <w:uiPriority w:val="9"/>
    <w:qFormat/>
    <w:rsid w:val="007D0888"/>
    <w:pPr>
      <w:keepNext/>
      <w:keepLines/>
      <w:spacing w:after="1000" w:line="240" w:lineRule="auto"/>
      <w:outlineLvl w:val="0"/>
    </w:pPr>
    <w:rPr>
      <w:rFonts w:asciiTheme="majorHAnsi" w:eastAsiaTheme="majorEastAsia" w:hAnsiTheme="majorHAnsi" w:cstheme="majorBidi"/>
      <w:b/>
      <w:color w:val="142855" w:themeColor="text2"/>
      <w:sz w:val="44"/>
      <w:szCs w:val="32"/>
    </w:rPr>
  </w:style>
  <w:style w:type="paragraph" w:styleId="Heading2">
    <w:name w:val="heading 2"/>
    <w:aliases w:val="Introductory / Secondary Headings"/>
    <w:basedOn w:val="Normal"/>
    <w:next w:val="Normal"/>
    <w:link w:val="Heading2Char"/>
    <w:uiPriority w:val="9"/>
    <w:unhideWhenUsed/>
    <w:qFormat/>
    <w:rsid w:val="007D0888"/>
    <w:pPr>
      <w:keepNext/>
      <w:keepLines/>
      <w:pBdr>
        <w:top w:val="single" w:sz="4" w:space="6" w:color="0054BA" w:themeColor="accent2"/>
      </w:pBdr>
      <w:spacing w:before="440" w:line="240" w:lineRule="auto"/>
      <w:outlineLvl w:val="1"/>
    </w:pPr>
    <w:rPr>
      <w:rFonts w:asciiTheme="majorHAnsi" w:eastAsiaTheme="majorEastAsia" w:hAnsiTheme="majorHAnsi" w:cstheme="majorBidi"/>
      <w:b/>
      <w:color w:val="142855" w:themeColor="text2"/>
      <w:szCs w:val="26"/>
    </w:rPr>
  </w:style>
  <w:style w:type="paragraph" w:styleId="Heading3">
    <w:name w:val="heading 3"/>
    <w:aliases w:val="Subheading"/>
    <w:basedOn w:val="Normal"/>
    <w:next w:val="Normal"/>
    <w:link w:val="Heading3Char"/>
    <w:uiPriority w:val="9"/>
    <w:unhideWhenUsed/>
    <w:qFormat/>
    <w:rsid w:val="00E47962"/>
    <w:pPr>
      <w:keepNext/>
      <w:keepLines/>
      <w:spacing w:before="440"/>
      <w:outlineLvl w:val="2"/>
    </w:pPr>
    <w:rPr>
      <w:rFonts w:asciiTheme="majorHAnsi" w:eastAsiaTheme="majorEastAsia" w:hAnsiTheme="majorHAnsi" w:cstheme="majorBidi"/>
      <w:b/>
      <w:color w:val="142855" w:themeColor="text2"/>
      <w:szCs w:val="24"/>
    </w:rPr>
  </w:style>
  <w:style w:type="paragraph" w:styleId="Heading4">
    <w:name w:val="heading 4"/>
    <w:basedOn w:val="Normal"/>
    <w:next w:val="Normal"/>
    <w:link w:val="Heading4Char"/>
    <w:uiPriority w:val="9"/>
    <w:unhideWhenUsed/>
    <w:qFormat/>
    <w:rsid w:val="008612D0"/>
    <w:pPr>
      <w:keepLines/>
      <w:spacing w:before="240" w:after="240" w:line="240" w:lineRule="auto"/>
      <w:outlineLvl w:val="3"/>
    </w:pPr>
    <w:rPr>
      <w:rFonts w:asciiTheme="majorHAnsi" w:eastAsiaTheme="majorEastAsia" w:hAnsiTheme="majorHAnsi" w:cstheme="majorBidi"/>
      <w:iCs/>
      <w:color w:val="142855" w:themeColor="text2"/>
    </w:rPr>
  </w:style>
  <w:style w:type="paragraph" w:styleId="Heading5">
    <w:name w:val="heading 5"/>
    <w:basedOn w:val="Normal"/>
    <w:next w:val="Normal"/>
    <w:link w:val="Heading5Char"/>
    <w:uiPriority w:val="9"/>
    <w:unhideWhenUsed/>
    <w:qFormat/>
    <w:rsid w:val="00844EE8"/>
    <w:pPr>
      <w:keepNext/>
      <w:keepLines/>
      <w:spacing w:before="320" w:after="120"/>
      <w:outlineLvl w:val="4"/>
    </w:pPr>
    <w:rPr>
      <w:rFonts w:asciiTheme="majorHAnsi" w:eastAsiaTheme="majorEastAsia" w:hAnsiTheme="majorHAnsi" w:cstheme="majorBidi"/>
      <w:b/>
      <w:color w:val="1D1D1B" w:themeColor="text1"/>
    </w:rPr>
  </w:style>
  <w:style w:type="paragraph" w:styleId="Heading6">
    <w:name w:val="heading 6"/>
    <w:basedOn w:val="Normal"/>
    <w:next w:val="Normal"/>
    <w:link w:val="Heading6Char"/>
    <w:uiPriority w:val="9"/>
    <w:semiHidden/>
    <w:unhideWhenUsed/>
    <w:qFormat/>
    <w:rsid w:val="00F0248E"/>
    <w:pPr>
      <w:keepNext/>
      <w:keepLines/>
      <w:spacing w:before="40" w:after="0"/>
      <w:outlineLvl w:val="5"/>
    </w:pPr>
    <w:rPr>
      <w:rFonts w:asciiTheme="majorHAnsi" w:eastAsiaTheme="majorEastAsia" w:hAnsiTheme="majorHAnsi" w:cstheme="majorBidi"/>
      <w:color w:val="9700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econdary"/>
    <w:basedOn w:val="Normal"/>
    <w:next w:val="Normal"/>
    <w:link w:val="TitleChar"/>
    <w:uiPriority w:val="10"/>
    <w:qFormat/>
    <w:rsid w:val="00C13A17"/>
    <w:pPr>
      <w:spacing w:before="800" w:after="0" w:line="240" w:lineRule="auto"/>
      <w:contextualSpacing/>
    </w:pPr>
    <w:rPr>
      <w:rFonts w:asciiTheme="majorHAnsi" w:eastAsiaTheme="majorEastAsia" w:hAnsiTheme="majorHAnsi" w:cstheme="majorBidi"/>
      <w:color w:val="142855" w:themeColor="text2"/>
      <w:spacing w:val="-10"/>
      <w:kern w:val="28"/>
      <w:sz w:val="72"/>
      <w:szCs w:val="72"/>
    </w:rPr>
  </w:style>
  <w:style w:type="character" w:customStyle="1" w:styleId="TitleChar">
    <w:name w:val="Title Char"/>
    <w:aliases w:val="Secondary Char"/>
    <w:basedOn w:val="DefaultParagraphFont"/>
    <w:link w:val="Title"/>
    <w:uiPriority w:val="10"/>
    <w:rsid w:val="00C13A17"/>
    <w:rPr>
      <w:rFonts w:asciiTheme="majorHAnsi" w:eastAsiaTheme="majorEastAsia" w:hAnsiTheme="majorHAnsi" w:cstheme="majorBidi"/>
      <w:color w:val="142855" w:themeColor="text2"/>
      <w:spacing w:val="-10"/>
      <w:kern w:val="28"/>
      <w:sz w:val="72"/>
      <w:szCs w:val="72"/>
    </w:rPr>
  </w:style>
  <w:style w:type="paragraph" w:styleId="Subtitle">
    <w:name w:val="Subtitle"/>
    <w:basedOn w:val="Normal"/>
    <w:next w:val="Normal"/>
    <w:link w:val="SubtitleChar"/>
    <w:uiPriority w:val="11"/>
    <w:qFormat/>
    <w:rsid w:val="000F53CC"/>
    <w:pPr>
      <w:numPr>
        <w:ilvl w:val="1"/>
      </w:numPr>
      <w:spacing w:before="760" w:after="0" w:line="240" w:lineRule="auto"/>
    </w:pPr>
    <w:rPr>
      <w:rFonts w:eastAsiaTheme="minorEastAsia"/>
      <w:b/>
      <w:color w:val="142855" w:themeColor="text2"/>
    </w:rPr>
  </w:style>
  <w:style w:type="character" w:customStyle="1" w:styleId="SubtitleChar">
    <w:name w:val="Subtitle Char"/>
    <w:basedOn w:val="DefaultParagraphFont"/>
    <w:link w:val="Subtitle"/>
    <w:uiPriority w:val="11"/>
    <w:rsid w:val="000F53CC"/>
    <w:rPr>
      <w:rFonts w:eastAsiaTheme="minorEastAsia"/>
      <w:b/>
      <w:color w:val="142855" w:themeColor="text2"/>
      <w:sz w:val="24"/>
    </w:rPr>
  </w:style>
  <w:style w:type="paragraph" w:styleId="Date">
    <w:name w:val="Date"/>
    <w:basedOn w:val="Normal"/>
    <w:next w:val="Normal"/>
    <w:link w:val="DateChar"/>
    <w:uiPriority w:val="99"/>
    <w:unhideWhenUsed/>
    <w:rsid w:val="00C13A17"/>
    <w:pPr>
      <w:spacing w:after="0" w:line="264" w:lineRule="auto"/>
    </w:pPr>
    <w:rPr>
      <w:color w:val="142855" w:themeColor="text2"/>
    </w:rPr>
  </w:style>
  <w:style w:type="character" w:customStyle="1" w:styleId="DateChar">
    <w:name w:val="Date Char"/>
    <w:basedOn w:val="DefaultParagraphFont"/>
    <w:link w:val="Date"/>
    <w:uiPriority w:val="99"/>
    <w:rsid w:val="00C13A17"/>
    <w:rPr>
      <w:color w:val="142855" w:themeColor="text2"/>
      <w:sz w:val="24"/>
    </w:rPr>
  </w:style>
  <w:style w:type="character" w:customStyle="1" w:styleId="Heading1Char">
    <w:name w:val="Heading 1 Char"/>
    <w:aliases w:val="Headings Char"/>
    <w:basedOn w:val="DefaultParagraphFont"/>
    <w:link w:val="Heading1"/>
    <w:uiPriority w:val="9"/>
    <w:rsid w:val="007D0888"/>
    <w:rPr>
      <w:rFonts w:asciiTheme="majorHAnsi" w:eastAsiaTheme="majorEastAsia" w:hAnsiTheme="majorHAnsi" w:cstheme="majorBidi"/>
      <w:b/>
      <w:color w:val="142855" w:themeColor="text2"/>
      <w:sz w:val="44"/>
      <w:szCs w:val="32"/>
    </w:rPr>
  </w:style>
  <w:style w:type="paragraph" w:styleId="TOCHeading">
    <w:name w:val="TOC Heading"/>
    <w:basedOn w:val="Heading1"/>
    <w:next w:val="Normal"/>
    <w:uiPriority w:val="39"/>
    <w:unhideWhenUsed/>
    <w:qFormat/>
    <w:rsid w:val="00F731CB"/>
    <w:pPr>
      <w:outlineLvl w:val="9"/>
    </w:pPr>
    <w:rPr>
      <w:lang w:val="en-US"/>
    </w:rPr>
  </w:style>
  <w:style w:type="character" w:customStyle="1" w:styleId="Heading2Char">
    <w:name w:val="Heading 2 Char"/>
    <w:aliases w:val="Introductory / Secondary Headings Char"/>
    <w:basedOn w:val="DefaultParagraphFont"/>
    <w:link w:val="Heading2"/>
    <w:uiPriority w:val="9"/>
    <w:rsid w:val="007D0888"/>
    <w:rPr>
      <w:rFonts w:asciiTheme="majorHAnsi" w:eastAsiaTheme="majorEastAsia" w:hAnsiTheme="majorHAnsi" w:cstheme="majorBidi"/>
      <w:b/>
      <w:color w:val="142855" w:themeColor="text2"/>
      <w:sz w:val="24"/>
      <w:szCs w:val="26"/>
    </w:rPr>
  </w:style>
  <w:style w:type="character" w:customStyle="1" w:styleId="Heading3Char">
    <w:name w:val="Heading 3 Char"/>
    <w:aliases w:val="Subheading Char"/>
    <w:basedOn w:val="DefaultParagraphFont"/>
    <w:link w:val="Heading3"/>
    <w:uiPriority w:val="9"/>
    <w:rsid w:val="00E47962"/>
    <w:rPr>
      <w:rFonts w:asciiTheme="majorHAnsi" w:eastAsiaTheme="majorEastAsia" w:hAnsiTheme="majorHAnsi" w:cstheme="majorBidi"/>
      <w:b/>
      <w:color w:val="142855" w:themeColor="text2"/>
      <w:sz w:val="24"/>
      <w:szCs w:val="24"/>
    </w:rPr>
  </w:style>
  <w:style w:type="character" w:customStyle="1" w:styleId="Heading4Char">
    <w:name w:val="Heading 4 Char"/>
    <w:basedOn w:val="DefaultParagraphFont"/>
    <w:link w:val="Heading4"/>
    <w:uiPriority w:val="9"/>
    <w:rsid w:val="008612D0"/>
    <w:rPr>
      <w:rFonts w:asciiTheme="majorHAnsi" w:eastAsiaTheme="majorEastAsia" w:hAnsiTheme="majorHAnsi" w:cstheme="majorBidi"/>
      <w:iCs/>
      <w:color w:val="142855" w:themeColor="text2"/>
      <w:sz w:val="24"/>
    </w:rPr>
  </w:style>
  <w:style w:type="character" w:styleId="Emphasis">
    <w:name w:val="Emphasis"/>
    <w:basedOn w:val="DefaultParagraphFont"/>
    <w:uiPriority w:val="20"/>
    <w:qFormat/>
    <w:rsid w:val="00240A4C"/>
    <w:rPr>
      <w:rFonts w:asciiTheme="minorHAnsi" w:hAnsiTheme="minorHAnsi"/>
      <w:b/>
      <w:i w:val="0"/>
      <w:iCs/>
      <w:color w:val="142855" w:themeColor="text2"/>
      <w:sz w:val="24"/>
    </w:rPr>
  </w:style>
  <w:style w:type="character" w:customStyle="1" w:styleId="Heading5Char">
    <w:name w:val="Heading 5 Char"/>
    <w:basedOn w:val="DefaultParagraphFont"/>
    <w:link w:val="Heading5"/>
    <w:uiPriority w:val="9"/>
    <w:rsid w:val="00844EE8"/>
    <w:rPr>
      <w:rFonts w:asciiTheme="majorHAnsi" w:eastAsiaTheme="majorEastAsia" w:hAnsiTheme="majorHAnsi" w:cstheme="majorBidi"/>
      <w:b/>
      <w:color w:val="1D1D1B" w:themeColor="text1"/>
      <w:sz w:val="24"/>
    </w:rPr>
  </w:style>
  <w:style w:type="paragraph" w:styleId="ListBullet">
    <w:name w:val="List Bullet"/>
    <w:basedOn w:val="Normal"/>
    <w:uiPriority w:val="99"/>
    <w:unhideWhenUsed/>
    <w:qFormat/>
    <w:rsid w:val="00EE1E70"/>
    <w:pPr>
      <w:spacing w:before="120"/>
      <w:ind w:left="227" w:hanging="227"/>
    </w:pPr>
  </w:style>
  <w:style w:type="paragraph" w:styleId="ListBullet2">
    <w:name w:val="List Bullet 2"/>
    <w:basedOn w:val="Normal"/>
    <w:uiPriority w:val="99"/>
    <w:unhideWhenUsed/>
    <w:qFormat/>
    <w:rsid w:val="008C47D2"/>
    <w:pPr>
      <w:numPr>
        <w:numId w:val="1"/>
      </w:numPr>
      <w:tabs>
        <w:tab w:val="clear" w:pos="643"/>
        <w:tab w:val="num" w:pos="360"/>
      </w:tabs>
      <w:ind w:left="360"/>
      <w:contextualSpacing/>
    </w:pPr>
  </w:style>
  <w:style w:type="paragraph" w:styleId="ListBullet3">
    <w:name w:val="List Bullet 3"/>
    <w:basedOn w:val="Normal"/>
    <w:uiPriority w:val="99"/>
    <w:unhideWhenUsed/>
    <w:rsid w:val="008C47D2"/>
    <w:pPr>
      <w:numPr>
        <w:numId w:val="2"/>
      </w:numPr>
      <w:contextualSpacing/>
    </w:pPr>
  </w:style>
  <w:style w:type="paragraph" w:styleId="ListBullet4">
    <w:name w:val="List Bullet 4"/>
    <w:basedOn w:val="Normal"/>
    <w:uiPriority w:val="99"/>
    <w:unhideWhenUsed/>
    <w:rsid w:val="008C47D2"/>
    <w:pPr>
      <w:numPr>
        <w:numId w:val="3"/>
      </w:numPr>
      <w:contextualSpacing/>
    </w:pPr>
  </w:style>
  <w:style w:type="paragraph" w:styleId="ListBullet5">
    <w:name w:val="List Bullet 5"/>
    <w:basedOn w:val="Normal"/>
    <w:uiPriority w:val="99"/>
    <w:unhideWhenUsed/>
    <w:rsid w:val="008C47D2"/>
    <w:pPr>
      <w:numPr>
        <w:numId w:val="4"/>
      </w:numPr>
      <w:contextualSpacing/>
    </w:pPr>
  </w:style>
  <w:style w:type="paragraph" w:styleId="Quote">
    <w:name w:val="Quote"/>
    <w:basedOn w:val="Normal"/>
    <w:next w:val="Normal"/>
    <w:link w:val="QuoteChar"/>
    <w:uiPriority w:val="29"/>
    <w:qFormat/>
    <w:rsid w:val="004F0F77"/>
    <w:pPr>
      <w:spacing w:before="400" w:after="400"/>
    </w:pPr>
    <w:rPr>
      <w:iCs/>
      <w:color w:val="0054BA" w:themeColor="accent2"/>
    </w:rPr>
  </w:style>
  <w:style w:type="character" w:customStyle="1" w:styleId="QuoteChar">
    <w:name w:val="Quote Char"/>
    <w:basedOn w:val="DefaultParagraphFont"/>
    <w:link w:val="Quote"/>
    <w:uiPriority w:val="29"/>
    <w:rsid w:val="004F0F77"/>
    <w:rPr>
      <w:iCs/>
      <w:color w:val="0054BA" w:themeColor="accent2"/>
      <w:sz w:val="24"/>
    </w:rPr>
  </w:style>
  <w:style w:type="table" w:styleId="TableGrid">
    <w:name w:val="Table Grid"/>
    <w:aliases w:val="BBB Table option 2,Table for documents,Forfas Table Grid,SQW Table Grid,with borders"/>
    <w:basedOn w:val="TableNormal"/>
    <w:uiPriority w:val="59"/>
    <w:rsid w:val="00E523BE"/>
    <w:pPr>
      <w:spacing w:after="120" w:line="360" w:lineRule="auto"/>
    </w:pPr>
    <w:rPr>
      <w:color w:val="142855" w:themeColor="text2"/>
      <w:sz w:val="20"/>
    </w:rPr>
    <w:tblPr>
      <w:tblStyleRowBandSize w:val="1"/>
    </w:tblPr>
    <w:tcPr>
      <w:vAlign w:val="bottom"/>
    </w:tcPr>
    <w:tblStylePr w:type="firstRow">
      <w:pPr>
        <w:wordWrap/>
        <w:spacing w:beforeLines="0" w:before="120" w:beforeAutospacing="0" w:afterLines="0" w:after="0" w:afterAutospacing="0" w:line="360" w:lineRule="auto"/>
      </w:pPr>
      <w:rPr>
        <w:rFonts w:ascii="Arial" w:hAnsi="Arial"/>
        <w:b/>
        <w:color w:val="FFFFFF" w:themeColor="background1"/>
        <w:sz w:val="24"/>
      </w:rPr>
      <w:tblPr>
        <w:tblCellMar>
          <w:top w:w="0" w:type="dxa"/>
          <w:left w:w="113" w:type="dxa"/>
          <w:bottom w:w="0" w:type="dxa"/>
          <w:right w:w="113" w:type="dxa"/>
        </w:tblCellMar>
      </w:tblPr>
      <w:tcPr>
        <w:shd w:val="clear" w:color="auto" w:fill="0054BA" w:themeFill="accent2"/>
      </w:tcPr>
    </w:tblStylePr>
    <w:tblStylePr w:type="band1Horz">
      <w:tblPr/>
      <w:tcPr>
        <w:shd w:val="clear" w:color="auto" w:fill="CCDDEF"/>
      </w:tcPr>
    </w:tblStylePr>
  </w:style>
  <w:style w:type="paragraph" w:customStyle="1" w:styleId="Tablecolumnheading-inkblue">
    <w:name w:val="Table column heading - ink blue"/>
    <w:basedOn w:val="Normal"/>
    <w:qFormat/>
    <w:rsid w:val="00BC6757"/>
    <w:pPr>
      <w:keepNext/>
      <w:spacing w:before="120" w:after="0"/>
    </w:pPr>
    <w:rPr>
      <w:color w:val="142855" w:themeColor="text2"/>
    </w:rPr>
  </w:style>
  <w:style w:type="paragraph" w:customStyle="1" w:styleId="Tabletext">
    <w:name w:val="Table text"/>
    <w:basedOn w:val="Normal"/>
    <w:autoRedefine/>
    <w:qFormat/>
    <w:rsid w:val="00F548A2"/>
    <w:pPr>
      <w:spacing w:before="120" w:after="0"/>
    </w:pPr>
    <w:rPr>
      <w:rFonts w:cstheme="minorHAnsi"/>
      <w:color w:val="1D1D1B" w:themeColor="text1"/>
      <w:szCs w:val="24"/>
      <w:lang w:eastAsia="en-GB"/>
    </w:rPr>
  </w:style>
  <w:style w:type="character" w:customStyle="1" w:styleId="Bold">
    <w:name w:val="Bold"/>
    <w:uiPriority w:val="1"/>
    <w:qFormat/>
    <w:rsid w:val="001E2B20"/>
    <w:rPr>
      <w:b/>
    </w:rPr>
  </w:style>
  <w:style w:type="paragraph" w:styleId="Caption">
    <w:name w:val="caption"/>
    <w:basedOn w:val="Normal"/>
    <w:next w:val="Normal"/>
    <w:uiPriority w:val="49"/>
    <w:unhideWhenUsed/>
    <w:qFormat/>
    <w:rsid w:val="006E4288"/>
    <w:pPr>
      <w:spacing w:before="120"/>
    </w:pPr>
    <w:rPr>
      <w:iCs/>
      <w:color w:val="555674"/>
      <w:szCs w:val="18"/>
    </w:rPr>
  </w:style>
  <w:style w:type="paragraph" w:customStyle="1" w:styleId="Tablecolumnheading-white">
    <w:name w:val="Table column heading - white"/>
    <w:basedOn w:val="Tablecolumnheading-inkblue"/>
    <w:qFormat/>
    <w:rsid w:val="00C62D36"/>
    <w:rPr>
      <w:rFonts w:ascii="Arial" w:hAnsi="Arial"/>
      <w:color w:val="FFFFFF" w:themeColor="background1"/>
    </w:rPr>
  </w:style>
  <w:style w:type="table" w:customStyle="1" w:styleId="BBBTableoption1">
    <w:name w:val="BBB Table option 1"/>
    <w:basedOn w:val="TableNormal"/>
    <w:uiPriority w:val="99"/>
    <w:rsid w:val="00E523BE"/>
    <w:pPr>
      <w:spacing w:after="0" w:line="240" w:lineRule="auto"/>
    </w:pPr>
    <w:rPr>
      <w:sz w:val="24"/>
    </w:rPr>
    <w:tblPr>
      <w:tblBorders>
        <w:bottom w:val="single" w:sz="4" w:space="0" w:color="0054BA" w:themeColor="accent2"/>
        <w:insideH w:val="single" w:sz="4" w:space="0" w:color="0054BA" w:themeColor="accent2"/>
      </w:tblBorders>
      <w:tblCellMar>
        <w:left w:w="0" w:type="dxa"/>
        <w:right w:w="0" w:type="dxa"/>
      </w:tblCellMar>
    </w:tblPr>
    <w:tcPr>
      <w:vAlign w:val="bottom"/>
    </w:tcPr>
    <w:tblStylePr w:type="firstRow">
      <w:rPr>
        <w:b/>
      </w:rPr>
      <w:tblPr/>
      <w:tcPr>
        <w:vAlign w:val="bottom"/>
      </w:tcPr>
    </w:tblStylePr>
  </w:style>
  <w:style w:type="table" w:styleId="TableGridLight">
    <w:name w:val="Grid Table Light"/>
    <w:aliases w:val="BBB small table"/>
    <w:basedOn w:val="TableNormal"/>
    <w:uiPriority w:val="40"/>
    <w:rsid w:val="00C62D36"/>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EFF4F6"/>
    </w:tcPr>
    <w:tblStylePr w:type="firstRow">
      <w:pPr>
        <w:wordWrap/>
        <w:spacing w:beforeLines="0" w:before="120" w:beforeAutospacing="0" w:afterLines="0" w:after="0" w:afterAutospacing="0" w:line="360" w:lineRule="auto"/>
      </w:pPr>
      <w:rPr>
        <w:rFonts w:asciiTheme="minorHAnsi" w:hAnsiTheme="minorHAnsi"/>
        <w:b/>
        <w:sz w:val="24"/>
      </w:rPr>
    </w:tblStylePr>
  </w:style>
  <w:style w:type="paragraph" w:customStyle="1" w:styleId="Contentsheading">
    <w:name w:val="Contents heading"/>
    <w:basedOn w:val="Normal"/>
    <w:qFormat/>
    <w:rsid w:val="00C62D36"/>
    <w:pPr>
      <w:spacing w:after="1200"/>
    </w:pPr>
    <w:rPr>
      <w:b/>
      <w:color w:val="142855" w:themeColor="text2"/>
      <w:sz w:val="44"/>
    </w:rPr>
  </w:style>
  <w:style w:type="paragraph" w:styleId="TOC1">
    <w:name w:val="toc 1"/>
    <w:basedOn w:val="Normal"/>
    <w:next w:val="Normal"/>
    <w:autoRedefine/>
    <w:uiPriority w:val="39"/>
    <w:unhideWhenUsed/>
    <w:rsid w:val="00B16629"/>
    <w:pPr>
      <w:pBdr>
        <w:top w:val="single" w:sz="4" w:space="4" w:color="0054BA" w:themeColor="accent2"/>
        <w:bottom w:val="single" w:sz="4" w:space="4" w:color="0054BA" w:themeColor="accent2"/>
      </w:pBdr>
      <w:tabs>
        <w:tab w:val="right" w:pos="6629"/>
      </w:tabs>
      <w:spacing w:after="300" w:line="288" w:lineRule="auto"/>
      <w:ind w:left="221"/>
    </w:pPr>
    <w:rPr>
      <w:b/>
      <w:bCs/>
      <w:noProof/>
      <w:color w:val="142855" w:themeColor="text2"/>
    </w:rPr>
  </w:style>
  <w:style w:type="paragraph" w:styleId="TOC2">
    <w:name w:val="toc 2"/>
    <w:basedOn w:val="Normal"/>
    <w:next w:val="Normal"/>
    <w:autoRedefine/>
    <w:uiPriority w:val="39"/>
    <w:unhideWhenUsed/>
    <w:rsid w:val="004C2C2E"/>
    <w:pPr>
      <w:tabs>
        <w:tab w:val="right" w:pos="4707"/>
      </w:tabs>
      <w:spacing w:before="120" w:line="288" w:lineRule="auto"/>
      <w:ind w:left="221"/>
    </w:pPr>
    <w:rPr>
      <w:rFonts w:asciiTheme="majorHAnsi" w:eastAsiaTheme="majorEastAsia" w:hAnsiTheme="majorHAnsi" w:cstheme="majorBidi"/>
      <w:noProof/>
      <w:color w:val="1D1D1B" w:themeColor="text1"/>
      <w:sz w:val="22"/>
    </w:rPr>
  </w:style>
  <w:style w:type="paragraph" w:styleId="TOC3">
    <w:name w:val="toc 3"/>
    <w:basedOn w:val="Normal"/>
    <w:next w:val="Normal"/>
    <w:autoRedefine/>
    <w:uiPriority w:val="39"/>
    <w:unhideWhenUsed/>
    <w:rsid w:val="00396B78"/>
    <w:pPr>
      <w:tabs>
        <w:tab w:val="right" w:pos="4707"/>
      </w:tabs>
      <w:spacing w:after="100" w:line="288" w:lineRule="auto"/>
      <w:ind w:left="442"/>
    </w:pPr>
    <w:rPr>
      <w:color w:val="1D1D1B" w:themeColor="text1"/>
      <w:sz w:val="22"/>
    </w:rPr>
  </w:style>
  <w:style w:type="character" w:styleId="Hyperlink">
    <w:name w:val="Hyperlink"/>
    <w:basedOn w:val="DefaultParagraphFont"/>
    <w:uiPriority w:val="99"/>
    <w:unhideWhenUsed/>
    <w:rsid w:val="00157ACD"/>
    <w:rPr>
      <w:color w:val="142855" w:themeColor="text2"/>
      <w:u w:val="single"/>
    </w:rPr>
  </w:style>
  <w:style w:type="paragraph" w:styleId="Header">
    <w:name w:val="header"/>
    <w:basedOn w:val="Normal"/>
    <w:link w:val="HeaderChar"/>
    <w:uiPriority w:val="99"/>
    <w:unhideWhenUsed/>
    <w:rsid w:val="00D13154"/>
    <w:pPr>
      <w:tabs>
        <w:tab w:val="center" w:pos="4513"/>
        <w:tab w:val="right" w:pos="9026"/>
      </w:tabs>
      <w:spacing w:after="0" w:line="240" w:lineRule="auto"/>
    </w:pPr>
    <w:rPr>
      <w:b/>
      <w:color w:val="0054BA" w:themeColor="accent2"/>
    </w:rPr>
  </w:style>
  <w:style w:type="character" w:customStyle="1" w:styleId="HeaderChar">
    <w:name w:val="Header Char"/>
    <w:basedOn w:val="DefaultParagraphFont"/>
    <w:link w:val="Header"/>
    <w:uiPriority w:val="99"/>
    <w:rsid w:val="00D13154"/>
    <w:rPr>
      <w:b/>
      <w:color w:val="0054BA" w:themeColor="accent2"/>
      <w:sz w:val="24"/>
    </w:rPr>
  </w:style>
  <w:style w:type="paragraph" w:styleId="Footer">
    <w:name w:val="footer"/>
    <w:basedOn w:val="Normal"/>
    <w:link w:val="FooterChar"/>
    <w:uiPriority w:val="99"/>
    <w:unhideWhenUsed/>
    <w:rsid w:val="00BC44D7"/>
    <w:pPr>
      <w:tabs>
        <w:tab w:val="center" w:pos="4513"/>
        <w:tab w:val="right" w:pos="9026"/>
      </w:tabs>
      <w:spacing w:after="0" w:line="240" w:lineRule="auto"/>
    </w:pPr>
    <w:rPr>
      <w:color w:val="142855" w:themeColor="text2"/>
    </w:rPr>
  </w:style>
  <w:style w:type="character" w:customStyle="1" w:styleId="FooterChar">
    <w:name w:val="Footer Char"/>
    <w:basedOn w:val="DefaultParagraphFont"/>
    <w:link w:val="Footer"/>
    <w:uiPriority w:val="99"/>
    <w:rsid w:val="00BC44D7"/>
    <w:rPr>
      <w:color w:val="142855" w:themeColor="text2"/>
      <w:sz w:val="24"/>
    </w:rPr>
  </w:style>
  <w:style w:type="paragraph" w:styleId="Closing">
    <w:name w:val="Closing"/>
    <w:basedOn w:val="Normal"/>
    <w:link w:val="ClosingChar"/>
    <w:uiPriority w:val="99"/>
    <w:unhideWhenUsed/>
    <w:rsid w:val="00F56FD5"/>
    <w:pPr>
      <w:spacing w:after="0"/>
    </w:pPr>
    <w:rPr>
      <w:color w:val="142855" w:themeColor="text2"/>
    </w:rPr>
  </w:style>
  <w:style w:type="character" w:customStyle="1" w:styleId="ClosingChar">
    <w:name w:val="Closing Char"/>
    <w:basedOn w:val="DefaultParagraphFont"/>
    <w:link w:val="Closing"/>
    <w:uiPriority w:val="99"/>
    <w:rsid w:val="00F56FD5"/>
    <w:rPr>
      <w:color w:val="142855" w:themeColor="text2"/>
      <w:sz w:val="24"/>
    </w:rPr>
  </w:style>
  <w:style w:type="character" w:styleId="UnresolvedMention">
    <w:name w:val="Unresolved Mention"/>
    <w:basedOn w:val="DefaultParagraphFont"/>
    <w:uiPriority w:val="99"/>
    <w:unhideWhenUsed/>
    <w:rsid w:val="00F56FD5"/>
    <w:rPr>
      <w:color w:val="605E5C"/>
      <w:shd w:val="clear" w:color="auto" w:fill="E1DFDD"/>
    </w:rPr>
  </w:style>
  <w:style w:type="paragraph" w:customStyle="1" w:styleId="Tablerowheading-inkblue">
    <w:name w:val="Table row heading - ink blue"/>
    <w:basedOn w:val="Tablecolumnheading-white"/>
    <w:qFormat/>
    <w:rsid w:val="00D750DE"/>
    <w:rPr>
      <w:color w:val="142855" w:themeColor="text2"/>
    </w:rPr>
  </w:style>
  <w:style w:type="table" w:customStyle="1" w:styleId="BBBsummarytable">
    <w:name w:val="BBB summary table"/>
    <w:basedOn w:val="TableNormal"/>
    <w:uiPriority w:val="99"/>
    <w:rsid w:val="00E523BE"/>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FFFFFF" w:themeFill="background1"/>
      <w:vAlign w:val="bottom"/>
    </w:tcPr>
    <w:tblStylePr w:type="firstCol">
      <w:rPr>
        <w:b/>
      </w:rPr>
      <w:tblPr/>
      <w:tcPr>
        <w:shd w:val="clear" w:color="auto" w:fill="EFF4F6"/>
      </w:tcPr>
    </w:tblStylePr>
  </w:style>
  <w:style w:type="paragraph" w:styleId="ListNumber">
    <w:name w:val="List Number"/>
    <w:basedOn w:val="Normal"/>
    <w:uiPriority w:val="99"/>
    <w:unhideWhenUsed/>
    <w:rsid w:val="00356261"/>
    <w:pPr>
      <w:numPr>
        <w:numId w:val="5"/>
      </w:numPr>
    </w:pPr>
  </w:style>
  <w:style w:type="table" w:styleId="PlainTable2">
    <w:name w:val="Plain Table 2"/>
    <w:basedOn w:val="TableNormal"/>
    <w:uiPriority w:val="42"/>
    <w:rsid w:val="00BC44D7"/>
    <w:pPr>
      <w:spacing w:after="0" w:line="240" w:lineRule="auto"/>
    </w:pPr>
    <w:tblPr>
      <w:tblStyleRowBandSize w:val="1"/>
      <w:tblStyleColBandSize w:val="1"/>
      <w:tblBorders>
        <w:top w:val="single" w:sz="4" w:space="0" w:color="919188" w:themeColor="text1" w:themeTint="80"/>
        <w:bottom w:val="single" w:sz="4" w:space="0" w:color="919188" w:themeColor="text1" w:themeTint="80"/>
      </w:tblBorders>
    </w:tbl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customStyle="1" w:styleId="BBBfootertable">
    <w:name w:val="BBB footer table"/>
    <w:basedOn w:val="TableNormal"/>
    <w:uiPriority w:val="99"/>
    <w:rsid w:val="00BC44D7"/>
    <w:pPr>
      <w:spacing w:after="0" w:line="240" w:lineRule="auto"/>
    </w:pPr>
    <w:rPr>
      <w:color w:val="142855" w:themeColor="text2"/>
      <w:sz w:val="24"/>
    </w:rPr>
    <w:tblPr>
      <w:tblBorders>
        <w:top w:val="single" w:sz="4" w:space="0" w:color="142855" w:themeColor="text2"/>
      </w:tblBorders>
      <w:tblCellMar>
        <w:top w:w="113" w:type="dxa"/>
        <w:left w:w="0" w:type="dxa"/>
        <w:right w:w="0" w:type="dxa"/>
      </w:tblCellMar>
    </w:tblPr>
    <w:tblStylePr w:type="firstCol">
      <w:rPr>
        <w:b/>
      </w:rPr>
    </w:tblStylePr>
  </w:style>
  <w:style w:type="paragraph" w:styleId="NoSpacing">
    <w:name w:val="No Spacing"/>
    <w:uiPriority w:val="1"/>
    <w:qFormat/>
    <w:rsid w:val="00176EA1"/>
    <w:pPr>
      <w:spacing w:after="0" w:line="240" w:lineRule="auto"/>
    </w:pPr>
    <w:rPr>
      <w:sz w:val="24"/>
    </w:rPr>
  </w:style>
  <w:style w:type="character" w:customStyle="1" w:styleId="Italic">
    <w:name w:val="Italic"/>
    <w:uiPriority w:val="1"/>
    <w:qFormat/>
    <w:rsid w:val="00877B1E"/>
    <w:rPr>
      <w:i/>
    </w:rPr>
  </w:style>
  <w:style w:type="paragraph" w:styleId="Signature">
    <w:name w:val="Signature"/>
    <w:basedOn w:val="Normal"/>
    <w:link w:val="SignatureChar"/>
    <w:uiPriority w:val="99"/>
    <w:unhideWhenUsed/>
    <w:rsid w:val="009E00AB"/>
    <w:pPr>
      <w:spacing w:after="0" w:line="240" w:lineRule="auto"/>
      <w:ind w:left="4252"/>
    </w:pPr>
  </w:style>
  <w:style w:type="character" w:customStyle="1" w:styleId="SignatureChar">
    <w:name w:val="Signature Char"/>
    <w:basedOn w:val="DefaultParagraphFont"/>
    <w:link w:val="Signature"/>
    <w:uiPriority w:val="99"/>
    <w:rsid w:val="009E00AB"/>
    <w:rPr>
      <w:sz w:val="24"/>
    </w:rPr>
  </w:style>
  <w:style w:type="paragraph" w:styleId="BlockText">
    <w:name w:val="Block Text"/>
    <w:basedOn w:val="Normal"/>
    <w:uiPriority w:val="99"/>
    <w:unhideWhenUsed/>
    <w:rsid w:val="006C48EF"/>
    <w:pPr>
      <w:tabs>
        <w:tab w:val="left" w:pos="284"/>
      </w:tabs>
      <w:spacing w:after="120"/>
    </w:pPr>
    <w:rPr>
      <w:rFonts w:eastAsiaTheme="minorEastAsia"/>
      <w:iCs/>
      <w:color w:val="142855" w:themeColor="text2"/>
    </w:rPr>
  </w:style>
  <w:style w:type="paragraph" w:customStyle="1" w:styleId="Companyinformation">
    <w:name w:val="Company information"/>
    <w:basedOn w:val="BlockText"/>
    <w:qFormat/>
    <w:rsid w:val="006A1A04"/>
    <w:pPr>
      <w:spacing w:before="360" w:after="0"/>
    </w:pPr>
    <w:rPr>
      <w:color w:val="555674"/>
    </w:rPr>
  </w:style>
  <w:style w:type="table" w:styleId="GridTable4-Accent1">
    <w:name w:val="Grid Table 4 Accent 1"/>
    <w:basedOn w:val="TableNormal"/>
    <w:uiPriority w:val="49"/>
    <w:rsid w:val="00263AFE"/>
    <w:pPr>
      <w:spacing w:after="0" w:line="240" w:lineRule="auto"/>
    </w:pPr>
    <w:tblPr>
      <w:tblStyleRowBandSize w:val="1"/>
      <w:tblStyleColBandSize w:val="1"/>
      <w:tblBorders>
        <w:top w:val="single" w:sz="4" w:space="0" w:color="FF848F" w:themeColor="accent1" w:themeTint="99"/>
        <w:left w:val="single" w:sz="4" w:space="0" w:color="FF848F" w:themeColor="accent1" w:themeTint="99"/>
        <w:bottom w:val="single" w:sz="4" w:space="0" w:color="FF848F" w:themeColor="accent1" w:themeTint="99"/>
        <w:right w:val="single" w:sz="4" w:space="0" w:color="FF848F" w:themeColor="accent1" w:themeTint="99"/>
        <w:insideH w:val="single" w:sz="4" w:space="0" w:color="FF848F" w:themeColor="accent1" w:themeTint="99"/>
        <w:insideV w:val="single" w:sz="4" w:space="0" w:color="FF848F" w:themeColor="accent1" w:themeTint="99"/>
      </w:tblBorders>
    </w:tblPr>
    <w:tblStylePr w:type="firstRow">
      <w:rPr>
        <w:b/>
        <w:bCs/>
        <w:color w:val="FFFFFF" w:themeColor="background1"/>
      </w:rPr>
      <w:tblPr/>
      <w:tcPr>
        <w:tcBorders>
          <w:top w:val="single" w:sz="4" w:space="0" w:color="FF3246" w:themeColor="accent1"/>
          <w:left w:val="single" w:sz="4" w:space="0" w:color="FF3246" w:themeColor="accent1"/>
          <w:bottom w:val="single" w:sz="4" w:space="0" w:color="FF3246" w:themeColor="accent1"/>
          <w:right w:val="single" w:sz="4" w:space="0" w:color="FF3246" w:themeColor="accent1"/>
          <w:insideH w:val="nil"/>
          <w:insideV w:val="nil"/>
        </w:tcBorders>
        <w:shd w:val="clear" w:color="auto" w:fill="FF3246" w:themeFill="accent1"/>
      </w:tcPr>
    </w:tblStylePr>
    <w:tblStylePr w:type="lastRow">
      <w:rPr>
        <w:b/>
        <w:bCs/>
      </w:rPr>
      <w:tblPr/>
      <w:tcPr>
        <w:tcBorders>
          <w:top w:val="double" w:sz="4" w:space="0" w:color="FF3246" w:themeColor="accent1"/>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f"/>
    <w:basedOn w:val="Normal"/>
    <w:link w:val="FootnoteTextChar"/>
    <w:autoRedefine/>
    <w:uiPriority w:val="99"/>
    <w:unhideWhenUsed/>
    <w:qFormat/>
    <w:rsid w:val="00464FC0"/>
    <w:pPr>
      <w:spacing w:after="0" w:line="240" w:lineRule="auto"/>
    </w:pPr>
    <w:rPr>
      <w:rFonts w:cs="Arial (Body CS)"/>
      <w:color w:val="142855" w:themeColor="text2"/>
      <w:sz w:val="18"/>
      <w:szCs w:val="18"/>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f Char"/>
    <w:basedOn w:val="DefaultParagraphFont"/>
    <w:link w:val="FootnoteText"/>
    <w:uiPriority w:val="99"/>
    <w:rsid w:val="00464FC0"/>
    <w:rPr>
      <w:rFonts w:cs="Arial (Body CS)"/>
      <w:color w:val="142855" w:themeColor="text2"/>
      <w:sz w:val="18"/>
      <w:szCs w:val="18"/>
    </w:rPr>
  </w:style>
  <w:style w:type="character" w:styleId="FootnoteReference">
    <w:name w:val="footnote reference"/>
    <w:aliases w:val="ftref,Footnote symbol,Footnote reference number,Times 10 Point,Exposant 3 Point,EN Footnote Reference,note TESI,-E Fußnotenzeichen,Footnote Reference/,number,Footnote Reference Number,Voetnootverwijzing,Fußnotenzeichen2,BVI fnr,callou"/>
    <w:basedOn w:val="DefaultParagraphFont"/>
    <w:uiPriority w:val="99"/>
    <w:unhideWhenUsed/>
    <w:qFormat/>
    <w:rsid w:val="00263AFE"/>
    <w:rPr>
      <w:vertAlign w:val="superscript"/>
    </w:rPr>
  </w:style>
  <w:style w:type="character" w:styleId="CommentReference">
    <w:name w:val="annotation reference"/>
    <w:basedOn w:val="DefaultParagraphFont"/>
    <w:uiPriority w:val="99"/>
    <w:unhideWhenUsed/>
    <w:rsid w:val="00F84393"/>
    <w:rPr>
      <w:sz w:val="16"/>
      <w:szCs w:val="16"/>
    </w:rPr>
  </w:style>
  <w:style w:type="paragraph" w:styleId="CommentText">
    <w:name w:val="annotation text"/>
    <w:basedOn w:val="Normal"/>
    <w:link w:val="CommentTextChar"/>
    <w:uiPriority w:val="99"/>
    <w:unhideWhenUsed/>
    <w:rsid w:val="00F84393"/>
    <w:pPr>
      <w:spacing w:line="240" w:lineRule="auto"/>
    </w:pPr>
    <w:rPr>
      <w:sz w:val="20"/>
      <w:szCs w:val="20"/>
    </w:rPr>
  </w:style>
  <w:style w:type="character" w:customStyle="1" w:styleId="CommentTextChar">
    <w:name w:val="Comment Text Char"/>
    <w:basedOn w:val="DefaultParagraphFont"/>
    <w:link w:val="CommentText"/>
    <w:uiPriority w:val="99"/>
    <w:rsid w:val="00F84393"/>
    <w:rPr>
      <w:sz w:val="20"/>
      <w:szCs w:val="20"/>
    </w:rPr>
  </w:style>
  <w:style w:type="paragraph" w:styleId="CommentSubject">
    <w:name w:val="annotation subject"/>
    <w:basedOn w:val="CommentText"/>
    <w:next w:val="CommentText"/>
    <w:link w:val="CommentSubjectChar"/>
    <w:uiPriority w:val="99"/>
    <w:unhideWhenUsed/>
    <w:rsid w:val="00F84393"/>
    <w:rPr>
      <w:b/>
      <w:bCs/>
    </w:rPr>
  </w:style>
  <w:style w:type="character" w:customStyle="1" w:styleId="CommentSubjectChar">
    <w:name w:val="Comment Subject Char"/>
    <w:basedOn w:val="CommentTextChar"/>
    <w:link w:val="CommentSubject"/>
    <w:uiPriority w:val="99"/>
    <w:rsid w:val="00F84393"/>
    <w:rPr>
      <w:b/>
      <w:bCs/>
      <w:sz w:val="20"/>
      <w:szCs w:val="20"/>
    </w:rPr>
  </w:style>
  <w:style w:type="paragraph" w:customStyle="1" w:styleId="Bullet1">
    <w:name w:val="Bullet 1"/>
    <w:basedOn w:val="Normal"/>
    <w:uiPriority w:val="9"/>
    <w:qFormat/>
    <w:rsid w:val="003E3C65"/>
    <w:pPr>
      <w:numPr>
        <w:numId w:val="60"/>
      </w:numPr>
      <w:spacing w:line="264" w:lineRule="auto"/>
    </w:pPr>
    <w:rPr>
      <w:rFonts w:ascii="Arial" w:hAnsi="Arial"/>
      <w:color w:val="1D1D1B" w:themeColor="text1"/>
      <w:sz w:val="22"/>
    </w:rPr>
  </w:style>
  <w:style w:type="paragraph" w:customStyle="1" w:styleId="Bullet2">
    <w:name w:val="Bullet 2"/>
    <w:basedOn w:val="Bullet1"/>
    <w:uiPriority w:val="9"/>
    <w:qFormat/>
    <w:rsid w:val="003E3C65"/>
    <w:pPr>
      <w:numPr>
        <w:ilvl w:val="1"/>
      </w:numPr>
    </w:pPr>
  </w:style>
  <w:style w:type="numbering" w:customStyle="1" w:styleId="NumbLstBullet">
    <w:name w:val="NumbLstBullet"/>
    <w:uiPriority w:val="99"/>
    <w:rsid w:val="003E3C65"/>
    <w:pPr>
      <w:numPr>
        <w:numId w:val="7"/>
      </w:numPr>
    </w:pPr>
  </w:style>
  <w:style w:type="paragraph" w:customStyle="1" w:styleId="TableTitle">
    <w:name w:val="TableTitle"/>
    <w:basedOn w:val="Normal"/>
    <w:uiPriority w:val="22"/>
    <w:qFormat/>
    <w:rsid w:val="003E3C65"/>
    <w:pPr>
      <w:spacing w:before="200" w:after="100" w:line="264" w:lineRule="auto"/>
    </w:pPr>
    <w:rPr>
      <w:rFonts w:ascii="Arial" w:hAnsi="Arial"/>
      <w:b/>
      <w:color w:val="1D1D1B" w:themeColor="text1"/>
      <w:sz w:val="22"/>
    </w:rPr>
  </w:style>
  <w:style w:type="paragraph" w:styleId="ListParagraph">
    <w:name w:val="List Paragraph"/>
    <w:aliases w:val="Colorful List - Accent 11,Dot pt,No Spacing1,List Paragraph Char Char Char,Indicator Text,List Paragraph1,Numbered Para 1,Bullet Points,MAIN CONTENT,List Paragraph12,F5 List Paragraph,List Paragraph2,Normal numbered,OBC Bullet,L,Questions"/>
    <w:basedOn w:val="Normal"/>
    <w:link w:val="ListParagraphChar"/>
    <w:uiPriority w:val="34"/>
    <w:qFormat/>
    <w:rsid w:val="003E3C65"/>
    <w:pPr>
      <w:spacing w:line="276" w:lineRule="auto"/>
      <w:ind w:left="720"/>
      <w:contextualSpacing/>
    </w:pPr>
    <w:rPr>
      <w:rFonts w:ascii="Calibri" w:eastAsia="Calibri" w:hAnsi="Calibri" w:cs="Times New Roman"/>
      <w:sz w:val="22"/>
    </w:rPr>
  </w:style>
  <w:style w:type="character" w:customStyle="1" w:styleId="ListParagraphChar">
    <w:name w:val="List Paragraph Char"/>
    <w:aliases w:val="Colorful List - Accent 11 Char,Dot pt Char,No Spacing1 Char,List Paragraph Char Char Char Char,Indicator Text Char,List Paragraph1 Char,Numbered Para 1 Char,Bullet Points Char,MAIN CONTENT Char,List Paragraph12 Char,OBC Bullet Char"/>
    <w:link w:val="ListParagraph"/>
    <w:uiPriority w:val="34"/>
    <w:qFormat/>
    <w:rsid w:val="003E3C65"/>
    <w:rPr>
      <w:rFonts w:ascii="Calibri" w:eastAsia="Calibri" w:hAnsi="Calibri" w:cs="Times New Roman"/>
    </w:rPr>
  </w:style>
  <w:style w:type="paragraph" w:customStyle="1" w:styleId="Heading1Num">
    <w:name w:val="Heading 1Num"/>
    <w:basedOn w:val="Heading1"/>
    <w:next w:val="Normal"/>
    <w:autoRedefine/>
    <w:uiPriority w:val="1"/>
    <w:qFormat/>
    <w:rsid w:val="002B150D"/>
    <w:pPr>
      <w:pageBreakBefore/>
      <w:numPr>
        <w:numId w:val="9"/>
      </w:numPr>
      <w:spacing w:after="0" w:line="240" w:lineRule="atLeast"/>
    </w:pPr>
    <w:rPr>
      <w:rFonts w:ascii="Arial" w:hAnsi="Arial"/>
      <w:b w:val="0"/>
      <w:bCs/>
      <w:caps/>
      <w:color w:val="FFFFFF" w:themeColor="background2"/>
      <w:sz w:val="40"/>
      <w:szCs w:val="28"/>
    </w:rPr>
  </w:style>
  <w:style w:type="paragraph" w:customStyle="1" w:styleId="Heading2Num">
    <w:name w:val="Heading 2Num"/>
    <w:basedOn w:val="Heading2"/>
    <w:next w:val="Normal"/>
    <w:autoRedefine/>
    <w:uiPriority w:val="1"/>
    <w:qFormat/>
    <w:rsid w:val="002B150D"/>
    <w:pPr>
      <w:numPr>
        <w:ilvl w:val="1"/>
        <w:numId w:val="9"/>
      </w:numPr>
      <w:pBdr>
        <w:top w:val="none" w:sz="0" w:space="0" w:color="auto"/>
      </w:pBdr>
      <w:shd w:val="clear" w:color="auto" w:fill="BEDBFF" w:themeFill="accent2" w:themeFillTint="33"/>
      <w:tabs>
        <w:tab w:val="num" w:pos="794"/>
      </w:tabs>
      <w:spacing w:before="240" w:after="120" w:line="320" w:lineRule="atLeast"/>
    </w:pPr>
    <w:rPr>
      <w:rFonts w:ascii="Arial Bold" w:hAnsi="Arial Bold"/>
      <w:bCs/>
      <w:color w:val="1D1D1B" w:themeColor="text1"/>
    </w:rPr>
  </w:style>
  <w:style w:type="paragraph" w:customStyle="1" w:styleId="Heading3Numb">
    <w:name w:val="Heading 3Numb"/>
    <w:basedOn w:val="Heading3"/>
    <w:next w:val="Normal"/>
    <w:uiPriority w:val="1"/>
    <w:qFormat/>
    <w:rsid w:val="002B150D"/>
    <w:pPr>
      <w:numPr>
        <w:ilvl w:val="2"/>
        <w:numId w:val="9"/>
      </w:numPr>
      <w:spacing w:before="240" w:after="120" w:line="280" w:lineRule="atLeast"/>
    </w:pPr>
    <w:rPr>
      <w:rFonts w:ascii="Arial Bold" w:hAnsi="Arial Bold"/>
      <w:bCs/>
      <w:szCs w:val="22"/>
    </w:rPr>
  </w:style>
  <w:style w:type="numbering" w:customStyle="1" w:styleId="NumbLstMain">
    <w:name w:val="NumbLstMain"/>
    <w:uiPriority w:val="99"/>
    <w:rsid w:val="002B150D"/>
    <w:pPr>
      <w:numPr>
        <w:numId w:val="8"/>
      </w:numPr>
    </w:pPr>
  </w:style>
  <w:style w:type="paragraph" w:customStyle="1" w:styleId="TableText0">
    <w:name w:val="TableText"/>
    <w:basedOn w:val="Normal"/>
    <w:autoRedefine/>
    <w:uiPriority w:val="25"/>
    <w:qFormat/>
    <w:rsid w:val="00215990"/>
    <w:pPr>
      <w:spacing w:after="0" w:line="240" w:lineRule="auto"/>
      <w:ind w:right="57"/>
    </w:pPr>
    <w:rPr>
      <w:rFonts w:ascii="Arial" w:hAnsi="Arial" w:cs="Arial"/>
      <w:b/>
      <w:bCs/>
      <w:color w:val="1D1D1B" w:themeColor="text1"/>
      <w:sz w:val="20"/>
      <w:szCs w:val="24"/>
      <w:lang w:eastAsia="en-GB"/>
    </w:rPr>
  </w:style>
  <w:style w:type="paragraph" w:customStyle="1" w:styleId="TableBullet1">
    <w:name w:val="TableBullet 1"/>
    <w:basedOn w:val="TableText0"/>
    <w:uiPriority w:val="31"/>
    <w:qFormat/>
    <w:rsid w:val="001704D0"/>
    <w:pPr>
      <w:numPr>
        <w:ilvl w:val="2"/>
        <w:numId w:val="10"/>
      </w:numPr>
    </w:pPr>
  </w:style>
  <w:style w:type="paragraph" w:customStyle="1" w:styleId="TableBullet2">
    <w:name w:val="TableBullet 2"/>
    <w:basedOn w:val="TableText0"/>
    <w:uiPriority w:val="31"/>
    <w:qFormat/>
    <w:rsid w:val="001704D0"/>
    <w:pPr>
      <w:numPr>
        <w:ilvl w:val="3"/>
        <w:numId w:val="10"/>
      </w:numPr>
    </w:pPr>
  </w:style>
  <w:style w:type="paragraph" w:customStyle="1" w:styleId="TableNumbList1">
    <w:name w:val="TableNumbList 1"/>
    <w:basedOn w:val="TableText0"/>
    <w:uiPriority w:val="30"/>
    <w:qFormat/>
    <w:rsid w:val="001704D0"/>
    <w:pPr>
      <w:numPr>
        <w:numId w:val="10"/>
      </w:numPr>
    </w:pPr>
  </w:style>
  <w:style w:type="paragraph" w:customStyle="1" w:styleId="TableNumbList2">
    <w:name w:val="TableNumbList 2"/>
    <w:basedOn w:val="TableText0"/>
    <w:uiPriority w:val="30"/>
    <w:qFormat/>
    <w:rsid w:val="001704D0"/>
    <w:pPr>
      <w:numPr>
        <w:ilvl w:val="1"/>
        <w:numId w:val="10"/>
      </w:numPr>
    </w:pPr>
  </w:style>
  <w:style w:type="numbering" w:customStyle="1" w:styleId="NumbLstTables">
    <w:name w:val="NumbLstTables"/>
    <w:uiPriority w:val="99"/>
    <w:rsid w:val="001704D0"/>
    <w:pPr>
      <w:numPr>
        <w:numId w:val="10"/>
      </w:numPr>
    </w:pPr>
  </w:style>
  <w:style w:type="paragraph" w:customStyle="1" w:styleId="MinorBullet1">
    <w:name w:val="Minor Bullet 1"/>
    <w:basedOn w:val="Normal"/>
    <w:uiPriority w:val="8"/>
    <w:rsid w:val="00E73EF9"/>
    <w:pPr>
      <w:numPr>
        <w:numId w:val="11"/>
      </w:numPr>
      <w:spacing w:before="60" w:after="60" w:line="240" w:lineRule="auto"/>
      <w:jc w:val="both"/>
    </w:pPr>
    <w:rPr>
      <w:rFonts w:ascii="Calibri" w:hAnsi="Calibri"/>
      <w:sz w:val="22"/>
    </w:rPr>
  </w:style>
  <w:style w:type="paragraph" w:customStyle="1" w:styleId="MinorBullet2">
    <w:name w:val="Minor Bullet 2"/>
    <w:basedOn w:val="Normal"/>
    <w:uiPriority w:val="8"/>
    <w:rsid w:val="00E73EF9"/>
    <w:pPr>
      <w:numPr>
        <w:ilvl w:val="1"/>
        <w:numId w:val="11"/>
      </w:numPr>
      <w:spacing w:before="60" w:after="60" w:line="240" w:lineRule="auto"/>
      <w:jc w:val="both"/>
    </w:pPr>
    <w:rPr>
      <w:rFonts w:ascii="Calibri" w:hAnsi="Calibri"/>
      <w:sz w:val="22"/>
    </w:rPr>
  </w:style>
  <w:style w:type="paragraph" w:customStyle="1" w:styleId="MinorBullet3">
    <w:name w:val="Minor Bullet 3"/>
    <w:basedOn w:val="Normal"/>
    <w:uiPriority w:val="8"/>
    <w:qFormat/>
    <w:rsid w:val="00E73EF9"/>
    <w:pPr>
      <w:numPr>
        <w:ilvl w:val="2"/>
        <w:numId w:val="11"/>
      </w:numPr>
      <w:spacing w:before="60" w:after="60" w:line="240" w:lineRule="auto"/>
      <w:jc w:val="both"/>
    </w:pPr>
    <w:rPr>
      <w:rFonts w:ascii="Calibri" w:hAnsi="Calibri"/>
      <w:sz w:val="22"/>
    </w:rPr>
  </w:style>
  <w:style w:type="paragraph" w:styleId="IntenseQuote">
    <w:name w:val="Intense Quote"/>
    <w:basedOn w:val="Normal"/>
    <w:next w:val="Normal"/>
    <w:link w:val="IntenseQuoteChar"/>
    <w:uiPriority w:val="30"/>
    <w:qFormat/>
    <w:rsid w:val="00DD753F"/>
    <w:pPr>
      <w:pBdr>
        <w:top w:val="single" w:sz="4" w:space="10" w:color="FF3246" w:themeColor="accent1"/>
        <w:bottom w:val="single" w:sz="4" w:space="10" w:color="FF3246" w:themeColor="accent1"/>
      </w:pBdr>
      <w:spacing w:before="360" w:after="360" w:line="240" w:lineRule="auto"/>
      <w:ind w:left="864" w:right="864"/>
      <w:jc w:val="center"/>
    </w:pPr>
    <w:rPr>
      <w:rFonts w:ascii="Arial" w:hAnsi="Arial"/>
      <w:i/>
      <w:iCs/>
      <w:color w:val="FF3246" w:themeColor="accent1"/>
      <w:sz w:val="20"/>
    </w:rPr>
  </w:style>
  <w:style w:type="character" w:customStyle="1" w:styleId="IntenseQuoteChar">
    <w:name w:val="Intense Quote Char"/>
    <w:basedOn w:val="DefaultParagraphFont"/>
    <w:link w:val="IntenseQuote"/>
    <w:uiPriority w:val="30"/>
    <w:rsid w:val="00DD753F"/>
    <w:rPr>
      <w:rFonts w:ascii="Arial" w:hAnsi="Arial"/>
      <w:i/>
      <w:iCs/>
      <w:color w:val="FF3246" w:themeColor="accent1"/>
      <w:sz w:val="20"/>
    </w:rPr>
  </w:style>
  <w:style w:type="character" w:styleId="SubtleEmphasis">
    <w:name w:val="Subtle Emphasis"/>
    <w:basedOn w:val="DefaultParagraphFont"/>
    <w:uiPriority w:val="19"/>
    <w:qFormat/>
    <w:rsid w:val="00DD753F"/>
    <w:rPr>
      <w:i/>
      <w:iCs/>
      <w:color w:val="575752" w:themeColor="text1" w:themeTint="BF"/>
    </w:rPr>
  </w:style>
  <w:style w:type="character" w:styleId="IntenseEmphasis">
    <w:name w:val="Intense Emphasis"/>
    <w:basedOn w:val="DefaultParagraphFont"/>
    <w:uiPriority w:val="21"/>
    <w:qFormat/>
    <w:rsid w:val="00DD753F"/>
    <w:rPr>
      <w:i/>
      <w:iCs/>
      <w:color w:val="FF3246" w:themeColor="accent1"/>
    </w:rPr>
  </w:style>
  <w:style w:type="paragraph" w:styleId="NormalWeb">
    <w:name w:val="Normal (Web)"/>
    <w:basedOn w:val="Normal"/>
    <w:uiPriority w:val="99"/>
    <w:unhideWhenUsed/>
    <w:rsid w:val="00C023C4"/>
    <w:pPr>
      <w:spacing w:before="100" w:beforeAutospacing="1" w:after="100" w:afterAutospacing="1" w:line="240" w:lineRule="auto"/>
    </w:pPr>
    <w:rPr>
      <w:rFonts w:ascii="Times New Roman" w:eastAsia="Times New Roman" w:hAnsi="Times New Roman" w:cs="Times New Roman"/>
      <w:szCs w:val="24"/>
      <w:lang w:eastAsia="en-GB"/>
    </w:rPr>
  </w:style>
  <w:style w:type="table" w:styleId="GridTable5Dark-Accent1">
    <w:name w:val="Grid Table 5 Dark Accent 1"/>
    <w:basedOn w:val="TableNormal"/>
    <w:uiPriority w:val="50"/>
    <w:rsid w:val="00E220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24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24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24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246" w:themeFill="accent1"/>
      </w:tcPr>
    </w:tblStylePr>
    <w:tblStylePr w:type="band1Vert">
      <w:tblPr/>
      <w:tcPr>
        <w:shd w:val="clear" w:color="auto" w:fill="FFADB4" w:themeFill="accent1" w:themeFillTint="66"/>
      </w:tcPr>
    </w:tblStylePr>
    <w:tblStylePr w:type="band1Horz">
      <w:tblPr/>
      <w:tcPr>
        <w:shd w:val="clear" w:color="auto" w:fill="FFADB4" w:themeFill="accent1" w:themeFillTint="66"/>
      </w:tcPr>
    </w:tblStylePr>
  </w:style>
  <w:style w:type="table" w:styleId="GridTable2-Accent1">
    <w:name w:val="Grid Table 2 Accent 1"/>
    <w:basedOn w:val="TableNormal"/>
    <w:uiPriority w:val="47"/>
    <w:rsid w:val="0039050C"/>
    <w:pPr>
      <w:spacing w:after="0" w:line="240" w:lineRule="auto"/>
    </w:pPr>
    <w:tblPr>
      <w:tblStyleRowBandSize w:val="1"/>
      <w:tblStyleColBandSize w:val="1"/>
      <w:tblBorders>
        <w:top w:val="single" w:sz="2" w:space="0" w:color="FF848F" w:themeColor="accent1" w:themeTint="99"/>
        <w:bottom w:val="single" w:sz="2" w:space="0" w:color="FF848F" w:themeColor="accent1" w:themeTint="99"/>
        <w:insideH w:val="single" w:sz="2" w:space="0" w:color="FF848F" w:themeColor="accent1" w:themeTint="99"/>
        <w:insideV w:val="single" w:sz="2" w:space="0" w:color="FF848F" w:themeColor="accent1" w:themeTint="99"/>
      </w:tblBorders>
    </w:tblPr>
    <w:tblStylePr w:type="firstRow">
      <w:rPr>
        <w:b/>
        <w:bCs/>
      </w:rPr>
      <w:tblPr/>
      <w:tcPr>
        <w:tcBorders>
          <w:top w:val="nil"/>
          <w:bottom w:val="single" w:sz="12" w:space="0" w:color="FF848F" w:themeColor="accent1" w:themeTint="99"/>
          <w:insideH w:val="nil"/>
          <w:insideV w:val="nil"/>
        </w:tcBorders>
        <w:shd w:val="clear" w:color="auto" w:fill="FFFFFF" w:themeFill="background1"/>
      </w:tcPr>
    </w:tblStylePr>
    <w:tblStylePr w:type="lastRow">
      <w:rPr>
        <w:b/>
        <w:bCs/>
      </w:rPr>
      <w:tblPr/>
      <w:tcPr>
        <w:tcBorders>
          <w:top w:val="double" w:sz="2" w:space="0" w:color="FF848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styleId="GridTable1Light-Accent1">
    <w:name w:val="Grid Table 1 Light Accent 1"/>
    <w:basedOn w:val="TableNormal"/>
    <w:uiPriority w:val="46"/>
    <w:rsid w:val="0039050C"/>
    <w:pPr>
      <w:spacing w:after="0" w:line="240" w:lineRule="auto"/>
    </w:pPr>
    <w:tblPr>
      <w:tblStyleRowBandSize w:val="1"/>
      <w:tblStyleColBandSize w:val="1"/>
      <w:tblBorders>
        <w:top w:val="single" w:sz="4" w:space="0" w:color="FFADB4" w:themeColor="accent1" w:themeTint="66"/>
        <w:left w:val="single" w:sz="4" w:space="0" w:color="FFADB4" w:themeColor="accent1" w:themeTint="66"/>
        <w:bottom w:val="single" w:sz="4" w:space="0" w:color="FFADB4" w:themeColor="accent1" w:themeTint="66"/>
        <w:right w:val="single" w:sz="4" w:space="0" w:color="FFADB4" w:themeColor="accent1" w:themeTint="66"/>
        <w:insideH w:val="single" w:sz="4" w:space="0" w:color="FFADB4" w:themeColor="accent1" w:themeTint="66"/>
        <w:insideV w:val="single" w:sz="4" w:space="0" w:color="FFADB4" w:themeColor="accent1" w:themeTint="66"/>
      </w:tblBorders>
    </w:tblPr>
    <w:tblStylePr w:type="firstRow">
      <w:rPr>
        <w:b/>
        <w:bCs/>
      </w:rPr>
      <w:tblPr/>
      <w:tcPr>
        <w:tcBorders>
          <w:bottom w:val="single" w:sz="12" w:space="0" w:color="FF848F" w:themeColor="accent1" w:themeTint="99"/>
        </w:tcBorders>
      </w:tcPr>
    </w:tblStylePr>
    <w:tblStylePr w:type="lastRow">
      <w:rPr>
        <w:b/>
        <w:bCs/>
      </w:rPr>
      <w:tblPr/>
      <w:tcPr>
        <w:tcBorders>
          <w:top w:val="double" w:sz="2" w:space="0" w:color="FF848F" w:themeColor="accent1" w:themeTint="99"/>
        </w:tcBorders>
      </w:tcPr>
    </w:tblStylePr>
    <w:tblStylePr w:type="firstCol">
      <w:rPr>
        <w:b/>
        <w:bCs/>
      </w:rPr>
    </w:tblStylePr>
    <w:tblStylePr w:type="lastCol">
      <w:rPr>
        <w:b/>
        <w:bCs/>
      </w:rPr>
    </w:tblStylePr>
  </w:style>
  <w:style w:type="table" w:styleId="ListTable6Colorful-Accent1">
    <w:name w:val="List Table 6 Colorful Accent 1"/>
    <w:basedOn w:val="TableNormal"/>
    <w:uiPriority w:val="51"/>
    <w:rsid w:val="0039050C"/>
    <w:pPr>
      <w:spacing w:after="0" w:line="240" w:lineRule="auto"/>
    </w:pPr>
    <w:rPr>
      <w:color w:val="E40015" w:themeColor="accent1" w:themeShade="BF"/>
    </w:rPr>
    <w:tblPr>
      <w:tblStyleRowBandSize w:val="1"/>
      <w:tblStyleColBandSize w:val="1"/>
      <w:tblBorders>
        <w:top w:val="single" w:sz="4" w:space="0" w:color="FF3246" w:themeColor="accent1"/>
        <w:bottom w:val="single" w:sz="4" w:space="0" w:color="FF3246" w:themeColor="accent1"/>
      </w:tblBorders>
    </w:tblPr>
    <w:tblStylePr w:type="firstRow">
      <w:rPr>
        <w:b/>
        <w:bCs/>
      </w:rPr>
      <w:tblPr/>
      <w:tcPr>
        <w:tcBorders>
          <w:bottom w:val="single" w:sz="4" w:space="0" w:color="FF3246" w:themeColor="accent1"/>
        </w:tcBorders>
      </w:tcPr>
    </w:tblStylePr>
    <w:tblStylePr w:type="lastRow">
      <w:rPr>
        <w:b/>
        <w:bCs/>
      </w:rPr>
      <w:tblPr/>
      <w:tcPr>
        <w:tcBorders>
          <w:top w:val="double" w:sz="4" w:space="0" w:color="FF3246" w:themeColor="accent1"/>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paragraph" w:customStyle="1" w:styleId="TableSource">
    <w:name w:val="TableSource"/>
    <w:basedOn w:val="Normal"/>
    <w:next w:val="Normal"/>
    <w:autoRedefine/>
    <w:uiPriority w:val="31"/>
    <w:qFormat/>
    <w:rsid w:val="007F3CCA"/>
    <w:pPr>
      <w:spacing w:line="264" w:lineRule="auto"/>
    </w:pPr>
    <w:rPr>
      <w:rFonts w:ascii="Arial" w:hAnsi="Arial"/>
      <w:iCs/>
      <w:color w:val="1D1D1B" w:themeColor="text1"/>
      <w:szCs w:val="32"/>
    </w:rPr>
  </w:style>
  <w:style w:type="table" w:styleId="GridTable6Colorful-Accent1">
    <w:name w:val="Grid Table 6 Colorful Accent 1"/>
    <w:basedOn w:val="TableNormal"/>
    <w:uiPriority w:val="51"/>
    <w:rsid w:val="001B3937"/>
    <w:pPr>
      <w:spacing w:after="0" w:line="240" w:lineRule="auto"/>
    </w:pPr>
    <w:rPr>
      <w:color w:val="E40015" w:themeColor="accent1" w:themeShade="BF"/>
    </w:rPr>
    <w:tblPr>
      <w:tblStyleRowBandSize w:val="1"/>
      <w:tblStyleColBandSize w:val="1"/>
      <w:tblBorders>
        <w:top w:val="single" w:sz="4" w:space="0" w:color="FF848F" w:themeColor="accent1" w:themeTint="99"/>
        <w:left w:val="single" w:sz="4" w:space="0" w:color="FF848F" w:themeColor="accent1" w:themeTint="99"/>
        <w:bottom w:val="single" w:sz="4" w:space="0" w:color="FF848F" w:themeColor="accent1" w:themeTint="99"/>
        <w:right w:val="single" w:sz="4" w:space="0" w:color="FF848F" w:themeColor="accent1" w:themeTint="99"/>
        <w:insideH w:val="single" w:sz="4" w:space="0" w:color="FF848F" w:themeColor="accent1" w:themeTint="99"/>
        <w:insideV w:val="single" w:sz="4" w:space="0" w:color="FF848F" w:themeColor="accent1" w:themeTint="99"/>
      </w:tblBorders>
    </w:tblPr>
    <w:tblStylePr w:type="firstRow">
      <w:rPr>
        <w:b/>
        <w:bCs/>
      </w:rPr>
      <w:tblPr/>
      <w:tcPr>
        <w:tcBorders>
          <w:bottom w:val="single" w:sz="12" w:space="0" w:color="FF848F" w:themeColor="accent1" w:themeTint="99"/>
        </w:tcBorders>
      </w:tcPr>
    </w:tblStylePr>
    <w:tblStylePr w:type="lastRow">
      <w:rPr>
        <w:b/>
        <w:bCs/>
      </w:rPr>
      <w:tblPr/>
      <w:tcPr>
        <w:tcBorders>
          <w:top w:val="double" w:sz="4" w:space="0" w:color="FF848F" w:themeColor="accent1" w:themeTint="99"/>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paragraph" w:styleId="Revision">
    <w:name w:val="Revision"/>
    <w:hidden/>
    <w:uiPriority w:val="99"/>
    <w:semiHidden/>
    <w:rsid w:val="00134259"/>
    <w:pPr>
      <w:spacing w:after="0" w:line="240" w:lineRule="auto"/>
    </w:pPr>
    <w:rPr>
      <w:sz w:val="24"/>
    </w:rPr>
  </w:style>
  <w:style w:type="character" w:styleId="Mention">
    <w:name w:val="Mention"/>
    <w:basedOn w:val="DefaultParagraphFont"/>
    <w:uiPriority w:val="99"/>
    <w:unhideWhenUsed/>
    <w:rsid w:val="002C0FEB"/>
    <w:rPr>
      <w:color w:val="2B579A"/>
      <w:shd w:val="clear" w:color="auto" w:fill="E1DFDD"/>
    </w:rPr>
  </w:style>
  <w:style w:type="paragraph" w:customStyle="1" w:styleId="paragraph">
    <w:name w:val="paragraph"/>
    <w:basedOn w:val="Normal"/>
    <w:rsid w:val="00D3312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33127"/>
  </w:style>
  <w:style w:type="character" w:customStyle="1" w:styleId="eop">
    <w:name w:val="eop"/>
    <w:basedOn w:val="DefaultParagraphFont"/>
    <w:rsid w:val="00D33127"/>
  </w:style>
  <w:style w:type="character" w:customStyle="1" w:styleId="spellingerrorsuperscript">
    <w:name w:val="spellingerrorsuperscript"/>
    <w:basedOn w:val="DefaultParagraphFont"/>
    <w:rsid w:val="00D33127"/>
  </w:style>
  <w:style w:type="character" w:customStyle="1" w:styleId="superscript">
    <w:name w:val="superscript"/>
    <w:basedOn w:val="DefaultParagraphFont"/>
    <w:rsid w:val="005D44B4"/>
  </w:style>
  <w:style w:type="paragraph" w:customStyle="1" w:styleId="Default">
    <w:name w:val="Default"/>
    <w:rsid w:val="008536A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C3751"/>
    <w:rPr>
      <w:color w:val="142855" w:themeColor="followedHyperlink"/>
      <w:u w:val="single"/>
    </w:rPr>
  </w:style>
  <w:style w:type="table" w:customStyle="1" w:styleId="GridTable5Dark-Accent11">
    <w:name w:val="Grid Table 5 Dark - Accent 11"/>
    <w:basedOn w:val="TableNormal"/>
    <w:next w:val="GridTable5Dark-Accent1"/>
    <w:uiPriority w:val="50"/>
    <w:rsid w:val="00F21F78"/>
    <w:pPr>
      <w:spacing w:after="0" w:line="240" w:lineRule="auto"/>
    </w:pPr>
    <w:rPr>
      <w:rFonts w:ascii="Arial" w:hAnsi="Arial"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6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32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32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32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3246"/>
      </w:tcPr>
    </w:tblStylePr>
    <w:tblStylePr w:type="band1Vert">
      <w:tblPr/>
      <w:tcPr>
        <w:shd w:val="clear" w:color="auto" w:fill="FFADB4"/>
      </w:tcPr>
    </w:tblStylePr>
    <w:tblStylePr w:type="band1Horz">
      <w:tblPr/>
      <w:tcPr>
        <w:shd w:val="clear" w:color="auto" w:fill="FFADB4"/>
      </w:tcPr>
    </w:tblStylePr>
  </w:style>
  <w:style w:type="character" w:customStyle="1" w:styleId="cf01">
    <w:name w:val="cf01"/>
    <w:basedOn w:val="DefaultParagraphFont"/>
    <w:rsid w:val="00AC0E13"/>
    <w:rPr>
      <w:rFonts w:ascii="Segoe UI" w:hAnsi="Segoe UI" w:cs="Segoe UI" w:hint="default"/>
      <w:sz w:val="18"/>
      <w:szCs w:val="18"/>
    </w:rPr>
  </w:style>
  <w:style w:type="table" w:styleId="GridTable5Dark-Accent4">
    <w:name w:val="Grid Table 5 Dark Accent 4"/>
    <w:basedOn w:val="TableNormal"/>
    <w:uiPriority w:val="50"/>
    <w:rsid w:val="008F2F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1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37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37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37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3786" w:themeFill="accent4"/>
      </w:tcPr>
    </w:tblStylePr>
    <w:tblStylePr w:type="band1Vert">
      <w:tblPr/>
      <w:tcPr>
        <w:shd w:val="clear" w:color="auto" w:fill="A7A3D9" w:themeFill="accent4" w:themeFillTint="66"/>
      </w:tcPr>
    </w:tblStylePr>
    <w:tblStylePr w:type="band1Horz">
      <w:tblPr/>
      <w:tcPr>
        <w:shd w:val="clear" w:color="auto" w:fill="A7A3D9" w:themeFill="accent4" w:themeFillTint="66"/>
      </w:tcPr>
    </w:tblStylePr>
  </w:style>
  <w:style w:type="character" w:styleId="PlaceholderText">
    <w:name w:val="Placeholder Text"/>
    <w:basedOn w:val="DefaultParagraphFont"/>
    <w:uiPriority w:val="99"/>
    <w:semiHidden/>
    <w:rsid w:val="00B34324"/>
    <w:rPr>
      <w:color w:val="808080"/>
    </w:rPr>
  </w:style>
  <w:style w:type="table" w:styleId="GridTable7Colorful-Accent2">
    <w:name w:val="Grid Table 7 Colorful Accent 2"/>
    <w:basedOn w:val="TableNormal"/>
    <w:uiPriority w:val="52"/>
    <w:rsid w:val="00791C03"/>
    <w:pPr>
      <w:spacing w:after="0" w:line="240" w:lineRule="auto"/>
    </w:pPr>
    <w:rPr>
      <w:color w:val="003E8B" w:themeColor="accent2" w:themeShade="BF"/>
    </w:rPr>
    <w:tblPr>
      <w:tblStyleRowBandSize w:val="1"/>
      <w:tblStyleColBandSize w:val="1"/>
      <w:tblBorders>
        <w:top w:val="single" w:sz="4" w:space="0" w:color="3C94FF" w:themeColor="accent2" w:themeTint="99"/>
        <w:left w:val="single" w:sz="4" w:space="0" w:color="3C94FF" w:themeColor="accent2" w:themeTint="99"/>
        <w:bottom w:val="single" w:sz="4" w:space="0" w:color="3C94FF" w:themeColor="accent2" w:themeTint="99"/>
        <w:right w:val="single" w:sz="4" w:space="0" w:color="3C94FF" w:themeColor="accent2" w:themeTint="99"/>
        <w:insideH w:val="single" w:sz="4" w:space="0" w:color="3C94FF" w:themeColor="accent2" w:themeTint="99"/>
        <w:insideV w:val="single" w:sz="4" w:space="0" w:color="3C9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BFF" w:themeFill="accent2" w:themeFillTint="33"/>
      </w:tcPr>
    </w:tblStylePr>
    <w:tblStylePr w:type="band1Horz">
      <w:tblPr/>
      <w:tcPr>
        <w:shd w:val="clear" w:color="auto" w:fill="BEDBFF" w:themeFill="accent2" w:themeFillTint="33"/>
      </w:tcPr>
    </w:tblStylePr>
    <w:tblStylePr w:type="neCell">
      <w:tblPr/>
      <w:tcPr>
        <w:tcBorders>
          <w:bottom w:val="single" w:sz="4" w:space="0" w:color="3C94FF" w:themeColor="accent2" w:themeTint="99"/>
        </w:tcBorders>
      </w:tcPr>
    </w:tblStylePr>
    <w:tblStylePr w:type="nwCell">
      <w:tblPr/>
      <w:tcPr>
        <w:tcBorders>
          <w:bottom w:val="single" w:sz="4" w:space="0" w:color="3C94FF" w:themeColor="accent2" w:themeTint="99"/>
        </w:tcBorders>
      </w:tcPr>
    </w:tblStylePr>
    <w:tblStylePr w:type="seCell">
      <w:tblPr/>
      <w:tcPr>
        <w:tcBorders>
          <w:top w:val="single" w:sz="4" w:space="0" w:color="3C94FF" w:themeColor="accent2" w:themeTint="99"/>
        </w:tcBorders>
      </w:tcPr>
    </w:tblStylePr>
    <w:tblStylePr w:type="swCell">
      <w:tblPr/>
      <w:tcPr>
        <w:tcBorders>
          <w:top w:val="single" w:sz="4" w:space="0" w:color="3C94FF" w:themeColor="accent2" w:themeTint="99"/>
        </w:tcBorders>
      </w:tcPr>
    </w:tblStylePr>
  </w:style>
  <w:style w:type="table" w:styleId="GridTable1Light-Accent2">
    <w:name w:val="Grid Table 1 Light Accent 2"/>
    <w:basedOn w:val="TableNormal"/>
    <w:uiPriority w:val="46"/>
    <w:rsid w:val="003126C5"/>
    <w:pPr>
      <w:spacing w:after="0" w:line="240" w:lineRule="auto"/>
    </w:p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4FF" w:themeColor="accent2" w:themeTint="99"/>
        </w:tcBorders>
      </w:tcPr>
    </w:tblStylePr>
    <w:tblStylePr w:type="lastRow">
      <w:rPr>
        <w:b/>
        <w:bCs/>
      </w:rPr>
      <w:tblPr/>
      <w:tcPr>
        <w:tcBorders>
          <w:top w:val="double" w:sz="2" w:space="0" w:color="3C94FF" w:themeColor="accent2" w:themeTint="99"/>
        </w:tcBorders>
      </w:tcPr>
    </w:tblStylePr>
    <w:tblStylePr w:type="firstCol">
      <w:rPr>
        <w:b/>
        <w:bCs/>
      </w:rPr>
    </w:tblStylePr>
    <w:tblStylePr w:type="lastCol">
      <w:rPr>
        <w:b/>
        <w:bCs/>
      </w:rPr>
    </w:tblStylePr>
  </w:style>
  <w:style w:type="paragraph" w:customStyle="1" w:styleId="TableHeadingWhite">
    <w:name w:val="TableHeadingWhite"/>
    <w:basedOn w:val="Normal"/>
    <w:uiPriority w:val="23"/>
    <w:qFormat/>
    <w:rsid w:val="000F3CBC"/>
    <w:pPr>
      <w:keepNext/>
      <w:spacing w:before="60" w:after="60" w:line="264" w:lineRule="auto"/>
      <w:ind w:left="57" w:right="57"/>
    </w:pPr>
    <w:rPr>
      <w:rFonts w:ascii="Arial" w:eastAsia="SimSun" w:hAnsi="Arial" w:cs="Arial"/>
      <w:b/>
      <w:bCs/>
      <w:color w:val="FFFFFF" w:themeColor="background1"/>
      <w:sz w:val="20"/>
      <w:szCs w:val="20"/>
    </w:rPr>
  </w:style>
  <w:style w:type="table" w:styleId="GridTable5Dark-Accent2">
    <w:name w:val="Grid Table 5 Dark Accent 2"/>
    <w:basedOn w:val="TableNormal"/>
    <w:uiPriority w:val="50"/>
    <w:rsid w:val="00E86C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BA" w:themeFill="accent2"/>
      </w:tcPr>
    </w:tblStylePr>
    <w:tblStylePr w:type="band1Vert">
      <w:tblPr/>
      <w:tcPr>
        <w:shd w:val="clear" w:color="auto" w:fill="7DB7FF" w:themeFill="accent2" w:themeFillTint="66"/>
      </w:tcPr>
    </w:tblStylePr>
    <w:tblStylePr w:type="band1Horz">
      <w:tblPr/>
      <w:tcPr>
        <w:shd w:val="clear" w:color="auto" w:fill="7DB7FF" w:themeFill="accent2" w:themeFillTint="66"/>
      </w:tcPr>
    </w:tblStylePr>
  </w:style>
  <w:style w:type="table" w:styleId="ListTable7Colorful-Accent2">
    <w:name w:val="List Table 7 Colorful Accent 2"/>
    <w:basedOn w:val="TableNormal"/>
    <w:uiPriority w:val="52"/>
    <w:rsid w:val="0089326B"/>
    <w:pPr>
      <w:spacing w:after="0" w:line="240" w:lineRule="auto"/>
    </w:pPr>
    <w:rPr>
      <w:color w:val="003E8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4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4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4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4BA" w:themeColor="accent2"/>
        </w:tcBorders>
        <w:shd w:val="clear" w:color="auto" w:fill="FFFFFF" w:themeFill="background1"/>
      </w:tcPr>
    </w:tblStylePr>
    <w:tblStylePr w:type="band1Vert">
      <w:tblPr/>
      <w:tcPr>
        <w:shd w:val="clear" w:color="auto" w:fill="BEDBFF" w:themeFill="accent2" w:themeFillTint="33"/>
      </w:tcPr>
    </w:tblStylePr>
    <w:tblStylePr w:type="band1Horz">
      <w:tblPr/>
      <w:tcPr>
        <w:shd w:val="clear" w:color="auto" w:fill="BEDB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6076AB"/>
    <w:pPr>
      <w:spacing w:after="0" w:line="240" w:lineRule="auto"/>
    </w:pPr>
    <w:tblPr>
      <w:tblStyleRowBandSize w:val="1"/>
      <w:tblStyleColBandSize w:val="1"/>
      <w:tblBorders>
        <w:top w:val="single" w:sz="2" w:space="0" w:color="3C94FF" w:themeColor="accent2" w:themeTint="99"/>
        <w:bottom w:val="single" w:sz="2" w:space="0" w:color="3C94FF" w:themeColor="accent2" w:themeTint="99"/>
        <w:insideH w:val="single" w:sz="2" w:space="0" w:color="3C94FF" w:themeColor="accent2" w:themeTint="99"/>
        <w:insideV w:val="single" w:sz="2" w:space="0" w:color="3C94FF" w:themeColor="accent2" w:themeTint="99"/>
      </w:tblBorders>
    </w:tblPr>
    <w:tblStylePr w:type="firstRow">
      <w:rPr>
        <w:b/>
        <w:bCs/>
      </w:rPr>
      <w:tblPr/>
      <w:tcPr>
        <w:tcBorders>
          <w:top w:val="nil"/>
          <w:bottom w:val="single" w:sz="12" w:space="0" w:color="3C94FF" w:themeColor="accent2" w:themeTint="99"/>
          <w:insideH w:val="nil"/>
          <w:insideV w:val="nil"/>
        </w:tcBorders>
        <w:shd w:val="clear" w:color="auto" w:fill="FFFFFF" w:themeFill="background1"/>
      </w:tcPr>
    </w:tblStylePr>
    <w:tblStylePr w:type="lastRow">
      <w:rPr>
        <w:b/>
        <w:bCs/>
      </w:rPr>
      <w:tblPr/>
      <w:tcPr>
        <w:tcBorders>
          <w:top w:val="double" w:sz="2" w:space="0" w:color="3C9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table" w:styleId="GridTable1Light">
    <w:name w:val="Grid Table 1 Light"/>
    <w:basedOn w:val="TableNormal"/>
    <w:uiPriority w:val="46"/>
    <w:rsid w:val="00FE520E"/>
    <w:pPr>
      <w:spacing w:after="0" w:line="240" w:lineRule="auto"/>
    </w:pPr>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rPr>
        <w:b/>
        <w:bCs/>
      </w:rPr>
      <w:tblPr/>
      <w:tcPr>
        <w:tcBorders>
          <w:bottom w:val="single" w:sz="12" w:space="0" w:color="7A7A72" w:themeColor="text1" w:themeTint="99"/>
        </w:tcBorders>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paragraph" w:customStyle="1" w:styleId="Footer9pt">
    <w:name w:val="Footer 9pt"/>
    <w:basedOn w:val="Footer"/>
    <w:rsid w:val="00DB013F"/>
    <w:rPr>
      <w:sz w:val="18"/>
      <w:szCs w:val="18"/>
    </w:rPr>
  </w:style>
  <w:style w:type="table" w:customStyle="1" w:styleId="TableGrid1">
    <w:name w:val="Table Grid1"/>
    <w:basedOn w:val="TableNormal"/>
    <w:next w:val="TableGrid"/>
    <w:uiPriority w:val="39"/>
    <w:rsid w:val="00B52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Spacing"/>
    <w:link w:val="BodyTextChar"/>
    <w:uiPriority w:val="99"/>
    <w:unhideWhenUsed/>
    <w:qFormat/>
    <w:rsid w:val="00B521CE"/>
    <w:pPr>
      <w:spacing w:line="240" w:lineRule="exact"/>
    </w:pPr>
    <w:rPr>
      <w:color w:val="142855" w:themeColor="text2"/>
      <w:sz w:val="20"/>
    </w:rPr>
  </w:style>
  <w:style w:type="character" w:customStyle="1" w:styleId="BodyTextChar">
    <w:name w:val="Body Text Char"/>
    <w:basedOn w:val="DefaultParagraphFont"/>
    <w:link w:val="BodyText"/>
    <w:uiPriority w:val="99"/>
    <w:rsid w:val="00B521CE"/>
    <w:rPr>
      <w:color w:val="142855" w:themeColor="text2"/>
      <w:sz w:val="20"/>
    </w:rPr>
  </w:style>
  <w:style w:type="paragraph" w:styleId="BodyText2">
    <w:name w:val="Body Text 2"/>
    <w:basedOn w:val="Normal"/>
    <w:link w:val="BodyText2Char"/>
    <w:uiPriority w:val="99"/>
    <w:unhideWhenUsed/>
    <w:qFormat/>
    <w:rsid w:val="00B521CE"/>
    <w:pPr>
      <w:spacing w:after="0" w:line="240" w:lineRule="atLeast"/>
    </w:pPr>
    <w:rPr>
      <w:b/>
      <w:bCs/>
      <w:color w:val="142855" w:themeColor="text2"/>
      <w:sz w:val="20"/>
      <w:lang w:val="pt-PT"/>
    </w:rPr>
  </w:style>
  <w:style w:type="character" w:customStyle="1" w:styleId="BodyText2Char">
    <w:name w:val="Body Text 2 Char"/>
    <w:basedOn w:val="DefaultParagraphFont"/>
    <w:link w:val="BodyText2"/>
    <w:uiPriority w:val="99"/>
    <w:rsid w:val="00B521CE"/>
    <w:rPr>
      <w:b/>
      <w:bCs/>
      <w:color w:val="142855" w:themeColor="text2"/>
      <w:sz w:val="20"/>
      <w:lang w:val="pt-PT"/>
    </w:rPr>
  </w:style>
  <w:style w:type="table" w:customStyle="1" w:styleId="TableGrid2">
    <w:name w:val="Table Grid2"/>
    <w:basedOn w:val="TableNormal"/>
    <w:next w:val="TableGrid"/>
    <w:uiPriority w:val="39"/>
    <w:rsid w:val="00F81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2329E"/>
    <w:rPr>
      <w:b/>
      <w:bCs/>
    </w:rPr>
  </w:style>
  <w:style w:type="table" w:styleId="GridTable4-Accent2">
    <w:name w:val="Grid Table 4 Accent 2"/>
    <w:basedOn w:val="TableNormal"/>
    <w:uiPriority w:val="49"/>
    <w:rsid w:val="005201E1"/>
    <w:pPr>
      <w:spacing w:after="0" w:line="240" w:lineRule="auto"/>
    </w:pPr>
    <w:tblPr>
      <w:tblStyleRowBandSize w:val="1"/>
      <w:tblStyleColBandSize w:val="1"/>
      <w:tblBorders>
        <w:top w:val="single" w:sz="4" w:space="0" w:color="3C94FF" w:themeColor="accent2" w:themeTint="99"/>
        <w:left w:val="single" w:sz="4" w:space="0" w:color="3C94FF" w:themeColor="accent2" w:themeTint="99"/>
        <w:bottom w:val="single" w:sz="4" w:space="0" w:color="3C94FF" w:themeColor="accent2" w:themeTint="99"/>
        <w:right w:val="single" w:sz="4" w:space="0" w:color="3C94FF" w:themeColor="accent2" w:themeTint="99"/>
        <w:insideH w:val="single" w:sz="4" w:space="0" w:color="3C94FF" w:themeColor="accent2" w:themeTint="99"/>
        <w:insideV w:val="single" w:sz="4" w:space="0" w:color="3C94FF" w:themeColor="accent2" w:themeTint="99"/>
      </w:tblBorders>
    </w:tblPr>
    <w:tblStylePr w:type="firstRow">
      <w:rPr>
        <w:b/>
        <w:bCs/>
        <w:color w:val="FFFFFF" w:themeColor="background1"/>
      </w:rPr>
      <w:tblPr/>
      <w:tcPr>
        <w:tcBorders>
          <w:top w:val="single" w:sz="4" w:space="0" w:color="0054BA" w:themeColor="accent2"/>
          <w:left w:val="single" w:sz="4" w:space="0" w:color="0054BA" w:themeColor="accent2"/>
          <w:bottom w:val="single" w:sz="4" w:space="0" w:color="0054BA" w:themeColor="accent2"/>
          <w:right w:val="single" w:sz="4" w:space="0" w:color="0054BA" w:themeColor="accent2"/>
          <w:insideH w:val="nil"/>
          <w:insideV w:val="nil"/>
        </w:tcBorders>
        <w:shd w:val="clear" w:color="auto" w:fill="0054BA" w:themeFill="accent2"/>
      </w:tcPr>
    </w:tblStylePr>
    <w:tblStylePr w:type="lastRow">
      <w:rPr>
        <w:b/>
        <w:bCs/>
      </w:rPr>
      <w:tblPr/>
      <w:tcPr>
        <w:tcBorders>
          <w:top w:val="double" w:sz="4" w:space="0" w:color="0054BA" w:themeColor="accent2"/>
        </w:tcBorders>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table" w:customStyle="1" w:styleId="ForfasTableGrid1">
    <w:name w:val="Forfas Table Grid1"/>
    <w:basedOn w:val="TableNormal"/>
    <w:next w:val="TableGrid"/>
    <w:uiPriority w:val="39"/>
    <w:rsid w:val="008C01FC"/>
    <w:pPr>
      <w:spacing w:after="120" w:line="360" w:lineRule="auto"/>
    </w:pPr>
    <w:rPr>
      <w:color w:val="142855" w:themeColor="text2"/>
      <w:sz w:val="20"/>
    </w:rPr>
    <w:tblPr>
      <w:tblStyleRowBandSize w:val="1"/>
    </w:tblPr>
    <w:tcPr>
      <w:vAlign w:val="bottom"/>
    </w:tcPr>
    <w:tblStylePr w:type="firstRow">
      <w:pPr>
        <w:wordWrap/>
        <w:spacing w:beforeLines="0" w:before="120" w:beforeAutospacing="0" w:afterLines="0" w:after="0" w:afterAutospacing="0" w:line="360" w:lineRule="auto"/>
      </w:pPr>
      <w:rPr>
        <w:rFonts w:ascii="Arial" w:hAnsi="Arial"/>
        <w:b/>
        <w:color w:val="FFFFFF" w:themeColor="background1"/>
        <w:sz w:val="24"/>
      </w:rPr>
      <w:tblPr>
        <w:tblCellMar>
          <w:top w:w="0" w:type="dxa"/>
          <w:left w:w="113" w:type="dxa"/>
          <w:bottom w:w="0" w:type="dxa"/>
          <w:right w:w="113" w:type="dxa"/>
        </w:tblCellMar>
      </w:tblPr>
      <w:tcPr>
        <w:shd w:val="clear" w:color="auto" w:fill="0054BA" w:themeFill="accent2"/>
      </w:tcPr>
    </w:tblStylePr>
    <w:tblStylePr w:type="band1Horz">
      <w:tblPr/>
      <w:tcPr>
        <w:shd w:val="clear" w:color="auto" w:fill="CCDDEF"/>
      </w:tcPr>
    </w:tblStylePr>
  </w:style>
  <w:style w:type="table" w:customStyle="1" w:styleId="BBBTableoption11">
    <w:name w:val="BBB Table option 11"/>
    <w:basedOn w:val="TableNormal"/>
    <w:uiPriority w:val="99"/>
    <w:rsid w:val="008C01FC"/>
    <w:pPr>
      <w:spacing w:after="0" w:line="240" w:lineRule="auto"/>
    </w:pPr>
    <w:rPr>
      <w:sz w:val="24"/>
    </w:rPr>
    <w:tblPr>
      <w:tblBorders>
        <w:bottom w:val="single" w:sz="4" w:space="0" w:color="0054BA" w:themeColor="accent2"/>
        <w:insideH w:val="single" w:sz="4" w:space="0" w:color="0054BA" w:themeColor="accent2"/>
      </w:tblBorders>
      <w:tblCellMar>
        <w:left w:w="0" w:type="dxa"/>
        <w:right w:w="0" w:type="dxa"/>
      </w:tblCellMar>
    </w:tblPr>
    <w:tcPr>
      <w:vAlign w:val="bottom"/>
    </w:tcPr>
    <w:tblStylePr w:type="firstRow">
      <w:rPr>
        <w:b/>
      </w:rPr>
      <w:tblPr/>
      <w:tcPr>
        <w:vAlign w:val="bottom"/>
      </w:tcPr>
    </w:tblStylePr>
  </w:style>
  <w:style w:type="table" w:customStyle="1" w:styleId="BBBsmalltable1">
    <w:name w:val="BBB small table1"/>
    <w:basedOn w:val="TableNormal"/>
    <w:next w:val="TableGridLight"/>
    <w:uiPriority w:val="40"/>
    <w:rsid w:val="008C01FC"/>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EFF4F6"/>
    </w:tcPr>
    <w:tblStylePr w:type="firstRow">
      <w:pPr>
        <w:wordWrap/>
        <w:spacing w:beforeLines="0" w:before="120" w:beforeAutospacing="0" w:afterLines="0" w:after="0" w:afterAutospacing="0" w:line="360" w:lineRule="auto"/>
      </w:pPr>
      <w:rPr>
        <w:rFonts w:asciiTheme="minorHAnsi" w:hAnsiTheme="minorHAnsi"/>
        <w:b/>
        <w:sz w:val="24"/>
      </w:rPr>
    </w:tblStylePr>
  </w:style>
  <w:style w:type="table" w:customStyle="1" w:styleId="BBBsummarytable1">
    <w:name w:val="BBB summary table1"/>
    <w:basedOn w:val="TableNormal"/>
    <w:uiPriority w:val="99"/>
    <w:rsid w:val="008C01FC"/>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FFFFFF" w:themeFill="background1"/>
      <w:vAlign w:val="bottom"/>
    </w:tcPr>
    <w:tblStylePr w:type="firstCol">
      <w:rPr>
        <w:b/>
      </w:rPr>
      <w:tblPr/>
      <w:tcPr>
        <w:shd w:val="clear" w:color="auto" w:fill="EFF4F6"/>
      </w:tcPr>
    </w:tblStylePr>
  </w:style>
  <w:style w:type="table" w:customStyle="1" w:styleId="PlainTable21">
    <w:name w:val="Plain Table 21"/>
    <w:basedOn w:val="TableNormal"/>
    <w:next w:val="PlainTable2"/>
    <w:uiPriority w:val="42"/>
    <w:rsid w:val="008C01FC"/>
    <w:pPr>
      <w:spacing w:after="0" w:line="240" w:lineRule="auto"/>
    </w:pPr>
    <w:tblPr>
      <w:tblStyleRowBandSize w:val="1"/>
      <w:tblStyleColBandSize w:val="1"/>
      <w:tblBorders>
        <w:top w:val="single" w:sz="4" w:space="0" w:color="919188" w:themeColor="text1" w:themeTint="80"/>
        <w:bottom w:val="single" w:sz="4" w:space="0" w:color="919188" w:themeColor="text1" w:themeTint="80"/>
      </w:tblBorders>
    </w:tbl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customStyle="1" w:styleId="BBBfootertable1">
    <w:name w:val="BBB footer table1"/>
    <w:basedOn w:val="TableNormal"/>
    <w:uiPriority w:val="99"/>
    <w:rsid w:val="008C01FC"/>
    <w:pPr>
      <w:spacing w:after="0" w:line="240" w:lineRule="auto"/>
    </w:pPr>
    <w:rPr>
      <w:color w:val="142855" w:themeColor="text2"/>
      <w:sz w:val="24"/>
    </w:rPr>
    <w:tblPr>
      <w:tblBorders>
        <w:top w:val="single" w:sz="4" w:space="0" w:color="142855" w:themeColor="text2"/>
      </w:tblBorders>
      <w:tblCellMar>
        <w:top w:w="113" w:type="dxa"/>
        <w:left w:w="0" w:type="dxa"/>
        <w:right w:w="0" w:type="dxa"/>
      </w:tblCellMar>
    </w:tblPr>
    <w:tblStylePr w:type="firstCol">
      <w:rPr>
        <w:b/>
      </w:rPr>
    </w:tblStylePr>
  </w:style>
  <w:style w:type="table" w:customStyle="1" w:styleId="GridTable4-Accent11">
    <w:name w:val="Grid Table 4 - Accent 11"/>
    <w:basedOn w:val="TableNormal"/>
    <w:next w:val="GridTable4-Accent1"/>
    <w:uiPriority w:val="49"/>
    <w:rsid w:val="008C01FC"/>
    <w:pPr>
      <w:spacing w:after="0" w:line="240" w:lineRule="auto"/>
    </w:pPr>
    <w:tblPr>
      <w:tblStyleRowBandSize w:val="1"/>
      <w:tblStyleColBandSize w:val="1"/>
      <w:tblBorders>
        <w:top w:val="single" w:sz="4" w:space="0" w:color="FF848F" w:themeColor="accent1" w:themeTint="99"/>
        <w:left w:val="single" w:sz="4" w:space="0" w:color="FF848F" w:themeColor="accent1" w:themeTint="99"/>
        <w:bottom w:val="single" w:sz="4" w:space="0" w:color="FF848F" w:themeColor="accent1" w:themeTint="99"/>
        <w:right w:val="single" w:sz="4" w:space="0" w:color="FF848F" w:themeColor="accent1" w:themeTint="99"/>
        <w:insideH w:val="single" w:sz="4" w:space="0" w:color="FF848F" w:themeColor="accent1" w:themeTint="99"/>
        <w:insideV w:val="single" w:sz="4" w:space="0" w:color="FF848F" w:themeColor="accent1" w:themeTint="99"/>
      </w:tblBorders>
    </w:tblPr>
    <w:tblStylePr w:type="firstRow">
      <w:rPr>
        <w:b/>
        <w:bCs/>
        <w:color w:val="FFFFFF" w:themeColor="background1"/>
      </w:rPr>
      <w:tblPr/>
      <w:tcPr>
        <w:tcBorders>
          <w:top w:val="single" w:sz="4" w:space="0" w:color="FF3246" w:themeColor="accent1"/>
          <w:left w:val="single" w:sz="4" w:space="0" w:color="FF3246" w:themeColor="accent1"/>
          <w:bottom w:val="single" w:sz="4" w:space="0" w:color="FF3246" w:themeColor="accent1"/>
          <w:right w:val="single" w:sz="4" w:space="0" w:color="FF3246" w:themeColor="accent1"/>
          <w:insideH w:val="nil"/>
          <w:insideV w:val="nil"/>
        </w:tcBorders>
        <w:shd w:val="clear" w:color="auto" w:fill="FF3246" w:themeFill="accent1"/>
      </w:tcPr>
    </w:tblStylePr>
    <w:tblStylePr w:type="lastRow">
      <w:rPr>
        <w:b/>
        <w:bCs/>
      </w:rPr>
      <w:tblPr/>
      <w:tcPr>
        <w:tcBorders>
          <w:top w:val="double" w:sz="4" w:space="0" w:color="FF3246" w:themeColor="accent1"/>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customStyle="1" w:styleId="GridTable5Dark-Accent12">
    <w:name w:val="Grid Table 5 Dark - Accent 12"/>
    <w:basedOn w:val="TableNormal"/>
    <w:next w:val="GridTable5Dark-Accent1"/>
    <w:uiPriority w:val="50"/>
    <w:rsid w:val="008C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24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24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24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246" w:themeFill="accent1"/>
      </w:tcPr>
    </w:tblStylePr>
    <w:tblStylePr w:type="band1Vert">
      <w:tblPr/>
      <w:tcPr>
        <w:shd w:val="clear" w:color="auto" w:fill="FFADB4" w:themeFill="accent1" w:themeFillTint="66"/>
      </w:tcPr>
    </w:tblStylePr>
    <w:tblStylePr w:type="band1Horz">
      <w:tblPr/>
      <w:tcPr>
        <w:shd w:val="clear" w:color="auto" w:fill="FFADB4" w:themeFill="accent1" w:themeFillTint="66"/>
      </w:tcPr>
    </w:tblStylePr>
  </w:style>
  <w:style w:type="table" w:customStyle="1" w:styleId="GridTable2-Accent11">
    <w:name w:val="Grid Table 2 - Accent 11"/>
    <w:basedOn w:val="TableNormal"/>
    <w:next w:val="GridTable2-Accent1"/>
    <w:uiPriority w:val="47"/>
    <w:rsid w:val="008C01FC"/>
    <w:pPr>
      <w:spacing w:after="0" w:line="240" w:lineRule="auto"/>
    </w:pPr>
    <w:tblPr>
      <w:tblStyleRowBandSize w:val="1"/>
      <w:tblStyleColBandSize w:val="1"/>
      <w:tblBorders>
        <w:top w:val="single" w:sz="2" w:space="0" w:color="FF848F" w:themeColor="accent1" w:themeTint="99"/>
        <w:bottom w:val="single" w:sz="2" w:space="0" w:color="FF848F" w:themeColor="accent1" w:themeTint="99"/>
        <w:insideH w:val="single" w:sz="2" w:space="0" w:color="FF848F" w:themeColor="accent1" w:themeTint="99"/>
        <w:insideV w:val="single" w:sz="2" w:space="0" w:color="FF848F" w:themeColor="accent1" w:themeTint="99"/>
      </w:tblBorders>
    </w:tblPr>
    <w:tblStylePr w:type="firstRow">
      <w:rPr>
        <w:b/>
        <w:bCs/>
      </w:rPr>
      <w:tblPr/>
      <w:tcPr>
        <w:tcBorders>
          <w:top w:val="nil"/>
          <w:bottom w:val="single" w:sz="12" w:space="0" w:color="FF848F" w:themeColor="accent1" w:themeTint="99"/>
          <w:insideH w:val="nil"/>
          <w:insideV w:val="nil"/>
        </w:tcBorders>
        <w:shd w:val="clear" w:color="auto" w:fill="FFFFFF" w:themeFill="background1"/>
      </w:tcPr>
    </w:tblStylePr>
    <w:tblStylePr w:type="lastRow">
      <w:rPr>
        <w:b/>
        <w:bCs/>
      </w:rPr>
      <w:tblPr/>
      <w:tcPr>
        <w:tcBorders>
          <w:top w:val="double" w:sz="2" w:space="0" w:color="FF848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customStyle="1" w:styleId="GridTable1Light-Accent11">
    <w:name w:val="Grid Table 1 Light - Accent 11"/>
    <w:basedOn w:val="TableNormal"/>
    <w:next w:val="GridTable1Light-Accent1"/>
    <w:uiPriority w:val="46"/>
    <w:rsid w:val="008C01FC"/>
    <w:pPr>
      <w:spacing w:after="0" w:line="240" w:lineRule="auto"/>
    </w:pPr>
    <w:tblPr>
      <w:tblStyleRowBandSize w:val="1"/>
      <w:tblStyleColBandSize w:val="1"/>
      <w:tblBorders>
        <w:top w:val="single" w:sz="4" w:space="0" w:color="FFADB4" w:themeColor="accent1" w:themeTint="66"/>
        <w:left w:val="single" w:sz="4" w:space="0" w:color="FFADB4" w:themeColor="accent1" w:themeTint="66"/>
        <w:bottom w:val="single" w:sz="4" w:space="0" w:color="FFADB4" w:themeColor="accent1" w:themeTint="66"/>
        <w:right w:val="single" w:sz="4" w:space="0" w:color="FFADB4" w:themeColor="accent1" w:themeTint="66"/>
        <w:insideH w:val="single" w:sz="4" w:space="0" w:color="FFADB4" w:themeColor="accent1" w:themeTint="66"/>
        <w:insideV w:val="single" w:sz="4" w:space="0" w:color="FFADB4" w:themeColor="accent1" w:themeTint="66"/>
      </w:tblBorders>
    </w:tblPr>
    <w:tblStylePr w:type="firstRow">
      <w:rPr>
        <w:b/>
        <w:bCs/>
      </w:rPr>
      <w:tblPr/>
      <w:tcPr>
        <w:tcBorders>
          <w:bottom w:val="single" w:sz="12" w:space="0" w:color="FF848F" w:themeColor="accent1" w:themeTint="99"/>
        </w:tcBorders>
      </w:tcPr>
    </w:tblStylePr>
    <w:tblStylePr w:type="lastRow">
      <w:rPr>
        <w:b/>
        <w:bCs/>
      </w:rPr>
      <w:tblPr/>
      <w:tcPr>
        <w:tcBorders>
          <w:top w:val="double" w:sz="2" w:space="0" w:color="FF848F" w:themeColor="accent1" w:themeTint="99"/>
        </w:tcBorders>
      </w:tcPr>
    </w:tblStylePr>
    <w:tblStylePr w:type="firstCol">
      <w:rPr>
        <w:b/>
        <w:bCs/>
      </w:rPr>
    </w:tblStylePr>
    <w:tblStylePr w:type="lastCol">
      <w:rPr>
        <w:b/>
        <w:bCs/>
      </w:rPr>
    </w:tblStylePr>
  </w:style>
  <w:style w:type="table" w:customStyle="1" w:styleId="ListTable6Colorful-Accent11">
    <w:name w:val="List Table 6 Colorful - Accent 11"/>
    <w:basedOn w:val="TableNormal"/>
    <w:next w:val="ListTable6Colorful-Accent1"/>
    <w:uiPriority w:val="51"/>
    <w:rsid w:val="008C01FC"/>
    <w:pPr>
      <w:spacing w:after="0" w:line="240" w:lineRule="auto"/>
    </w:pPr>
    <w:rPr>
      <w:color w:val="E40015" w:themeColor="accent1" w:themeShade="BF"/>
    </w:rPr>
    <w:tblPr>
      <w:tblStyleRowBandSize w:val="1"/>
      <w:tblStyleColBandSize w:val="1"/>
      <w:tblBorders>
        <w:top w:val="single" w:sz="4" w:space="0" w:color="FF3246" w:themeColor="accent1"/>
        <w:bottom w:val="single" w:sz="4" w:space="0" w:color="FF3246" w:themeColor="accent1"/>
      </w:tblBorders>
    </w:tblPr>
    <w:tblStylePr w:type="firstRow">
      <w:rPr>
        <w:b/>
        <w:bCs/>
      </w:rPr>
      <w:tblPr/>
      <w:tcPr>
        <w:tcBorders>
          <w:bottom w:val="single" w:sz="4" w:space="0" w:color="FF3246" w:themeColor="accent1"/>
        </w:tcBorders>
      </w:tcPr>
    </w:tblStylePr>
    <w:tblStylePr w:type="lastRow">
      <w:rPr>
        <w:b/>
        <w:bCs/>
      </w:rPr>
      <w:tblPr/>
      <w:tcPr>
        <w:tcBorders>
          <w:top w:val="double" w:sz="4" w:space="0" w:color="FF3246" w:themeColor="accent1"/>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customStyle="1" w:styleId="GridTable6Colorful-Accent11">
    <w:name w:val="Grid Table 6 Colorful - Accent 11"/>
    <w:basedOn w:val="TableNormal"/>
    <w:next w:val="GridTable6Colorful-Accent1"/>
    <w:uiPriority w:val="51"/>
    <w:rsid w:val="008C01FC"/>
    <w:pPr>
      <w:spacing w:after="0" w:line="240" w:lineRule="auto"/>
    </w:pPr>
    <w:rPr>
      <w:color w:val="E40015" w:themeColor="accent1" w:themeShade="BF"/>
    </w:rPr>
    <w:tblPr>
      <w:tblStyleRowBandSize w:val="1"/>
      <w:tblStyleColBandSize w:val="1"/>
      <w:tblBorders>
        <w:top w:val="single" w:sz="4" w:space="0" w:color="FF848F" w:themeColor="accent1" w:themeTint="99"/>
        <w:left w:val="single" w:sz="4" w:space="0" w:color="FF848F" w:themeColor="accent1" w:themeTint="99"/>
        <w:bottom w:val="single" w:sz="4" w:space="0" w:color="FF848F" w:themeColor="accent1" w:themeTint="99"/>
        <w:right w:val="single" w:sz="4" w:space="0" w:color="FF848F" w:themeColor="accent1" w:themeTint="99"/>
        <w:insideH w:val="single" w:sz="4" w:space="0" w:color="FF848F" w:themeColor="accent1" w:themeTint="99"/>
        <w:insideV w:val="single" w:sz="4" w:space="0" w:color="FF848F" w:themeColor="accent1" w:themeTint="99"/>
      </w:tblBorders>
    </w:tblPr>
    <w:tblStylePr w:type="firstRow">
      <w:rPr>
        <w:b/>
        <w:bCs/>
      </w:rPr>
      <w:tblPr/>
      <w:tcPr>
        <w:tcBorders>
          <w:bottom w:val="single" w:sz="12" w:space="0" w:color="FF848F" w:themeColor="accent1" w:themeTint="99"/>
        </w:tcBorders>
      </w:tcPr>
    </w:tblStylePr>
    <w:tblStylePr w:type="lastRow">
      <w:rPr>
        <w:b/>
        <w:bCs/>
      </w:rPr>
      <w:tblPr/>
      <w:tcPr>
        <w:tcBorders>
          <w:top w:val="double" w:sz="4" w:space="0" w:color="FF848F" w:themeColor="accent1" w:themeTint="99"/>
        </w:tcBorders>
      </w:tc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customStyle="1" w:styleId="GridTable5Dark-Accent111">
    <w:name w:val="Grid Table 5 Dark - Accent 111"/>
    <w:basedOn w:val="TableNormal"/>
    <w:next w:val="GridTable5Dark-Accent1"/>
    <w:uiPriority w:val="50"/>
    <w:rsid w:val="008C01FC"/>
    <w:pPr>
      <w:spacing w:after="0" w:line="240" w:lineRule="auto"/>
    </w:pPr>
    <w:rPr>
      <w:rFonts w:ascii="Arial" w:hAnsi="Arial"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6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32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32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32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3246"/>
      </w:tcPr>
    </w:tblStylePr>
    <w:tblStylePr w:type="band1Vert">
      <w:tblPr/>
      <w:tcPr>
        <w:shd w:val="clear" w:color="auto" w:fill="FFADB4"/>
      </w:tcPr>
    </w:tblStylePr>
    <w:tblStylePr w:type="band1Horz">
      <w:tblPr/>
      <w:tcPr>
        <w:shd w:val="clear" w:color="auto" w:fill="FFADB4"/>
      </w:tcPr>
    </w:tblStylePr>
  </w:style>
  <w:style w:type="table" w:customStyle="1" w:styleId="GridTable5Dark-Accent41">
    <w:name w:val="Grid Table 5 Dark - Accent 41"/>
    <w:basedOn w:val="TableNormal"/>
    <w:next w:val="GridTable5Dark-Accent4"/>
    <w:uiPriority w:val="50"/>
    <w:rsid w:val="008C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1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37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37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37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3786" w:themeFill="accent4"/>
      </w:tcPr>
    </w:tblStylePr>
    <w:tblStylePr w:type="band1Vert">
      <w:tblPr/>
      <w:tcPr>
        <w:shd w:val="clear" w:color="auto" w:fill="A7A3D9" w:themeFill="accent4" w:themeFillTint="66"/>
      </w:tcPr>
    </w:tblStylePr>
    <w:tblStylePr w:type="band1Horz">
      <w:tblPr/>
      <w:tcPr>
        <w:shd w:val="clear" w:color="auto" w:fill="A7A3D9" w:themeFill="accent4" w:themeFillTint="66"/>
      </w:tcPr>
    </w:tblStylePr>
  </w:style>
  <w:style w:type="table" w:customStyle="1" w:styleId="GridTable7Colorful-Accent21">
    <w:name w:val="Grid Table 7 Colorful - Accent 21"/>
    <w:basedOn w:val="TableNormal"/>
    <w:next w:val="GridTable7Colorful-Accent2"/>
    <w:uiPriority w:val="52"/>
    <w:rsid w:val="008C01FC"/>
    <w:pPr>
      <w:spacing w:after="0" w:line="240" w:lineRule="auto"/>
    </w:pPr>
    <w:rPr>
      <w:color w:val="003E8B" w:themeColor="accent2" w:themeShade="BF"/>
    </w:rPr>
    <w:tblPr>
      <w:tblStyleRowBandSize w:val="1"/>
      <w:tblStyleColBandSize w:val="1"/>
      <w:tblBorders>
        <w:top w:val="single" w:sz="4" w:space="0" w:color="3C94FF" w:themeColor="accent2" w:themeTint="99"/>
        <w:left w:val="single" w:sz="4" w:space="0" w:color="3C94FF" w:themeColor="accent2" w:themeTint="99"/>
        <w:bottom w:val="single" w:sz="4" w:space="0" w:color="3C94FF" w:themeColor="accent2" w:themeTint="99"/>
        <w:right w:val="single" w:sz="4" w:space="0" w:color="3C94FF" w:themeColor="accent2" w:themeTint="99"/>
        <w:insideH w:val="single" w:sz="4" w:space="0" w:color="3C94FF" w:themeColor="accent2" w:themeTint="99"/>
        <w:insideV w:val="single" w:sz="4" w:space="0" w:color="3C9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BFF" w:themeFill="accent2" w:themeFillTint="33"/>
      </w:tcPr>
    </w:tblStylePr>
    <w:tblStylePr w:type="band1Horz">
      <w:tblPr/>
      <w:tcPr>
        <w:shd w:val="clear" w:color="auto" w:fill="BEDBFF" w:themeFill="accent2" w:themeFillTint="33"/>
      </w:tcPr>
    </w:tblStylePr>
    <w:tblStylePr w:type="neCell">
      <w:tblPr/>
      <w:tcPr>
        <w:tcBorders>
          <w:bottom w:val="single" w:sz="4" w:space="0" w:color="3C94FF" w:themeColor="accent2" w:themeTint="99"/>
        </w:tcBorders>
      </w:tcPr>
    </w:tblStylePr>
    <w:tblStylePr w:type="nwCell">
      <w:tblPr/>
      <w:tcPr>
        <w:tcBorders>
          <w:bottom w:val="single" w:sz="4" w:space="0" w:color="3C94FF" w:themeColor="accent2" w:themeTint="99"/>
        </w:tcBorders>
      </w:tcPr>
    </w:tblStylePr>
    <w:tblStylePr w:type="seCell">
      <w:tblPr/>
      <w:tcPr>
        <w:tcBorders>
          <w:top w:val="single" w:sz="4" w:space="0" w:color="3C94FF" w:themeColor="accent2" w:themeTint="99"/>
        </w:tcBorders>
      </w:tcPr>
    </w:tblStylePr>
    <w:tblStylePr w:type="swCell">
      <w:tblPr/>
      <w:tcPr>
        <w:tcBorders>
          <w:top w:val="single" w:sz="4" w:space="0" w:color="3C94FF" w:themeColor="accent2" w:themeTint="99"/>
        </w:tcBorders>
      </w:tcPr>
    </w:tblStylePr>
  </w:style>
  <w:style w:type="table" w:customStyle="1" w:styleId="GridTable1Light-Accent21">
    <w:name w:val="Grid Table 1 Light - Accent 21"/>
    <w:basedOn w:val="TableNormal"/>
    <w:next w:val="GridTable1Light-Accent2"/>
    <w:uiPriority w:val="46"/>
    <w:rsid w:val="008C01FC"/>
    <w:pPr>
      <w:spacing w:after="0" w:line="240" w:lineRule="auto"/>
    </w:p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4FF" w:themeColor="accent2" w:themeTint="99"/>
        </w:tcBorders>
      </w:tcPr>
    </w:tblStylePr>
    <w:tblStylePr w:type="lastRow">
      <w:rPr>
        <w:b/>
        <w:bCs/>
      </w:rPr>
      <w:tblPr/>
      <w:tcPr>
        <w:tcBorders>
          <w:top w:val="double" w:sz="2" w:space="0" w:color="3C94FF" w:themeColor="accent2"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next w:val="GridTable5Dark-Accent2"/>
    <w:uiPriority w:val="50"/>
    <w:rsid w:val="008C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BA" w:themeFill="accent2"/>
      </w:tcPr>
    </w:tblStylePr>
    <w:tblStylePr w:type="band1Vert">
      <w:tblPr/>
      <w:tcPr>
        <w:shd w:val="clear" w:color="auto" w:fill="7DB7FF" w:themeFill="accent2" w:themeFillTint="66"/>
      </w:tcPr>
    </w:tblStylePr>
    <w:tblStylePr w:type="band1Horz">
      <w:tblPr/>
      <w:tcPr>
        <w:shd w:val="clear" w:color="auto" w:fill="7DB7FF" w:themeFill="accent2" w:themeFillTint="66"/>
      </w:tcPr>
    </w:tblStylePr>
  </w:style>
  <w:style w:type="table" w:customStyle="1" w:styleId="ListTable7Colorful-Accent21">
    <w:name w:val="List Table 7 Colorful - Accent 21"/>
    <w:basedOn w:val="TableNormal"/>
    <w:next w:val="ListTable7Colorful-Accent2"/>
    <w:uiPriority w:val="52"/>
    <w:rsid w:val="008C01FC"/>
    <w:pPr>
      <w:spacing w:after="0" w:line="240" w:lineRule="auto"/>
    </w:pPr>
    <w:rPr>
      <w:color w:val="003E8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4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4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4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4BA" w:themeColor="accent2"/>
        </w:tcBorders>
        <w:shd w:val="clear" w:color="auto" w:fill="FFFFFF" w:themeFill="background1"/>
      </w:tcPr>
    </w:tblStylePr>
    <w:tblStylePr w:type="band1Vert">
      <w:tblPr/>
      <w:tcPr>
        <w:shd w:val="clear" w:color="auto" w:fill="BEDBFF" w:themeFill="accent2" w:themeFillTint="33"/>
      </w:tcPr>
    </w:tblStylePr>
    <w:tblStylePr w:type="band1Horz">
      <w:tblPr/>
      <w:tcPr>
        <w:shd w:val="clear" w:color="auto" w:fill="BEDB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21">
    <w:name w:val="Grid Table 2 - Accent 21"/>
    <w:basedOn w:val="TableNormal"/>
    <w:next w:val="GridTable2-Accent2"/>
    <w:uiPriority w:val="47"/>
    <w:rsid w:val="008C01FC"/>
    <w:pPr>
      <w:spacing w:after="0" w:line="240" w:lineRule="auto"/>
    </w:pPr>
    <w:tblPr>
      <w:tblStyleRowBandSize w:val="1"/>
      <w:tblStyleColBandSize w:val="1"/>
      <w:tblBorders>
        <w:top w:val="single" w:sz="2" w:space="0" w:color="3C94FF" w:themeColor="accent2" w:themeTint="99"/>
        <w:bottom w:val="single" w:sz="2" w:space="0" w:color="3C94FF" w:themeColor="accent2" w:themeTint="99"/>
        <w:insideH w:val="single" w:sz="2" w:space="0" w:color="3C94FF" w:themeColor="accent2" w:themeTint="99"/>
        <w:insideV w:val="single" w:sz="2" w:space="0" w:color="3C94FF" w:themeColor="accent2" w:themeTint="99"/>
      </w:tblBorders>
    </w:tblPr>
    <w:tblStylePr w:type="firstRow">
      <w:rPr>
        <w:b/>
        <w:bCs/>
      </w:rPr>
      <w:tblPr/>
      <w:tcPr>
        <w:tcBorders>
          <w:top w:val="nil"/>
          <w:bottom w:val="single" w:sz="12" w:space="0" w:color="3C94FF" w:themeColor="accent2" w:themeTint="99"/>
          <w:insideH w:val="nil"/>
          <w:insideV w:val="nil"/>
        </w:tcBorders>
        <w:shd w:val="clear" w:color="auto" w:fill="FFFFFF" w:themeFill="background1"/>
      </w:tcPr>
    </w:tblStylePr>
    <w:tblStylePr w:type="lastRow">
      <w:rPr>
        <w:b/>
        <w:bCs/>
      </w:rPr>
      <w:tblPr/>
      <w:tcPr>
        <w:tcBorders>
          <w:top w:val="double" w:sz="2" w:space="0" w:color="3C9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table" w:customStyle="1" w:styleId="GridTable1Light1">
    <w:name w:val="Grid Table 1 Light1"/>
    <w:basedOn w:val="TableNormal"/>
    <w:next w:val="GridTable1Light"/>
    <w:uiPriority w:val="46"/>
    <w:rsid w:val="008C01FC"/>
    <w:pPr>
      <w:spacing w:after="0" w:line="240" w:lineRule="auto"/>
    </w:pPr>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rPr>
        <w:b/>
        <w:bCs/>
      </w:rPr>
      <w:tblPr/>
      <w:tcPr>
        <w:tcBorders>
          <w:bottom w:val="single" w:sz="12" w:space="0" w:color="7A7A72" w:themeColor="text1" w:themeTint="99"/>
        </w:tcBorders>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8C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C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8C01FC"/>
    <w:pPr>
      <w:spacing w:after="0" w:line="240" w:lineRule="auto"/>
    </w:pPr>
    <w:tblPr>
      <w:tblStyleRowBandSize w:val="1"/>
      <w:tblStyleColBandSize w:val="1"/>
      <w:tblBorders>
        <w:top w:val="single" w:sz="4" w:space="0" w:color="3C94FF" w:themeColor="accent2" w:themeTint="99"/>
        <w:left w:val="single" w:sz="4" w:space="0" w:color="3C94FF" w:themeColor="accent2" w:themeTint="99"/>
        <w:bottom w:val="single" w:sz="4" w:space="0" w:color="3C94FF" w:themeColor="accent2" w:themeTint="99"/>
        <w:right w:val="single" w:sz="4" w:space="0" w:color="3C94FF" w:themeColor="accent2" w:themeTint="99"/>
        <w:insideH w:val="single" w:sz="4" w:space="0" w:color="3C94FF" w:themeColor="accent2" w:themeTint="99"/>
        <w:insideV w:val="single" w:sz="4" w:space="0" w:color="3C94FF" w:themeColor="accent2" w:themeTint="99"/>
      </w:tblBorders>
    </w:tblPr>
    <w:tblStylePr w:type="firstRow">
      <w:rPr>
        <w:b/>
        <w:bCs/>
        <w:color w:val="FFFFFF" w:themeColor="background1"/>
      </w:rPr>
      <w:tblPr/>
      <w:tcPr>
        <w:tcBorders>
          <w:top w:val="single" w:sz="4" w:space="0" w:color="0054BA" w:themeColor="accent2"/>
          <w:left w:val="single" w:sz="4" w:space="0" w:color="0054BA" w:themeColor="accent2"/>
          <w:bottom w:val="single" w:sz="4" w:space="0" w:color="0054BA" w:themeColor="accent2"/>
          <w:right w:val="single" w:sz="4" w:space="0" w:color="0054BA" w:themeColor="accent2"/>
          <w:insideH w:val="nil"/>
          <w:insideV w:val="nil"/>
        </w:tcBorders>
        <w:shd w:val="clear" w:color="auto" w:fill="0054BA" w:themeFill="accent2"/>
      </w:tcPr>
    </w:tblStylePr>
    <w:tblStylePr w:type="lastRow">
      <w:rPr>
        <w:b/>
        <w:bCs/>
      </w:rPr>
      <w:tblPr/>
      <w:tcPr>
        <w:tcBorders>
          <w:top w:val="double" w:sz="4" w:space="0" w:color="0054BA" w:themeColor="accent2"/>
        </w:tcBorders>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paragraph" w:customStyle="1" w:styleId="TableHeadingGreen">
    <w:name w:val="TableHeadingGreen"/>
    <w:basedOn w:val="TableText0"/>
    <w:uiPriority w:val="23"/>
    <w:qFormat/>
    <w:rsid w:val="008C01FC"/>
    <w:pPr>
      <w:keepNext/>
      <w:spacing w:before="60" w:after="60" w:line="264" w:lineRule="auto"/>
      <w:ind w:left="57"/>
    </w:pPr>
    <w:rPr>
      <w:rFonts w:cstheme="minorBidi"/>
      <w:bCs w:val="0"/>
      <w:color w:val="FFFFFF" w:themeColor="background2"/>
      <w:szCs w:val="22"/>
      <w:lang w:eastAsia="en-US"/>
    </w:rPr>
  </w:style>
  <w:style w:type="character" w:customStyle="1" w:styleId="ui-provider">
    <w:name w:val="ui-provider"/>
    <w:basedOn w:val="DefaultParagraphFont"/>
    <w:rsid w:val="00E9117C"/>
  </w:style>
  <w:style w:type="character" w:customStyle="1" w:styleId="contextualspellingandgrammarerror">
    <w:name w:val="contextualspellingandgrammarerror"/>
    <w:basedOn w:val="DefaultParagraphFont"/>
    <w:rsid w:val="008E3256"/>
  </w:style>
  <w:style w:type="character" w:customStyle="1" w:styleId="advancedproofingissue">
    <w:name w:val="advancedproofingissue"/>
    <w:basedOn w:val="DefaultParagraphFont"/>
    <w:rsid w:val="008E3256"/>
  </w:style>
  <w:style w:type="numbering" w:customStyle="1" w:styleId="NumbLstBullet2">
    <w:name w:val="NumbLstBullet2"/>
    <w:uiPriority w:val="99"/>
    <w:rsid w:val="009A17EA"/>
    <w:pPr>
      <w:numPr>
        <w:numId w:val="16"/>
      </w:numPr>
    </w:pPr>
  </w:style>
  <w:style w:type="numbering" w:customStyle="1" w:styleId="NumbLstMain2">
    <w:name w:val="NumbLstMain2"/>
    <w:uiPriority w:val="99"/>
    <w:rsid w:val="009A17EA"/>
    <w:pPr>
      <w:numPr>
        <w:numId w:val="17"/>
      </w:numPr>
    </w:pPr>
  </w:style>
  <w:style w:type="numbering" w:customStyle="1" w:styleId="NumbLstTables2">
    <w:name w:val="NumbLstTables2"/>
    <w:uiPriority w:val="99"/>
    <w:rsid w:val="009A17EA"/>
    <w:pPr>
      <w:numPr>
        <w:numId w:val="18"/>
      </w:numPr>
    </w:pPr>
  </w:style>
  <w:style w:type="paragraph" w:customStyle="1" w:styleId="Head1Num2R">
    <w:name w:val="Head1Num2R"/>
    <w:basedOn w:val="Heading1Num"/>
    <w:next w:val="Normal"/>
    <w:uiPriority w:val="4"/>
    <w:qFormat/>
    <w:rsid w:val="004428A9"/>
    <w:pPr>
      <w:framePr w:wrap="auto" w:hAnchor="text" w:y="2382"/>
      <w:numPr>
        <w:numId w:val="0"/>
      </w:numPr>
      <w:ind w:left="680" w:hanging="680"/>
    </w:pPr>
  </w:style>
  <w:style w:type="table" w:styleId="ListTable2-Accent1">
    <w:name w:val="List Table 2 Accent 1"/>
    <w:basedOn w:val="TableNormal"/>
    <w:uiPriority w:val="47"/>
    <w:rsid w:val="005E637C"/>
    <w:pPr>
      <w:spacing w:after="0" w:line="240" w:lineRule="auto"/>
    </w:pPr>
    <w:tblPr>
      <w:tblStyleRowBandSize w:val="1"/>
      <w:tblStyleColBandSize w:val="1"/>
      <w:tblBorders>
        <w:top w:val="single" w:sz="4" w:space="0" w:color="FF848F" w:themeColor="accent1" w:themeTint="99"/>
        <w:bottom w:val="single" w:sz="4" w:space="0" w:color="FF848F" w:themeColor="accent1" w:themeTint="99"/>
        <w:insideH w:val="single" w:sz="4" w:space="0" w:color="FF848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D9" w:themeFill="accent1" w:themeFillTint="33"/>
      </w:tcPr>
    </w:tblStylePr>
    <w:tblStylePr w:type="band1Horz">
      <w:tblPr/>
      <w:tcPr>
        <w:shd w:val="clear" w:color="auto" w:fill="FFD6D9" w:themeFill="accent1" w:themeFillTint="33"/>
      </w:tcPr>
    </w:tblStylePr>
  </w:style>
  <w:style w:type="table" w:styleId="ListTable3-Accent2">
    <w:name w:val="List Table 3 Accent 2"/>
    <w:basedOn w:val="TableNormal"/>
    <w:uiPriority w:val="48"/>
    <w:rsid w:val="00ED68C0"/>
    <w:pPr>
      <w:spacing w:after="0" w:line="240" w:lineRule="auto"/>
    </w:pPr>
    <w:tblPr>
      <w:tblStyleRowBandSize w:val="1"/>
      <w:tblStyleColBandSize w:val="1"/>
      <w:tblBorders>
        <w:top w:val="single" w:sz="4" w:space="0" w:color="0054BA" w:themeColor="accent2"/>
        <w:left w:val="single" w:sz="4" w:space="0" w:color="0054BA" w:themeColor="accent2"/>
        <w:bottom w:val="single" w:sz="4" w:space="0" w:color="0054BA" w:themeColor="accent2"/>
        <w:right w:val="single" w:sz="4" w:space="0" w:color="0054BA" w:themeColor="accent2"/>
      </w:tblBorders>
    </w:tblPr>
    <w:tblStylePr w:type="firstRow">
      <w:rPr>
        <w:b/>
        <w:bCs/>
        <w:color w:val="FFFFFF" w:themeColor="background1"/>
      </w:rPr>
      <w:tblPr/>
      <w:tcPr>
        <w:shd w:val="clear" w:color="auto" w:fill="0054BA" w:themeFill="accent2"/>
      </w:tcPr>
    </w:tblStylePr>
    <w:tblStylePr w:type="lastRow">
      <w:rPr>
        <w:b/>
        <w:bCs/>
      </w:rPr>
      <w:tblPr/>
      <w:tcPr>
        <w:tcBorders>
          <w:top w:val="double" w:sz="4" w:space="0" w:color="0054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4BA" w:themeColor="accent2"/>
          <w:right w:val="single" w:sz="4" w:space="0" w:color="0054BA" w:themeColor="accent2"/>
        </w:tcBorders>
      </w:tcPr>
    </w:tblStylePr>
    <w:tblStylePr w:type="band1Horz">
      <w:tblPr/>
      <w:tcPr>
        <w:tcBorders>
          <w:top w:val="single" w:sz="4" w:space="0" w:color="0054BA" w:themeColor="accent2"/>
          <w:bottom w:val="single" w:sz="4" w:space="0" w:color="0054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BA" w:themeColor="accent2"/>
          <w:left w:val="nil"/>
        </w:tcBorders>
      </w:tcPr>
    </w:tblStylePr>
    <w:tblStylePr w:type="swCell">
      <w:tblPr/>
      <w:tcPr>
        <w:tcBorders>
          <w:top w:val="double" w:sz="4" w:space="0" w:color="0054BA" w:themeColor="accent2"/>
          <w:right w:val="nil"/>
        </w:tcBorders>
      </w:tcPr>
    </w:tblStylePr>
  </w:style>
  <w:style w:type="table" w:styleId="ListTable4-Accent2">
    <w:name w:val="List Table 4 Accent 2"/>
    <w:basedOn w:val="TableNormal"/>
    <w:uiPriority w:val="49"/>
    <w:rsid w:val="00862AC5"/>
    <w:pPr>
      <w:spacing w:after="0" w:line="240" w:lineRule="auto"/>
    </w:pPr>
    <w:tblPr>
      <w:tblStyleRowBandSize w:val="1"/>
      <w:tblStyleColBandSize w:val="1"/>
      <w:tblBorders>
        <w:top w:val="single" w:sz="4" w:space="0" w:color="3C94FF" w:themeColor="accent2" w:themeTint="99"/>
        <w:left w:val="single" w:sz="4" w:space="0" w:color="3C94FF" w:themeColor="accent2" w:themeTint="99"/>
        <w:bottom w:val="single" w:sz="4" w:space="0" w:color="3C94FF" w:themeColor="accent2" w:themeTint="99"/>
        <w:right w:val="single" w:sz="4" w:space="0" w:color="3C94FF" w:themeColor="accent2" w:themeTint="99"/>
        <w:insideH w:val="single" w:sz="4" w:space="0" w:color="3C94FF" w:themeColor="accent2" w:themeTint="99"/>
      </w:tblBorders>
    </w:tblPr>
    <w:tblStylePr w:type="firstRow">
      <w:rPr>
        <w:b/>
        <w:bCs/>
        <w:color w:val="FFFFFF" w:themeColor="background1"/>
      </w:rPr>
      <w:tblPr/>
      <w:tcPr>
        <w:tcBorders>
          <w:top w:val="single" w:sz="4" w:space="0" w:color="0054BA" w:themeColor="accent2"/>
          <w:left w:val="single" w:sz="4" w:space="0" w:color="0054BA" w:themeColor="accent2"/>
          <w:bottom w:val="single" w:sz="4" w:space="0" w:color="0054BA" w:themeColor="accent2"/>
          <w:right w:val="single" w:sz="4" w:space="0" w:color="0054BA" w:themeColor="accent2"/>
          <w:insideH w:val="nil"/>
        </w:tcBorders>
        <w:shd w:val="clear" w:color="auto" w:fill="0054BA" w:themeFill="accent2"/>
      </w:tcPr>
    </w:tblStylePr>
    <w:tblStylePr w:type="lastRow">
      <w:rPr>
        <w:b/>
        <w:bCs/>
      </w:rPr>
      <w:tblPr/>
      <w:tcPr>
        <w:tcBorders>
          <w:top w:val="double" w:sz="4" w:space="0" w:color="3C94FF" w:themeColor="accent2" w:themeTint="99"/>
        </w:tcBorders>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paragraph" w:styleId="z-TopofForm">
    <w:name w:val="HTML Top of Form"/>
    <w:basedOn w:val="Normal"/>
    <w:next w:val="Normal"/>
    <w:link w:val="z-TopofFormChar"/>
    <w:hidden/>
    <w:uiPriority w:val="99"/>
    <w:semiHidden/>
    <w:unhideWhenUsed/>
    <w:rsid w:val="0024373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43738"/>
    <w:rPr>
      <w:rFonts w:ascii="Arial" w:eastAsia="Times New Roman" w:hAnsi="Arial" w:cs="Arial"/>
      <w:vanish/>
      <w:sz w:val="16"/>
      <w:szCs w:val="16"/>
      <w:lang w:eastAsia="en-GB"/>
    </w:rPr>
  </w:style>
  <w:style w:type="paragraph" w:customStyle="1" w:styleId="DocTitle">
    <w:name w:val="DocTitle"/>
    <w:basedOn w:val="Normal"/>
    <w:uiPriority w:val="49"/>
    <w:semiHidden/>
    <w:qFormat/>
    <w:rsid w:val="00671D55"/>
    <w:pPr>
      <w:spacing w:before="360" w:after="60" w:line="264" w:lineRule="auto"/>
    </w:pPr>
    <w:rPr>
      <w:rFonts w:ascii="Arial" w:eastAsia="SimSun" w:hAnsi="Arial" w:cs="Arial"/>
      <w:bCs/>
      <w:caps/>
      <w:color w:val="FFFFFF" w:themeColor="background2"/>
      <w:sz w:val="40"/>
      <w:szCs w:val="20"/>
    </w:rPr>
  </w:style>
  <w:style w:type="paragraph" w:customStyle="1" w:styleId="DocSubTitle">
    <w:name w:val="DocSubTitle"/>
    <w:basedOn w:val="DocTitle"/>
    <w:uiPriority w:val="49"/>
    <w:semiHidden/>
    <w:qFormat/>
    <w:rsid w:val="00671D55"/>
    <w:rPr>
      <w:caps w:val="0"/>
      <w:color w:val="142855" w:themeColor="text2"/>
      <w:sz w:val="28"/>
    </w:rPr>
  </w:style>
  <w:style w:type="paragraph" w:customStyle="1" w:styleId="DocDate">
    <w:name w:val="DocDate"/>
    <w:basedOn w:val="DocSubTitle"/>
    <w:uiPriority w:val="49"/>
    <w:semiHidden/>
    <w:qFormat/>
    <w:rsid w:val="00671D55"/>
    <w:rPr>
      <w:color w:val="1D1D1B" w:themeColor="text1"/>
    </w:rPr>
  </w:style>
  <w:style w:type="paragraph" w:customStyle="1" w:styleId="FooterOdd">
    <w:name w:val="FooterOdd"/>
    <w:basedOn w:val="Footer"/>
    <w:uiPriority w:val="49"/>
    <w:semiHidden/>
    <w:qFormat/>
    <w:rsid w:val="00671D55"/>
    <w:pPr>
      <w:tabs>
        <w:tab w:val="clear" w:pos="4513"/>
        <w:tab w:val="clear" w:pos="9026"/>
        <w:tab w:val="right" w:pos="9526"/>
        <w:tab w:val="right" w:pos="10195"/>
      </w:tabs>
      <w:spacing w:before="60"/>
    </w:pPr>
    <w:rPr>
      <w:rFonts w:ascii="Arial" w:eastAsia="SimSun" w:hAnsi="Arial" w:cs="Arial"/>
      <w:bCs/>
      <w:color w:val="1D1D1B" w:themeColor="text1"/>
      <w:sz w:val="16"/>
      <w:szCs w:val="20"/>
    </w:rPr>
  </w:style>
  <w:style w:type="paragraph" w:customStyle="1" w:styleId="FooterHalf">
    <w:name w:val="FooterHalf"/>
    <w:basedOn w:val="Footer"/>
    <w:uiPriority w:val="49"/>
    <w:qFormat/>
    <w:rsid w:val="00671D55"/>
    <w:pPr>
      <w:tabs>
        <w:tab w:val="clear" w:pos="4513"/>
        <w:tab w:val="clear" w:pos="9026"/>
        <w:tab w:val="left" w:pos="680"/>
        <w:tab w:val="right" w:pos="9979"/>
        <w:tab w:val="right" w:pos="10660"/>
      </w:tabs>
      <w:spacing w:before="60"/>
    </w:pPr>
    <w:rPr>
      <w:rFonts w:ascii="Arial" w:eastAsia="SimSun" w:hAnsi="Arial" w:cs="Arial"/>
      <w:bCs/>
      <w:noProof/>
      <w:color w:val="1D1D1B" w:themeColor="text1"/>
      <w:sz w:val="10"/>
      <w:szCs w:val="20"/>
      <w:lang w:eastAsia="en-GB"/>
    </w:rPr>
  </w:style>
  <w:style w:type="paragraph" w:styleId="BalloonText">
    <w:name w:val="Balloon Text"/>
    <w:basedOn w:val="Normal"/>
    <w:link w:val="BalloonTextChar"/>
    <w:uiPriority w:val="99"/>
    <w:semiHidden/>
    <w:unhideWhenUsed/>
    <w:rsid w:val="00671D55"/>
    <w:pPr>
      <w:spacing w:before="60" w:after="0" w:line="240" w:lineRule="auto"/>
    </w:pPr>
    <w:rPr>
      <w:rFonts w:ascii="Tahoma" w:eastAsia="SimSun" w:hAnsi="Tahoma" w:cs="Tahoma"/>
      <w:bCs/>
      <w:color w:val="1D1D1B" w:themeColor="text1"/>
      <w:sz w:val="16"/>
      <w:szCs w:val="16"/>
    </w:rPr>
  </w:style>
  <w:style w:type="character" w:customStyle="1" w:styleId="BalloonTextChar">
    <w:name w:val="Balloon Text Char"/>
    <w:basedOn w:val="DefaultParagraphFont"/>
    <w:link w:val="BalloonText"/>
    <w:uiPriority w:val="99"/>
    <w:semiHidden/>
    <w:rsid w:val="00671D55"/>
    <w:rPr>
      <w:rFonts w:ascii="Tahoma" w:eastAsia="SimSun" w:hAnsi="Tahoma" w:cs="Tahoma"/>
      <w:bCs/>
      <w:color w:val="1D1D1B" w:themeColor="text1"/>
      <w:sz w:val="16"/>
      <w:szCs w:val="16"/>
    </w:rPr>
  </w:style>
  <w:style w:type="paragraph" w:customStyle="1" w:styleId="Confidentiality">
    <w:name w:val="Confidentiality"/>
    <w:basedOn w:val="Normal"/>
    <w:next w:val="Normal"/>
    <w:uiPriority w:val="99"/>
    <w:semiHidden/>
    <w:qFormat/>
    <w:rsid w:val="00671D55"/>
    <w:pPr>
      <w:framePr w:wrap="around" w:vAnchor="page" w:hAnchor="text" w:y="341" w:anchorLock="1"/>
      <w:spacing w:before="60" w:after="60" w:line="264" w:lineRule="auto"/>
    </w:pPr>
    <w:rPr>
      <w:rFonts w:ascii="Arial" w:eastAsia="SimSun" w:hAnsi="Arial" w:cs="Arial"/>
      <w:b/>
      <w:bCs/>
      <w:noProof/>
      <w:color w:val="1D1D1B" w:themeColor="text1"/>
      <w:sz w:val="20"/>
      <w:szCs w:val="20"/>
      <w:lang w:val="en-US"/>
    </w:rPr>
  </w:style>
  <w:style w:type="paragraph" w:customStyle="1" w:styleId="Heading1Toc">
    <w:name w:val="Heading 1 Toc"/>
    <w:basedOn w:val="DocTitle"/>
    <w:next w:val="IntroductionFullWidth"/>
    <w:uiPriority w:val="49"/>
    <w:semiHidden/>
    <w:qFormat/>
    <w:rsid w:val="00671D55"/>
    <w:pPr>
      <w:framePr w:w="8618" w:wrap="around" w:vAnchor="page" w:hAnchor="text" w:y="2836"/>
      <w:spacing w:before="0" w:after="240" w:line="240" w:lineRule="atLeast"/>
    </w:pPr>
  </w:style>
  <w:style w:type="paragraph" w:customStyle="1" w:styleId="Heading2NewPg">
    <w:name w:val="Heading 2NewPg"/>
    <w:basedOn w:val="Heading2"/>
    <w:next w:val="Normal"/>
    <w:uiPriority w:val="4"/>
    <w:qFormat/>
    <w:rsid w:val="00671D55"/>
    <w:pPr>
      <w:pageBreakBefore/>
      <w:pBdr>
        <w:top w:val="none" w:sz="0" w:space="0" w:color="auto"/>
      </w:pBdr>
      <w:spacing w:before="0" w:after="60" w:line="320" w:lineRule="atLeast"/>
    </w:pPr>
    <w:rPr>
      <w:rFonts w:ascii="Arial Bold" w:hAnsi="Arial Bold"/>
      <w:color w:val="1D1D1B" w:themeColor="text1"/>
      <w:sz w:val="28"/>
    </w:rPr>
  </w:style>
  <w:style w:type="paragraph" w:customStyle="1" w:styleId="Heading2NumNewPg">
    <w:name w:val="Heading 2NumNewPg"/>
    <w:basedOn w:val="Heading2Num"/>
    <w:next w:val="Normal"/>
    <w:uiPriority w:val="1"/>
    <w:qFormat/>
    <w:rsid w:val="00965F15"/>
    <w:pPr>
      <w:pageBreakBefore/>
      <w:numPr>
        <w:numId w:val="6"/>
      </w:numPr>
      <w:shd w:val="clear" w:color="auto" w:fill="auto"/>
      <w:tabs>
        <w:tab w:val="num" w:pos="2637"/>
      </w:tabs>
      <w:spacing w:after="60"/>
    </w:pPr>
    <w:rPr>
      <w:bCs w:val="0"/>
      <w:sz w:val="28"/>
    </w:rPr>
  </w:style>
  <w:style w:type="paragraph" w:customStyle="1" w:styleId="BackPageDisclaimer">
    <w:name w:val="BackPageDisclaimer"/>
    <w:basedOn w:val="Footer"/>
    <w:uiPriority w:val="49"/>
    <w:semiHidden/>
    <w:qFormat/>
    <w:rsid w:val="00671D55"/>
    <w:pPr>
      <w:tabs>
        <w:tab w:val="clear" w:pos="4513"/>
        <w:tab w:val="clear" w:pos="9026"/>
        <w:tab w:val="left" w:pos="680"/>
        <w:tab w:val="right" w:pos="9979"/>
        <w:tab w:val="right" w:pos="10660"/>
      </w:tabs>
      <w:spacing w:before="60" w:after="100" w:line="264" w:lineRule="auto"/>
    </w:pPr>
    <w:rPr>
      <w:rFonts w:ascii="Arial" w:eastAsia="SimSun" w:hAnsi="Arial" w:cs="Arial"/>
      <w:bCs/>
      <w:color w:val="1D1D1B" w:themeColor="text1"/>
      <w:sz w:val="12"/>
      <w:szCs w:val="20"/>
    </w:rPr>
  </w:style>
  <w:style w:type="paragraph" w:customStyle="1" w:styleId="BackPageTitle">
    <w:name w:val="BackPageTitle"/>
    <w:basedOn w:val="Heading12Col"/>
    <w:uiPriority w:val="99"/>
    <w:semiHidden/>
    <w:qFormat/>
    <w:rsid w:val="00965F15"/>
    <w:pPr>
      <w:framePr w:wrap="around"/>
    </w:pPr>
  </w:style>
  <w:style w:type="paragraph" w:customStyle="1" w:styleId="BackPageWeb">
    <w:name w:val="BackPageWeb"/>
    <w:basedOn w:val="BackPageDisclaimer"/>
    <w:uiPriority w:val="49"/>
    <w:semiHidden/>
    <w:qFormat/>
    <w:rsid w:val="00671D55"/>
    <w:rPr>
      <w:sz w:val="20"/>
    </w:rPr>
  </w:style>
  <w:style w:type="paragraph" w:customStyle="1" w:styleId="BiogContact">
    <w:name w:val="BiogContact"/>
    <w:basedOn w:val="Normal"/>
    <w:uiPriority w:val="36"/>
    <w:qFormat/>
    <w:rsid w:val="00671D55"/>
    <w:pPr>
      <w:spacing w:before="60" w:after="0" w:line="264" w:lineRule="auto"/>
      <w:contextualSpacing/>
    </w:pPr>
    <w:rPr>
      <w:rFonts w:ascii="Arial" w:eastAsia="SimSun" w:hAnsi="Arial" w:cs="Arial"/>
      <w:bCs/>
      <w:color w:val="1D1D1B" w:themeColor="text1"/>
      <w:sz w:val="20"/>
      <w:szCs w:val="20"/>
    </w:rPr>
  </w:style>
  <w:style w:type="paragraph" w:customStyle="1" w:styleId="BiogJobTitle">
    <w:name w:val="BiogJobTitle"/>
    <w:basedOn w:val="Normal"/>
    <w:uiPriority w:val="35"/>
    <w:qFormat/>
    <w:rsid w:val="00671D55"/>
    <w:pPr>
      <w:spacing w:before="60" w:after="60" w:line="264" w:lineRule="auto"/>
    </w:pPr>
    <w:rPr>
      <w:rFonts w:ascii="Arial" w:eastAsia="SimSun" w:hAnsi="Arial" w:cs="Arial"/>
      <w:b/>
      <w:bCs/>
      <w:color w:val="1D1D1B" w:themeColor="text1"/>
      <w:sz w:val="20"/>
      <w:szCs w:val="20"/>
    </w:rPr>
  </w:style>
  <w:style w:type="paragraph" w:customStyle="1" w:styleId="BiogName">
    <w:name w:val="BiogName"/>
    <w:basedOn w:val="Normal"/>
    <w:uiPriority w:val="34"/>
    <w:qFormat/>
    <w:rsid w:val="00671D55"/>
    <w:pPr>
      <w:spacing w:before="120" w:after="0" w:line="264" w:lineRule="auto"/>
    </w:pPr>
    <w:rPr>
      <w:rFonts w:ascii="Arial" w:eastAsia="SimSun" w:hAnsi="Arial" w:cs="Arial"/>
      <w:b/>
      <w:bCs/>
      <w:color w:val="142855" w:themeColor="text2"/>
      <w:sz w:val="20"/>
      <w:szCs w:val="20"/>
    </w:rPr>
  </w:style>
  <w:style w:type="paragraph" w:customStyle="1" w:styleId="Introduction">
    <w:name w:val="Introduction"/>
    <w:basedOn w:val="Normal"/>
    <w:next w:val="Normal"/>
    <w:uiPriority w:val="14"/>
    <w:qFormat/>
    <w:rsid w:val="00671D55"/>
    <w:pPr>
      <w:spacing w:before="60" w:after="60" w:line="276" w:lineRule="auto"/>
    </w:pPr>
    <w:rPr>
      <w:rFonts w:ascii="Arial" w:eastAsia="SimSun" w:hAnsi="Arial" w:cs="Arial"/>
      <w:bCs/>
      <w:color w:val="142855" w:themeColor="text2"/>
      <w:sz w:val="23"/>
      <w:szCs w:val="20"/>
    </w:rPr>
  </w:style>
  <w:style w:type="paragraph" w:customStyle="1" w:styleId="IntroductionFullWidth">
    <w:name w:val="IntroductionFullWidth"/>
    <w:basedOn w:val="Introduction"/>
    <w:next w:val="Normal"/>
    <w:uiPriority w:val="14"/>
    <w:qFormat/>
    <w:rsid w:val="00671D55"/>
    <w:pPr>
      <w:framePr w:w="8618" w:wrap="around" w:vAnchor="text" w:hAnchor="text" w:y="1"/>
    </w:pPr>
  </w:style>
  <w:style w:type="paragraph" w:customStyle="1" w:styleId="NormalNoSpace">
    <w:name w:val="NormalNoSpace"/>
    <w:basedOn w:val="Normal"/>
    <w:next w:val="Normal"/>
    <w:uiPriority w:val="4"/>
    <w:qFormat/>
    <w:rsid w:val="00671D55"/>
    <w:pPr>
      <w:spacing w:before="60" w:after="0" w:line="264" w:lineRule="auto"/>
    </w:pPr>
    <w:rPr>
      <w:rFonts w:ascii="Arial" w:eastAsia="SimSun" w:hAnsi="Arial" w:cs="Arial"/>
      <w:bCs/>
      <w:color w:val="1D1D1B" w:themeColor="text1"/>
      <w:sz w:val="20"/>
      <w:szCs w:val="20"/>
    </w:rPr>
  </w:style>
  <w:style w:type="paragraph" w:customStyle="1" w:styleId="NumbList1">
    <w:name w:val="NumbList 1"/>
    <w:basedOn w:val="Normal"/>
    <w:uiPriority w:val="4"/>
    <w:qFormat/>
    <w:rsid w:val="00965F15"/>
    <w:pPr>
      <w:numPr>
        <w:numId w:val="52"/>
      </w:numPr>
      <w:spacing w:before="60" w:after="60" w:line="264" w:lineRule="auto"/>
    </w:pPr>
    <w:rPr>
      <w:rFonts w:ascii="Arial" w:eastAsia="SimSun" w:hAnsi="Arial" w:cs="Arial"/>
      <w:bCs/>
      <w:color w:val="1D1D1B" w:themeColor="text1"/>
      <w:sz w:val="20"/>
      <w:szCs w:val="20"/>
    </w:rPr>
  </w:style>
  <w:style w:type="paragraph" w:customStyle="1" w:styleId="NumbList2">
    <w:name w:val="NumbList 2"/>
    <w:basedOn w:val="NumbList1"/>
    <w:uiPriority w:val="4"/>
    <w:qFormat/>
    <w:rsid w:val="00965F15"/>
    <w:pPr>
      <w:numPr>
        <w:ilvl w:val="1"/>
      </w:numPr>
    </w:pPr>
  </w:style>
  <w:style w:type="paragraph" w:customStyle="1" w:styleId="QuoteAuthor">
    <w:name w:val="QuoteAuthor"/>
    <w:basedOn w:val="Quote"/>
    <w:next w:val="Normal"/>
    <w:uiPriority w:val="38"/>
    <w:qFormat/>
    <w:rsid w:val="00671D55"/>
  </w:style>
  <w:style w:type="paragraph" w:customStyle="1" w:styleId="QuoteMarks">
    <w:name w:val="QuoteMarks"/>
    <w:basedOn w:val="Quote"/>
    <w:next w:val="QuoteAuthor"/>
    <w:uiPriority w:val="38"/>
    <w:qFormat/>
    <w:rsid w:val="00671D55"/>
  </w:style>
  <w:style w:type="paragraph" w:customStyle="1" w:styleId="QuoteOpen">
    <w:name w:val="QuoteOpen"/>
    <w:basedOn w:val="QuoteMarks"/>
    <w:next w:val="Quote"/>
    <w:uiPriority w:val="38"/>
    <w:qFormat/>
    <w:rsid w:val="00671D55"/>
  </w:style>
  <w:style w:type="paragraph" w:customStyle="1" w:styleId="FooterPandC">
    <w:name w:val="FooterPandC"/>
    <w:basedOn w:val="Footer"/>
    <w:uiPriority w:val="49"/>
    <w:semiHidden/>
    <w:qFormat/>
    <w:rsid w:val="00671D55"/>
    <w:pPr>
      <w:tabs>
        <w:tab w:val="clear" w:pos="4513"/>
        <w:tab w:val="clear" w:pos="9026"/>
        <w:tab w:val="left" w:pos="680"/>
        <w:tab w:val="right" w:pos="9979"/>
        <w:tab w:val="right" w:pos="10660"/>
      </w:tabs>
      <w:spacing w:before="120"/>
      <w:ind w:left="680" w:right="680"/>
    </w:pPr>
    <w:rPr>
      <w:rFonts w:ascii="Arial" w:eastAsia="SimSun" w:hAnsi="Arial" w:cs="Arial"/>
      <w:b/>
      <w:bCs/>
      <w:color w:val="1D1D1B" w:themeColor="text1"/>
      <w:sz w:val="16"/>
      <w:szCs w:val="20"/>
    </w:rPr>
  </w:style>
  <w:style w:type="paragraph" w:customStyle="1" w:styleId="Heading12Col">
    <w:name w:val="Heading 1 2Col"/>
    <w:basedOn w:val="Heading1"/>
    <w:next w:val="Normal"/>
    <w:uiPriority w:val="4"/>
    <w:qFormat/>
    <w:rsid w:val="00671D55"/>
    <w:pPr>
      <w:pageBreakBefore/>
      <w:framePr w:w="10206" w:wrap="around" w:vAnchor="page" w:hAnchor="text" w:y="2836"/>
      <w:spacing w:before="60" w:after="0" w:line="240" w:lineRule="atLeast"/>
    </w:pPr>
    <w:rPr>
      <w:rFonts w:ascii="Arial" w:hAnsi="Arial"/>
      <w:b w:val="0"/>
      <w:caps/>
      <w:color w:val="FFFFFF" w:themeColor="background2"/>
      <w:sz w:val="40"/>
      <w:szCs w:val="28"/>
    </w:rPr>
  </w:style>
  <w:style w:type="paragraph" w:customStyle="1" w:styleId="IntroductionFullWIdth2ColPg">
    <w:name w:val="IntroductionFullWIdth 2ColPg"/>
    <w:basedOn w:val="Introduction"/>
    <w:next w:val="Normal"/>
    <w:uiPriority w:val="14"/>
    <w:qFormat/>
    <w:rsid w:val="00671D55"/>
    <w:pPr>
      <w:framePr w:w="10206" w:wrap="around" w:vAnchor="text" w:hAnchor="text" w:y="1"/>
    </w:pPr>
  </w:style>
  <w:style w:type="paragraph" w:customStyle="1" w:styleId="bulletpoints">
    <w:name w:val="bullet points"/>
    <w:basedOn w:val="TableText0"/>
    <w:uiPriority w:val="31"/>
    <w:qFormat/>
    <w:rsid w:val="00671D55"/>
    <w:pPr>
      <w:tabs>
        <w:tab w:val="num" w:pos="426"/>
      </w:tabs>
      <w:spacing w:before="60" w:after="60" w:line="264" w:lineRule="auto"/>
      <w:ind w:left="397" w:hanging="340"/>
    </w:pPr>
    <w:rPr>
      <w:rFonts w:eastAsia="SimSun"/>
      <w:b w:val="0"/>
      <w:szCs w:val="20"/>
      <w:lang w:eastAsia="en-US"/>
    </w:rPr>
  </w:style>
  <w:style w:type="paragraph" w:customStyle="1" w:styleId="TableHeadingBlue">
    <w:name w:val="TableHeadingBlue"/>
    <w:basedOn w:val="TableHeadingGreen"/>
    <w:uiPriority w:val="23"/>
    <w:qFormat/>
    <w:rsid w:val="00671D55"/>
    <w:rPr>
      <w:rFonts w:eastAsia="SimSun" w:cs="Arial"/>
      <w:bCs/>
      <w:color w:val="142855" w:themeColor="text2"/>
      <w:szCs w:val="20"/>
    </w:rPr>
  </w:style>
  <w:style w:type="paragraph" w:customStyle="1" w:styleId="TableHeadingBlueRight">
    <w:name w:val="TableHeadingBlueRight"/>
    <w:basedOn w:val="TableHeadingBlue"/>
    <w:uiPriority w:val="23"/>
    <w:qFormat/>
    <w:rsid w:val="00671D55"/>
  </w:style>
  <w:style w:type="paragraph" w:customStyle="1" w:styleId="TableHeadingGreenRight">
    <w:name w:val="TableHeadingGreenRight"/>
    <w:basedOn w:val="TableHeadingGreen"/>
    <w:uiPriority w:val="23"/>
    <w:qFormat/>
    <w:rsid w:val="00671D55"/>
    <w:pPr>
      <w:jc w:val="right"/>
    </w:pPr>
    <w:rPr>
      <w:rFonts w:eastAsia="SimSun" w:cs="Arial"/>
      <w:bCs/>
      <w:szCs w:val="20"/>
    </w:rPr>
  </w:style>
  <w:style w:type="paragraph" w:customStyle="1" w:styleId="TableHeadingWhiteRight">
    <w:name w:val="TableHeadingWhiteRight"/>
    <w:basedOn w:val="TableHeadingWhite"/>
    <w:uiPriority w:val="23"/>
    <w:qFormat/>
    <w:rsid w:val="00671D55"/>
    <w:pPr>
      <w:jc w:val="right"/>
    </w:pPr>
  </w:style>
  <w:style w:type="paragraph" w:customStyle="1" w:styleId="TableNumb">
    <w:name w:val="TableNumb"/>
    <w:basedOn w:val="TableText0"/>
    <w:uiPriority w:val="26"/>
    <w:qFormat/>
    <w:rsid w:val="00671D55"/>
    <w:pPr>
      <w:spacing w:before="60" w:after="60" w:line="264" w:lineRule="auto"/>
      <w:ind w:left="57" w:right="85"/>
      <w:jc w:val="right"/>
    </w:pPr>
    <w:rPr>
      <w:rFonts w:eastAsia="SimSun"/>
      <w:b w:val="0"/>
      <w:szCs w:val="20"/>
      <w:lang w:eastAsia="en-US"/>
    </w:rPr>
  </w:style>
  <w:style w:type="paragraph" w:customStyle="1" w:styleId="TableNumbNeg">
    <w:name w:val="TableNumbNeg"/>
    <w:basedOn w:val="TableNumb"/>
    <w:uiPriority w:val="26"/>
    <w:qFormat/>
    <w:rsid w:val="00671D55"/>
    <w:pPr>
      <w:ind w:right="28"/>
    </w:pPr>
  </w:style>
  <w:style w:type="paragraph" w:customStyle="1" w:styleId="TableTotal">
    <w:name w:val="TableTotal"/>
    <w:basedOn w:val="TableText0"/>
    <w:uiPriority w:val="29"/>
    <w:qFormat/>
    <w:rsid w:val="00671D55"/>
    <w:pPr>
      <w:spacing w:before="60" w:after="60" w:line="264" w:lineRule="auto"/>
      <w:ind w:left="57"/>
    </w:pPr>
    <w:rPr>
      <w:rFonts w:eastAsia="SimSun"/>
      <w:szCs w:val="20"/>
      <w:lang w:eastAsia="en-US"/>
    </w:rPr>
  </w:style>
  <w:style w:type="paragraph" w:customStyle="1" w:styleId="TableTotalNumb">
    <w:name w:val="TableTotalNumb"/>
    <w:basedOn w:val="TableTotal"/>
    <w:uiPriority w:val="29"/>
    <w:qFormat/>
    <w:rsid w:val="00671D55"/>
    <w:pPr>
      <w:ind w:right="85"/>
      <w:jc w:val="right"/>
    </w:pPr>
  </w:style>
  <w:style w:type="paragraph" w:customStyle="1" w:styleId="TableTotalNumbNeg">
    <w:name w:val="TableTotalNumbNeg"/>
    <w:basedOn w:val="TableTotalNumb"/>
    <w:uiPriority w:val="29"/>
    <w:qFormat/>
    <w:rsid w:val="00671D55"/>
  </w:style>
  <w:style w:type="paragraph" w:styleId="TOC4">
    <w:name w:val="toc 4"/>
    <w:basedOn w:val="TOC3"/>
    <w:next w:val="Normal"/>
    <w:autoRedefine/>
    <w:uiPriority w:val="39"/>
    <w:rsid w:val="00671D55"/>
    <w:pPr>
      <w:tabs>
        <w:tab w:val="clear" w:pos="4707"/>
        <w:tab w:val="right" w:leader="dot" w:pos="8618"/>
      </w:tabs>
      <w:spacing w:before="60" w:line="264" w:lineRule="auto"/>
      <w:ind w:left="680" w:hanging="680"/>
    </w:pPr>
    <w:rPr>
      <w:rFonts w:ascii="Arial" w:eastAsia="SimSun" w:hAnsi="Arial" w:cs="Arial"/>
      <w:bCs/>
      <w:sz w:val="23"/>
      <w:szCs w:val="20"/>
    </w:rPr>
  </w:style>
  <w:style w:type="paragraph" w:styleId="TOC5">
    <w:name w:val="toc 5"/>
    <w:basedOn w:val="TOC1"/>
    <w:next w:val="Normal"/>
    <w:autoRedefine/>
    <w:uiPriority w:val="39"/>
    <w:semiHidden/>
    <w:rsid w:val="00671D55"/>
    <w:pPr>
      <w:pBdr>
        <w:top w:val="none" w:sz="0" w:space="0" w:color="auto"/>
        <w:bottom w:val="none" w:sz="0" w:space="0" w:color="auto"/>
      </w:pBdr>
      <w:tabs>
        <w:tab w:val="clear" w:pos="6629"/>
        <w:tab w:val="right" w:leader="dot" w:pos="8618"/>
      </w:tabs>
      <w:spacing w:before="60" w:line="264" w:lineRule="auto"/>
    </w:pPr>
    <w:rPr>
      <w:rFonts w:ascii="Arial" w:eastAsia="SimSun" w:hAnsi="Arial" w:cs="Arial"/>
      <w:bCs w:val="0"/>
      <w:caps/>
      <w:color w:val="FFFFFF" w:themeColor="background1"/>
      <w:sz w:val="23"/>
      <w:szCs w:val="20"/>
    </w:rPr>
  </w:style>
  <w:style w:type="paragraph" w:styleId="TOC7">
    <w:name w:val="toc 7"/>
    <w:basedOn w:val="TOC3"/>
    <w:next w:val="Normal"/>
    <w:autoRedefine/>
    <w:uiPriority w:val="39"/>
    <w:rsid w:val="00671D55"/>
    <w:pPr>
      <w:tabs>
        <w:tab w:val="clear" w:pos="4707"/>
        <w:tab w:val="right" w:leader="dot" w:pos="8618"/>
      </w:tabs>
      <w:spacing w:before="60" w:line="264" w:lineRule="auto"/>
      <w:ind w:left="680"/>
    </w:pPr>
    <w:rPr>
      <w:rFonts w:ascii="Arial" w:eastAsia="SimSun" w:hAnsi="Arial" w:cs="Arial"/>
      <w:bCs/>
      <w:color w:val="FFFFFF" w:themeColor="background1"/>
      <w:sz w:val="23"/>
      <w:szCs w:val="20"/>
    </w:rPr>
  </w:style>
  <w:style w:type="paragraph" w:styleId="TOC6">
    <w:name w:val="toc 6"/>
    <w:basedOn w:val="TOC5"/>
    <w:next w:val="Normal"/>
    <w:autoRedefine/>
    <w:uiPriority w:val="39"/>
    <w:semiHidden/>
    <w:rsid w:val="00671D55"/>
    <w:pPr>
      <w:ind w:left="680" w:hanging="680"/>
    </w:pPr>
  </w:style>
  <w:style w:type="paragraph" w:styleId="TOC8">
    <w:name w:val="toc 8"/>
    <w:basedOn w:val="TOC4"/>
    <w:next w:val="Normal"/>
    <w:autoRedefine/>
    <w:uiPriority w:val="39"/>
    <w:rsid w:val="00671D55"/>
    <w:rPr>
      <w:color w:val="FFFFFF" w:themeColor="background1"/>
    </w:rPr>
  </w:style>
  <w:style w:type="paragraph" w:customStyle="1" w:styleId="Heading1TOCWhite">
    <w:name w:val="Heading 1 TOC White"/>
    <w:basedOn w:val="Heading1Toc"/>
    <w:next w:val="IntroductionFullWidthWhite"/>
    <w:uiPriority w:val="49"/>
    <w:semiHidden/>
    <w:qFormat/>
    <w:rsid w:val="00965F15"/>
    <w:pPr>
      <w:framePr w:wrap="around"/>
    </w:pPr>
  </w:style>
  <w:style w:type="paragraph" w:customStyle="1" w:styleId="IntroductionFullWidthWhite">
    <w:name w:val="IntroductionFullWidthWhite"/>
    <w:basedOn w:val="IntroductionFullWidth"/>
    <w:next w:val="Normal"/>
    <w:uiPriority w:val="14"/>
    <w:qFormat/>
    <w:rsid w:val="00965F15"/>
    <w:pPr>
      <w:framePr w:wrap="around"/>
    </w:pPr>
    <w:rPr>
      <w:color w:val="FFFFFF" w:themeColor="background1"/>
    </w:rPr>
  </w:style>
  <w:style w:type="paragraph" w:customStyle="1" w:styleId="BiogHeading">
    <w:name w:val="BiogHeading"/>
    <w:basedOn w:val="Heading3"/>
    <w:uiPriority w:val="37"/>
    <w:qFormat/>
    <w:rsid w:val="00671D55"/>
    <w:pPr>
      <w:spacing w:before="120" w:after="60" w:line="280" w:lineRule="atLeast"/>
    </w:pPr>
    <w:rPr>
      <w:rFonts w:ascii="Arial Bold" w:hAnsi="Arial Bold"/>
      <w:szCs w:val="20"/>
      <w:lang w:val="de-DE"/>
    </w:rPr>
  </w:style>
  <w:style w:type="paragraph" w:customStyle="1" w:styleId="Heading1Num2Col">
    <w:name w:val="Heading 1Num 2Col"/>
    <w:basedOn w:val="Heading1Num"/>
    <w:next w:val="Normal"/>
    <w:uiPriority w:val="1"/>
    <w:qFormat/>
    <w:rsid w:val="00965F15"/>
    <w:pPr>
      <w:framePr w:w="10206" w:wrap="around" w:vAnchor="page" w:hAnchor="text" w:y="2836"/>
      <w:numPr>
        <w:numId w:val="6"/>
      </w:numPr>
      <w:spacing w:before="60"/>
    </w:pPr>
    <w:rPr>
      <w:bCs w:val="0"/>
    </w:rPr>
  </w:style>
  <w:style w:type="paragraph" w:customStyle="1" w:styleId="Heading1NumLand">
    <w:name w:val="Heading 1Num Land"/>
    <w:basedOn w:val="Heading1Num"/>
    <w:next w:val="Normal"/>
    <w:uiPriority w:val="1"/>
    <w:qFormat/>
    <w:rsid w:val="00965F15"/>
    <w:pPr>
      <w:framePr w:w="13948" w:wrap="around" w:vAnchor="page" w:hAnchor="text" w:y="852"/>
      <w:numPr>
        <w:numId w:val="0"/>
      </w:numPr>
      <w:spacing w:before="60"/>
      <w:ind w:left="720" w:hanging="360"/>
    </w:pPr>
    <w:rPr>
      <w:bCs w:val="0"/>
    </w:rPr>
  </w:style>
  <w:style w:type="paragraph" w:customStyle="1" w:styleId="Heading1Land">
    <w:name w:val="Heading 1 Land"/>
    <w:basedOn w:val="Heading1"/>
    <w:next w:val="Normal"/>
    <w:uiPriority w:val="4"/>
    <w:qFormat/>
    <w:rsid w:val="00671D55"/>
    <w:pPr>
      <w:pageBreakBefore/>
      <w:framePr w:w="13948" w:wrap="around" w:vAnchor="page" w:hAnchor="text" w:y="852"/>
      <w:spacing w:before="60" w:after="0" w:line="240" w:lineRule="atLeast"/>
    </w:pPr>
    <w:rPr>
      <w:rFonts w:ascii="Arial" w:hAnsi="Arial"/>
      <w:b w:val="0"/>
      <w:caps/>
      <w:color w:val="FFFFFF" w:themeColor="background2"/>
      <w:sz w:val="40"/>
      <w:szCs w:val="28"/>
    </w:rPr>
  </w:style>
  <w:style w:type="paragraph" w:customStyle="1" w:styleId="Heading1ExecSummPage">
    <w:name w:val="Heading 1 ExecSummPage"/>
    <w:basedOn w:val="Heading1Toc"/>
    <w:uiPriority w:val="49"/>
    <w:semiHidden/>
    <w:qFormat/>
    <w:rsid w:val="00965F15"/>
    <w:pPr>
      <w:framePr w:wrap="around"/>
    </w:pPr>
  </w:style>
  <w:style w:type="paragraph" w:customStyle="1" w:styleId="IntroductionExecSummary">
    <w:name w:val="Introduction ExecSummary"/>
    <w:basedOn w:val="IntroductionFullWidth"/>
    <w:uiPriority w:val="11"/>
    <w:qFormat/>
    <w:rsid w:val="00671D55"/>
    <w:pPr>
      <w:framePr w:w="0" w:wrap="auto" w:vAnchor="margin" w:yAlign="inline"/>
    </w:pPr>
  </w:style>
  <w:style w:type="paragraph" w:customStyle="1" w:styleId="Heading1NoTOC">
    <w:name w:val="Heading 1NoTOC"/>
    <w:basedOn w:val="Heading1ExecSummPage"/>
    <w:uiPriority w:val="49"/>
    <w:semiHidden/>
    <w:qFormat/>
    <w:rsid w:val="00965F15"/>
    <w:pPr>
      <w:framePr w:wrap="around"/>
    </w:pPr>
  </w:style>
  <w:style w:type="paragraph" w:customStyle="1" w:styleId="DividerTextBlue">
    <w:name w:val="DividerTextBlue"/>
    <w:basedOn w:val="Normal"/>
    <w:next w:val="Normal"/>
    <w:uiPriority w:val="33"/>
    <w:qFormat/>
    <w:rsid w:val="00671D55"/>
    <w:pPr>
      <w:keepLines/>
      <w:pageBreakBefore/>
      <w:framePr w:w="10206" w:h="12020" w:hRule="exact" w:wrap="around" w:vAnchor="text" w:hAnchor="text" w:y="1"/>
      <w:spacing w:before="60" w:after="10000" w:line="276" w:lineRule="auto"/>
      <w:ind w:left="1588" w:right="1701"/>
    </w:pPr>
    <w:rPr>
      <w:rFonts w:ascii="Arial" w:eastAsia="SimSun" w:hAnsi="Arial" w:cs="Arial"/>
      <w:bCs/>
      <w:caps/>
      <w:color w:val="142855" w:themeColor="text2"/>
      <w:sz w:val="40"/>
      <w:szCs w:val="20"/>
    </w:rPr>
  </w:style>
  <w:style w:type="paragraph" w:customStyle="1" w:styleId="DividerTextGreen">
    <w:name w:val="DividerTextGreen"/>
    <w:basedOn w:val="DividerTextBlue"/>
    <w:next w:val="Normal"/>
    <w:uiPriority w:val="33"/>
    <w:qFormat/>
    <w:rsid w:val="00965F15"/>
    <w:pPr>
      <w:framePr w:wrap="around"/>
    </w:pPr>
    <w:rPr>
      <w:color w:val="FFFFFF" w:themeColor="background2"/>
    </w:rPr>
  </w:style>
  <w:style w:type="paragraph" w:customStyle="1" w:styleId="QuoteBlue">
    <w:name w:val="QuoteBlue"/>
    <w:basedOn w:val="Quote"/>
    <w:uiPriority w:val="38"/>
    <w:qFormat/>
    <w:rsid w:val="00671D55"/>
  </w:style>
  <w:style w:type="paragraph" w:customStyle="1" w:styleId="QuoteAuthorBlue">
    <w:name w:val="QuoteAuthorBlue"/>
    <w:basedOn w:val="QuoteAuthor"/>
    <w:next w:val="Normal"/>
    <w:uiPriority w:val="38"/>
    <w:qFormat/>
    <w:rsid w:val="00671D55"/>
    <w:pPr>
      <w:framePr w:w="10206" w:h="12247" w:hRule="exact" w:wrap="around" w:vAnchor="page" w:hAnchor="text" w:y="3403"/>
      <w:spacing w:before="60" w:after="6600" w:line="264" w:lineRule="auto"/>
      <w:ind w:left="1588" w:right="1701"/>
    </w:pPr>
    <w:rPr>
      <w:rFonts w:ascii="Arial" w:eastAsia="SimSun" w:hAnsi="Arial" w:cs="Arial"/>
      <w:bCs/>
      <w:color w:val="142855" w:themeColor="text2"/>
      <w:sz w:val="20"/>
      <w:szCs w:val="20"/>
    </w:rPr>
  </w:style>
  <w:style w:type="paragraph" w:customStyle="1" w:styleId="QuoteMarksBlue">
    <w:name w:val="QuoteMarksBlue"/>
    <w:basedOn w:val="QuoteMarks"/>
    <w:next w:val="QuoteAuthorBlue"/>
    <w:uiPriority w:val="38"/>
    <w:qFormat/>
    <w:rsid w:val="00671D55"/>
  </w:style>
  <w:style w:type="paragraph" w:customStyle="1" w:styleId="QuoteOpenBlue">
    <w:name w:val="QuoteOpenBlue"/>
    <w:basedOn w:val="QuoteOpen"/>
    <w:next w:val="QuoteBlue"/>
    <w:uiPriority w:val="38"/>
    <w:qFormat/>
    <w:rsid w:val="00671D55"/>
    <w:pPr>
      <w:pageBreakBefore/>
      <w:framePr w:w="10206" w:h="12247" w:hRule="exact" w:wrap="around" w:vAnchor="page" w:hAnchor="text" w:y="3403"/>
      <w:spacing w:before="60" w:after="0" w:line="640" w:lineRule="exact"/>
      <w:ind w:left="1588" w:right="1701"/>
    </w:pPr>
    <w:rPr>
      <w:rFonts w:ascii="Arial" w:eastAsia="SimSun" w:hAnsi="Arial" w:cs="Arial"/>
      <w:bCs/>
      <w:color w:val="142855" w:themeColor="text2"/>
      <w:position w:val="-72"/>
      <w:sz w:val="144"/>
      <w:szCs w:val="20"/>
    </w:rPr>
  </w:style>
  <w:style w:type="paragraph" w:customStyle="1" w:styleId="QuoteOpenGreen">
    <w:name w:val="QuoteOpenGreen"/>
    <w:basedOn w:val="QuoteOpenBlue"/>
    <w:next w:val="QuoteGreen"/>
    <w:uiPriority w:val="38"/>
    <w:qFormat/>
    <w:rsid w:val="00965F15"/>
    <w:pPr>
      <w:framePr w:wrap="around"/>
    </w:pPr>
    <w:rPr>
      <w:color w:val="FFFFFF" w:themeColor="background2"/>
    </w:rPr>
  </w:style>
  <w:style w:type="paragraph" w:customStyle="1" w:styleId="QuoteGreen">
    <w:name w:val="QuoteGreen"/>
    <w:basedOn w:val="QuoteBlue"/>
    <w:uiPriority w:val="38"/>
    <w:qFormat/>
    <w:rsid w:val="00671D55"/>
  </w:style>
  <w:style w:type="paragraph" w:customStyle="1" w:styleId="QuoteMarksGreen">
    <w:name w:val="QuoteMarksGreen"/>
    <w:basedOn w:val="QuoteMarksBlue"/>
    <w:next w:val="QuoteAuthorGreen"/>
    <w:uiPriority w:val="38"/>
    <w:qFormat/>
    <w:rsid w:val="00671D55"/>
  </w:style>
  <w:style w:type="paragraph" w:customStyle="1" w:styleId="QuoteAuthorGreen">
    <w:name w:val="QuoteAuthorGreen"/>
    <w:basedOn w:val="QuoteAuthorBlue"/>
    <w:next w:val="Normal"/>
    <w:uiPriority w:val="38"/>
    <w:qFormat/>
    <w:rsid w:val="00965F15"/>
    <w:pPr>
      <w:framePr w:wrap="around"/>
    </w:pPr>
  </w:style>
  <w:style w:type="paragraph" w:customStyle="1" w:styleId="Heading1NumCont">
    <w:name w:val="Heading 1NumCont"/>
    <w:basedOn w:val="Heading1Num"/>
    <w:next w:val="Normal"/>
    <w:uiPriority w:val="4"/>
    <w:qFormat/>
    <w:rsid w:val="00965F15"/>
    <w:pPr>
      <w:pageBreakBefore w:val="0"/>
      <w:numPr>
        <w:numId w:val="0"/>
      </w:numPr>
      <w:spacing w:before="480" w:after="360"/>
      <w:ind w:left="720" w:hanging="360"/>
    </w:pPr>
    <w:rPr>
      <w:bCs w:val="0"/>
    </w:rPr>
  </w:style>
  <w:style w:type="paragraph" w:customStyle="1" w:styleId="Heading1Cont">
    <w:name w:val="Heading 1Cont"/>
    <w:basedOn w:val="Heading1"/>
    <w:next w:val="Normal"/>
    <w:uiPriority w:val="4"/>
    <w:qFormat/>
    <w:rsid w:val="00671D55"/>
    <w:pPr>
      <w:spacing w:before="480" w:after="360" w:line="240" w:lineRule="atLeast"/>
    </w:pPr>
    <w:rPr>
      <w:rFonts w:ascii="Arial" w:hAnsi="Arial"/>
      <w:b w:val="0"/>
      <w:caps/>
      <w:color w:val="FFFFFF" w:themeColor="background2"/>
      <w:sz w:val="40"/>
      <w:szCs w:val="28"/>
    </w:rPr>
  </w:style>
  <w:style w:type="paragraph" w:customStyle="1" w:styleId="BiogAddress">
    <w:name w:val="BiogAddress"/>
    <w:basedOn w:val="BiogContact"/>
    <w:uiPriority w:val="4"/>
    <w:qFormat/>
    <w:rsid w:val="00671D55"/>
    <w:pPr>
      <w:spacing w:after="120"/>
    </w:pPr>
  </w:style>
  <w:style w:type="paragraph" w:customStyle="1" w:styleId="TitleHeaderEnd">
    <w:name w:val="TitleHeaderEnd"/>
    <w:basedOn w:val="Header"/>
    <w:uiPriority w:val="4"/>
    <w:semiHidden/>
    <w:qFormat/>
    <w:rsid w:val="00671D55"/>
  </w:style>
  <w:style w:type="numbering" w:customStyle="1" w:styleId="NumbLstNumblist">
    <w:name w:val="NumbLstNumblist"/>
    <w:uiPriority w:val="99"/>
    <w:rsid w:val="00671D55"/>
    <w:pPr>
      <w:numPr>
        <w:numId w:val="51"/>
      </w:numPr>
    </w:pPr>
  </w:style>
  <w:style w:type="paragraph" w:customStyle="1" w:styleId="Head1Num2C2R">
    <w:name w:val="Head1Num2C2R"/>
    <w:basedOn w:val="Heading1Num2Col"/>
    <w:next w:val="Normal"/>
    <w:uiPriority w:val="4"/>
    <w:qFormat/>
    <w:rsid w:val="00965F15"/>
    <w:pPr>
      <w:framePr w:wrap="around"/>
    </w:pPr>
  </w:style>
  <w:style w:type="paragraph" w:customStyle="1" w:styleId="Head12R">
    <w:name w:val="Head12R"/>
    <w:basedOn w:val="Heading1"/>
    <w:next w:val="Normal"/>
    <w:uiPriority w:val="4"/>
    <w:qFormat/>
    <w:rsid w:val="00671D55"/>
    <w:pPr>
      <w:pageBreakBefore/>
      <w:framePr w:w="8618" w:wrap="around" w:vAnchor="page" w:hAnchor="text" w:y="2382"/>
      <w:spacing w:before="60" w:after="0" w:line="240" w:lineRule="atLeast"/>
    </w:pPr>
    <w:rPr>
      <w:rFonts w:ascii="Arial" w:hAnsi="Arial"/>
      <w:b w:val="0"/>
      <w:caps/>
      <w:color w:val="FFFFFF" w:themeColor="background2"/>
      <w:sz w:val="40"/>
      <w:szCs w:val="28"/>
    </w:rPr>
  </w:style>
  <w:style w:type="paragraph" w:customStyle="1" w:styleId="Head12C2R">
    <w:name w:val="Head12C2R"/>
    <w:basedOn w:val="Heading12Col"/>
    <w:next w:val="Normal"/>
    <w:uiPriority w:val="4"/>
    <w:qFormat/>
    <w:rsid w:val="00965F15"/>
    <w:pPr>
      <w:framePr w:wrap="around"/>
    </w:pPr>
  </w:style>
  <w:style w:type="paragraph" w:customStyle="1" w:styleId="Heading1BackPage">
    <w:name w:val="Heading 1 BackPage"/>
    <w:basedOn w:val="Heading12Col"/>
    <w:uiPriority w:val="99"/>
    <w:semiHidden/>
    <w:qFormat/>
    <w:rsid w:val="00965F15"/>
    <w:pPr>
      <w:framePr w:wrap="around"/>
    </w:pPr>
  </w:style>
  <w:style w:type="table" w:styleId="GridTable4">
    <w:name w:val="Grid Table 4"/>
    <w:basedOn w:val="TableNormal"/>
    <w:uiPriority w:val="49"/>
    <w:rsid w:val="00671D55"/>
    <w:pPr>
      <w:spacing w:after="0" w:line="240" w:lineRule="auto"/>
    </w:p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color w:val="FFFFFF" w:themeColor="background1"/>
      </w:rPr>
      <w:tblPr/>
      <w:tcPr>
        <w:tcBorders>
          <w:top w:val="single" w:sz="4" w:space="0" w:color="1D1D1B" w:themeColor="text1"/>
          <w:left w:val="single" w:sz="4" w:space="0" w:color="1D1D1B" w:themeColor="text1"/>
          <w:bottom w:val="single" w:sz="4" w:space="0" w:color="1D1D1B" w:themeColor="text1"/>
          <w:right w:val="single" w:sz="4" w:space="0" w:color="1D1D1B" w:themeColor="text1"/>
          <w:insideH w:val="nil"/>
          <w:insideV w:val="nil"/>
        </w:tcBorders>
        <w:shd w:val="clear" w:color="auto" w:fill="1D1D1B" w:themeFill="text1"/>
      </w:tcPr>
    </w:tblStylePr>
    <w:tblStylePr w:type="lastRow">
      <w:rPr>
        <w:b/>
        <w:bCs/>
      </w:rPr>
      <w:tblPr/>
      <w:tcPr>
        <w:tcBorders>
          <w:top w:val="double" w:sz="4" w:space="0" w:color="1D1D1B" w:themeColor="text1"/>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GridTable1Light-Accent6">
    <w:name w:val="Grid Table 1 Light Accent 6"/>
    <w:basedOn w:val="TableNormal"/>
    <w:uiPriority w:val="46"/>
    <w:rsid w:val="00671D55"/>
    <w:pPr>
      <w:spacing w:after="0" w:line="240" w:lineRule="auto"/>
    </w:pPr>
    <w:tblPr>
      <w:tblStyleRowBandSize w:val="1"/>
      <w:tblStyleColBandSize w:val="1"/>
      <w:tblBorders>
        <w:top w:val="single" w:sz="4" w:space="0" w:color="FDC095" w:themeColor="accent6" w:themeTint="66"/>
        <w:left w:val="single" w:sz="4" w:space="0" w:color="FDC095" w:themeColor="accent6" w:themeTint="66"/>
        <w:bottom w:val="single" w:sz="4" w:space="0" w:color="FDC095" w:themeColor="accent6" w:themeTint="66"/>
        <w:right w:val="single" w:sz="4" w:space="0" w:color="FDC095" w:themeColor="accent6" w:themeTint="66"/>
        <w:insideH w:val="single" w:sz="4" w:space="0" w:color="FDC095" w:themeColor="accent6" w:themeTint="66"/>
        <w:insideV w:val="single" w:sz="4" w:space="0" w:color="FDC095" w:themeColor="accent6" w:themeTint="66"/>
      </w:tblBorders>
    </w:tblPr>
    <w:tblStylePr w:type="firstRow">
      <w:rPr>
        <w:b/>
        <w:bCs/>
      </w:rPr>
      <w:tblPr/>
      <w:tcPr>
        <w:tcBorders>
          <w:bottom w:val="single" w:sz="12" w:space="0" w:color="FDA160" w:themeColor="accent6" w:themeTint="99"/>
        </w:tcBorders>
      </w:tcPr>
    </w:tblStylePr>
    <w:tblStylePr w:type="lastRow">
      <w:rPr>
        <w:b/>
        <w:bCs/>
      </w:rPr>
      <w:tblPr/>
      <w:tcPr>
        <w:tcBorders>
          <w:top w:val="double" w:sz="2" w:space="0" w:color="FDA160" w:themeColor="accent6" w:themeTint="99"/>
        </w:tcBorders>
      </w:tcPr>
    </w:tblStylePr>
    <w:tblStylePr w:type="firstCol">
      <w:rPr>
        <w:b/>
        <w:bCs/>
      </w:rPr>
    </w:tblStylePr>
    <w:tblStylePr w:type="lastCol">
      <w:rPr>
        <w:b/>
        <w:bCs/>
      </w:rPr>
    </w:tblStylePr>
  </w:style>
  <w:style w:type="table" w:styleId="ListTable2">
    <w:name w:val="List Table 2"/>
    <w:basedOn w:val="TableNormal"/>
    <w:uiPriority w:val="47"/>
    <w:rsid w:val="00671D55"/>
    <w:pPr>
      <w:spacing w:after="0" w:line="240" w:lineRule="auto"/>
    </w:pPr>
    <w:tblPr>
      <w:tblStyleRowBandSize w:val="1"/>
      <w:tblStyleColBandSize w:val="1"/>
      <w:tblBorders>
        <w:top w:val="single" w:sz="4" w:space="0" w:color="7A7A72" w:themeColor="text1" w:themeTint="99"/>
        <w:bottom w:val="single" w:sz="4" w:space="0" w:color="7A7A72" w:themeColor="text1" w:themeTint="99"/>
        <w:insideH w:val="single" w:sz="4" w:space="0" w:color="7A7A7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paragraph" w:customStyle="1" w:styleId="resptext">
    <w:name w:val="resptext"/>
    <w:basedOn w:val="Normal"/>
    <w:uiPriority w:val="99"/>
    <w:rsid w:val="00671D55"/>
    <w:pPr>
      <w:keepNext/>
      <w:keepLines/>
      <w:tabs>
        <w:tab w:val="center" w:leader="dot" w:pos="8640"/>
        <w:tab w:val="left" w:pos="8789"/>
        <w:tab w:val="left" w:pos="9072"/>
      </w:tabs>
      <w:spacing w:before="60" w:after="0" w:line="240" w:lineRule="auto"/>
      <w:ind w:left="720"/>
    </w:pPr>
    <w:rPr>
      <w:rFonts w:ascii="Arial" w:eastAsia="Times New Roman" w:hAnsi="Arial" w:cs="Arial"/>
      <w:bCs/>
      <w:sz w:val="20"/>
      <w:szCs w:val="20"/>
      <w:lang w:eastAsia="ja-JP"/>
    </w:rPr>
  </w:style>
  <w:style w:type="paragraph" w:customStyle="1" w:styleId="04ABodyText">
    <w:name w:val="04A Body Text"/>
    <w:basedOn w:val="Normal"/>
    <w:link w:val="04ABodyTextChar"/>
    <w:qFormat/>
    <w:rsid w:val="00965F15"/>
    <w:pPr>
      <w:numPr>
        <w:numId w:val="53"/>
      </w:numPr>
      <w:spacing w:before="240" w:after="240" w:line="288" w:lineRule="auto"/>
    </w:pPr>
    <w:rPr>
      <w:rFonts w:ascii="Segoe UI Light" w:eastAsia="Times New Roman" w:hAnsi="Segoe UI Light" w:cs="Arial"/>
      <w:bCs/>
      <w:color w:val="1D1D1B" w:themeColor="text1"/>
      <w:sz w:val="20"/>
      <w:szCs w:val="20"/>
      <w:lang w:eastAsia="en-GB"/>
    </w:rPr>
  </w:style>
  <w:style w:type="character" w:customStyle="1" w:styleId="04ABodyTextChar">
    <w:name w:val="04A Body Text Char"/>
    <w:basedOn w:val="DefaultParagraphFont"/>
    <w:link w:val="04ABodyText"/>
    <w:qFormat/>
    <w:rsid w:val="00671D55"/>
    <w:rPr>
      <w:rFonts w:ascii="Segoe UI Light" w:eastAsia="Times New Roman" w:hAnsi="Segoe UI Light" w:cs="Arial"/>
      <w:bCs/>
      <w:color w:val="1D1D1B" w:themeColor="text1"/>
      <w:sz w:val="20"/>
      <w:szCs w:val="20"/>
      <w:lang w:eastAsia="en-GB"/>
    </w:rPr>
  </w:style>
  <w:style w:type="numbering" w:customStyle="1" w:styleId="JayeshNavinShahEasterEgg">
    <w:name w:val="JayeshNavinShahEasterEgg"/>
    <w:rsid w:val="00671D55"/>
    <w:pPr>
      <w:numPr>
        <w:numId w:val="53"/>
      </w:numPr>
    </w:pPr>
  </w:style>
  <w:style w:type="paragraph" w:customStyle="1" w:styleId="05ABullets1stlevel">
    <w:name w:val="05A Bullets (1st level)"/>
    <w:basedOn w:val="04ABodyText"/>
    <w:qFormat/>
    <w:rsid w:val="00965F15"/>
    <w:pPr>
      <w:numPr>
        <w:ilvl w:val="1"/>
      </w:numPr>
      <w:tabs>
        <w:tab w:val="num" w:pos="360"/>
        <w:tab w:val="num" w:pos="765"/>
      </w:tabs>
    </w:pPr>
  </w:style>
  <w:style w:type="character" w:customStyle="1" w:styleId="05BBullets2ndlevelChar">
    <w:name w:val="05B Bullets (2nd level) Char"/>
    <w:basedOn w:val="DefaultParagraphFont"/>
    <w:link w:val="05BBullets2ndlevel"/>
    <w:locked/>
    <w:rsid w:val="00671D55"/>
    <w:rPr>
      <w:rFonts w:ascii="Segoe UI Light" w:hAnsi="Segoe UI Light" w:cs="Segoe UI Light"/>
    </w:rPr>
  </w:style>
  <w:style w:type="paragraph" w:customStyle="1" w:styleId="05BBullets2ndlevel">
    <w:name w:val="05B Bullets (2nd level)"/>
    <w:basedOn w:val="Normal"/>
    <w:link w:val="05BBullets2ndlevelChar"/>
    <w:rsid w:val="00671D55"/>
    <w:pPr>
      <w:spacing w:before="240" w:after="240" w:line="288" w:lineRule="auto"/>
    </w:pPr>
    <w:rPr>
      <w:rFonts w:ascii="Segoe UI Light" w:hAnsi="Segoe UI Light" w:cs="Segoe UI Light"/>
      <w:sz w:val="22"/>
    </w:rPr>
  </w:style>
  <w:style w:type="numbering" w:customStyle="1" w:styleId="EODListNumbers">
    <w:name w:val="EOD List Numbers"/>
    <w:basedOn w:val="NoList"/>
    <w:uiPriority w:val="99"/>
    <w:rsid w:val="00671D55"/>
    <w:pPr>
      <w:numPr>
        <w:numId w:val="54"/>
      </w:numPr>
    </w:pPr>
  </w:style>
  <w:style w:type="paragraph" w:customStyle="1" w:styleId="Question">
    <w:name w:val="Question"/>
    <w:basedOn w:val="Normal"/>
    <w:uiPriority w:val="99"/>
    <w:qFormat/>
    <w:rsid w:val="00965F15"/>
    <w:pPr>
      <w:numPr>
        <w:numId w:val="61"/>
      </w:numPr>
      <w:spacing w:before="60" w:after="260" w:line="320" w:lineRule="atLeast"/>
      <w:jc w:val="both"/>
    </w:pPr>
    <w:rPr>
      <w:rFonts w:ascii="Cambria" w:eastAsia="SimSun" w:hAnsi="Cambria" w:cs="Arial"/>
      <w:b/>
      <w:bCs/>
      <w:sz w:val="22"/>
      <w:szCs w:val="20"/>
    </w:rPr>
  </w:style>
  <w:style w:type="numbering" w:customStyle="1" w:styleId="SQWQuestionNumbering">
    <w:name w:val="SQW Question Numbering"/>
    <w:basedOn w:val="NoList"/>
    <w:uiPriority w:val="99"/>
    <w:rsid w:val="00965F15"/>
    <w:pPr>
      <w:numPr>
        <w:numId w:val="58"/>
      </w:numPr>
    </w:pPr>
  </w:style>
  <w:style w:type="paragraph" w:customStyle="1" w:styleId="Sub-question">
    <w:name w:val="Sub-question"/>
    <w:basedOn w:val="Normal"/>
    <w:qFormat/>
    <w:rsid w:val="00671D55"/>
    <w:pPr>
      <w:numPr>
        <w:ilvl w:val="1"/>
        <w:numId w:val="55"/>
      </w:numPr>
      <w:tabs>
        <w:tab w:val="clear" w:pos="1418"/>
      </w:tabs>
      <w:spacing w:before="60" w:after="260" w:line="320" w:lineRule="atLeast"/>
      <w:ind w:left="1440" w:hanging="360"/>
      <w:jc w:val="both"/>
    </w:pPr>
    <w:rPr>
      <w:rFonts w:ascii="Cambria" w:eastAsia="SimSun" w:hAnsi="Cambria" w:cs="Arial"/>
      <w:bCs/>
      <w:sz w:val="22"/>
      <w:szCs w:val="20"/>
    </w:rPr>
  </w:style>
  <w:style w:type="numbering" w:customStyle="1" w:styleId="SQWPlainNumbering">
    <w:name w:val="SQW Plain Numbering"/>
    <w:basedOn w:val="NoList"/>
    <w:uiPriority w:val="99"/>
    <w:rsid w:val="00671D55"/>
    <w:pPr>
      <w:numPr>
        <w:numId w:val="56"/>
      </w:numPr>
    </w:pPr>
  </w:style>
  <w:style w:type="paragraph" w:customStyle="1" w:styleId="wpBodyText">
    <w:name w:val="wp Body Text"/>
    <w:basedOn w:val="Normal"/>
    <w:qFormat/>
    <w:rsid w:val="00671D55"/>
    <w:pPr>
      <w:spacing w:before="60" w:after="260" w:line="320" w:lineRule="atLeast"/>
      <w:jc w:val="both"/>
    </w:pPr>
    <w:rPr>
      <w:rFonts w:ascii="Cambria" w:eastAsia="SimSun" w:hAnsi="Cambria" w:cs="Arial"/>
      <w:bCs/>
      <w:sz w:val="22"/>
      <w:szCs w:val="20"/>
    </w:rPr>
  </w:style>
  <w:style w:type="paragraph" w:customStyle="1" w:styleId="Instruction">
    <w:name w:val="Instruction"/>
    <w:basedOn w:val="Normal"/>
    <w:link w:val="InstructionChar"/>
    <w:qFormat/>
    <w:rsid w:val="00671D55"/>
    <w:pPr>
      <w:spacing w:before="60" w:after="260" w:line="320" w:lineRule="atLeast"/>
      <w:jc w:val="both"/>
    </w:pPr>
    <w:rPr>
      <w:rFonts w:ascii="Cambria" w:eastAsia="SimSun" w:hAnsi="Cambria" w:cs="Arial"/>
      <w:bCs/>
      <w:i/>
      <w:sz w:val="22"/>
      <w:szCs w:val="20"/>
    </w:rPr>
  </w:style>
  <w:style w:type="character" w:customStyle="1" w:styleId="InstructionChar">
    <w:name w:val="Instruction Char"/>
    <w:basedOn w:val="DefaultParagraphFont"/>
    <w:link w:val="Instruction"/>
    <w:rsid w:val="00671D55"/>
    <w:rPr>
      <w:rFonts w:ascii="Cambria" w:eastAsia="SimSun" w:hAnsi="Cambria" w:cs="Arial"/>
      <w:bCs/>
      <w:i/>
      <w:szCs w:val="20"/>
    </w:rPr>
  </w:style>
  <w:style w:type="paragraph" w:customStyle="1" w:styleId="wpHeading3">
    <w:name w:val="wp Heading 3"/>
    <w:basedOn w:val="Normal"/>
    <w:next w:val="Normal"/>
    <w:qFormat/>
    <w:rsid w:val="00671D55"/>
    <w:pPr>
      <w:keepNext/>
      <w:keepLines/>
      <w:spacing w:before="260" w:after="260" w:line="320" w:lineRule="atLeast"/>
      <w:outlineLvl w:val="1"/>
    </w:pPr>
    <w:rPr>
      <w:rFonts w:ascii="Century Gothic" w:eastAsiaTheme="majorEastAsia" w:hAnsi="Century Gothic" w:cstheme="majorBidi"/>
      <w:b/>
      <w:bCs/>
      <w:color w:val="DA291C"/>
      <w:szCs w:val="32"/>
    </w:rPr>
  </w:style>
  <w:style w:type="table" w:styleId="GridTable4-Accent3">
    <w:name w:val="Grid Table 4 Accent 3"/>
    <w:basedOn w:val="TableNormal"/>
    <w:uiPriority w:val="49"/>
    <w:rsid w:val="00671D55"/>
    <w:pPr>
      <w:spacing w:after="0" w:line="240" w:lineRule="auto"/>
    </w:pPr>
    <w:tblPr>
      <w:tblStyleRowBandSize w:val="1"/>
      <w:tblStyleColBandSize w:val="1"/>
      <w:tblBorders>
        <w:top w:val="single" w:sz="4" w:space="0" w:color="B1B7D9" w:themeColor="accent3" w:themeTint="99"/>
        <w:left w:val="single" w:sz="4" w:space="0" w:color="B1B7D9" w:themeColor="accent3" w:themeTint="99"/>
        <w:bottom w:val="single" w:sz="4" w:space="0" w:color="B1B7D9" w:themeColor="accent3" w:themeTint="99"/>
        <w:right w:val="single" w:sz="4" w:space="0" w:color="B1B7D9" w:themeColor="accent3" w:themeTint="99"/>
        <w:insideH w:val="single" w:sz="4" w:space="0" w:color="B1B7D9" w:themeColor="accent3" w:themeTint="99"/>
        <w:insideV w:val="single" w:sz="4" w:space="0" w:color="B1B7D9" w:themeColor="accent3" w:themeTint="99"/>
      </w:tblBorders>
    </w:tblPr>
    <w:tblStylePr w:type="firstRow">
      <w:rPr>
        <w:b/>
        <w:bCs/>
        <w:color w:val="FFFFFF" w:themeColor="background1"/>
      </w:rPr>
      <w:tblPr/>
      <w:tcPr>
        <w:tcBorders>
          <w:top w:val="single" w:sz="4" w:space="0" w:color="7E89C1" w:themeColor="accent3"/>
          <w:left w:val="single" w:sz="4" w:space="0" w:color="7E89C1" w:themeColor="accent3"/>
          <w:bottom w:val="single" w:sz="4" w:space="0" w:color="7E89C1" w:themeColor="accent3"/>
          <w:right w:val="single" w:sz="4" w:space="0" w:color="7E89C1" w:themeColor="accent3"/>
          <w:insideH w:val="nil"/>
          <w:insideV w:val="nil"/>
        </w:tcBorders>
        <w:shd w:val="clear" w:color="auto" w:fill="7E89C1" w:themeFill="accent3"/>
      </w:tcPr>
    </w:tblStylePr>
    <w:tblStylePr w:type="lastRow">
      <w:rPr>
        <w:b/>
        <w:bCs/>
      </w:rPr>
      <w:tblPr/>
      <w:tcPr>
        <w:tcBorders>
          <w:top w:val="double" w:sz="4" w:space="0" w:color="7E89C1" w:themeColor="accent3"/>
        </w:tcBorders>
      </w:tcPr>
    </w:tblStylePr>
    <w:tblStylePr w:type="firstCol">
      <w:rPr>
        <w:b/>
        <w:bCs/>
      </w:rPr>
    </w:tblStylePr>
    <w:tblStylePr w:type="lastCol">
      <w:rPr>
        <w:b/>
        <w:bCs/>
      </w:rPr>
    </w:tblStylePr>
    <w:tblStylePr w:type="band1Vert">
      <w:tblPr/>
      <w:tcPr>
        <w:shd w:val="clear" w:color="auto" w:fill="E5E7F2" w:themeFill="accent3" w:themeFillTint="33"/>
      </w:tcPr>
    </w:tblStylePr>
    <w:tblStylePr w:type="band1Horz">
      <w:tblPr/>
      <w:tcPr>
        <w:shd w:val="clear" w:color="auto" w:fill="E5E7F2" w:themeFill="accent3" w:themeFillTint="33"/>
      </w:tcPr>
    </w:tblStylePr>
  </w:style>
  <w:style w:type="paragraph" w:styleId="BodyText3">
    <w:name w:val="Body Text 3"/>
    <w:basedOn w:val="Normal"/>
    <w:link w:val="BodyText3Char"/>
    <w:uiPriority w:val="99"/>
    <w:rsid w:val="00671D55"/>
    <w:pPr>
      <w:spacing w:before="120" w:after="60" w:line="240" w:lineRule="atLeast"/>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rsid w:val="00671D55"/>
    <w:rPr>
      <w:rFonts w:ascii="Arial" w:eastAsia="Times New Roman" w:hAnsi="Arial" w:cs="Times New Roman"/>
      <w:sz w:val="16"/>
      <w:szCs w:val="16"/>
    </w:rPr>
  </w:style>
  <w:style w:type="paragraph" w:customStyle="1" w:styleId="QuestionText">
    <w:name w:val="Question Text"/>
    <w:basedOn w:val="Normal"/>
    <w:rsid w:val="00671D55"/>
    <w:pPr>
      <w:numPr>
        <w:ilvl w:val="1"/>
        <w:numId w:val="57"/>
      </w:numPr>
      <w:tabs>
        <w:tab w:val="left" w:pos="879"/>
      </w:tabs>
      <w:spacing w:before="60" w:after="260" w:line="260" w:lineRule="exact"/>
      <w:outlineLvl w:val="1"/>
    </w:pPr>
    <w:rPr>
      <w:rFonts w:ascii="Arial" w:eastAsia="Times" w:hAnsi="Arial" w:cs="Times New Roman"/>
      <w:b/>
      <w:color w:val="131313"/>
      <w:sz w:val="20"/>
      <w:szCs w:val="20"/>
      <w:lang w:eastAsia="zh-TW"/>
    </w:rPr>
  </w:style>
  <w:style w:type="paragraph" w:customStyle="1" w:styleId="QuestionSectHead">
    <w:name w:val="Question Sect Head"/>
    <w:basedOn w:val="Normal"/>
    <w:next w:val="QuestionText"/>
    <w:rsid w:val="00965F15"/>
    <w:pPr>
      <w:numPr>
        <w:numId w:val="57"/>
      </w:numPr>
      <w:tabs>
        <w:tab w:val="left" w:pos="879"/>
      </w:tabs>
      <w:spacing w:before="60" w:after="360" w:line="360" w:lineRule="exact"/>
    </w:pPr>
    <w:rPr>
      <w:rFonts w:ascii="Arial" w:eastAsia="Times" w:hAnsi="Arial" w:cs="Times New Roman"/>
      <w:color w:val="131313"/>
      <w:sz w:val="36"/>
      <w:szCs w:val="20"/>
      <w:lang w:eastAsia="zh-TW"/>
    </w:rPr>
  </w:style>
  <w:style w:type="paragraph" w:customStyle="1" w:styleId="Qtable1to10Horiz">
    <w:name w:val="Qtable1to10Horiz"/>
    <w:basedOn w:val="Normal"/>
    <w:rsid w:val="00671D55"/>
    <w:pPr>
      <w:numPr>
        <w:ilvl w:val="5"/>
        <w:numId w:val="57"/>
      </w:numPr>
      <w:tabs>
        <w:tab w:val="left" w:pos="879"/>
      </w:tabs>
      <w:spacing w:before="60" w:after="0" w:line="260" w:lineRule="exact"/>
      <w:jc w:val="center"/>
    </w:pPr>
    <w:rPr>
      <w:rFonts w:ascii="Arial" w:eastAsia="Times" w:hAnsi="Arial" w:cs="Times New Roman"/>
      <w:color w:val="131313"/>
      <w:sz w:val="20"/>
      <w:szCs w:val="20"/>
      <w:lang w:eastAsia="zh-TW"/>
    </w:rPr>
  </w:style>
  <w:style w:type="paragraph" w:customStyle="1" w:styleId="QuestionTextSub">
    <w:name w:val="QuestionTextSub"/>
    <w:basedOn w:val="QuestionText"/>
    <w:rsid w:val="00965F15"/>
    <w:pPr>
      <w:numPr>
        <w:ilvl w:val="2"/>
      </w:numPr>
    </w:pPr>
  </w:style>
  <w:style w:type="paragraph" w:customStyle="1" w:styleId="QTableFO">
    <w:name w:val="QTableFO"/>
    <w:basedOn w:val="Normal"/>
    <w:rsid w:val="00671D55"/>
    <w:pPr>
      <w:numPr>
        <w:ilvl w:val="3"/>
        <w:numId w:val="57"/>
      </w:numPr>
      <w:tabs>
        <w:tab w:val="left" w:pos="879"/>
      </w:tabs>
      <w:spacing w:before="60" w:after="260" w:line="260" w:lineRule="exact"/>
      <w:jc w:val="center"/>
    </w:pPr>
    <w:rPr>
      <w:rFonts w:ascii="Arial" w:eastAsia="Times" w:hAnsi="Arial" w:cs="Times New Roman"/>
      <w:color w:val="131313"/>
      <w:sz w:val="20"/>
      <w:szCs w:val="20"/>
      <w:lang w:eastAsia="zh-TW"/>
    </w:rPr>
  </w:style>
  <w:style w:type="paragraph" w:customStyle="1" w:styleId="QuestionDer">
    <w:name w:val="QuestionDer"/>
    <w:basedOn w:val="QuestionText"/>
    <w:next w:val="Normal"/>
    <w:rsid w:val="00965F15"/>
    <w:pPr>
      <w:keepNext/>
      <w:keepLines/>
      <w:numPr>
        <w:ilvl w:val="6"/>
      </w:numPr>
      <w:spacing w:before="130" w:after="130"/>
      <w:outlineLvl w:val="6"/>
    </w:pPr>
  </w:style>
  <w:style w:type="paragraph" w:customStyle="1" w:styleId="QuestionDerABC">
    <w:name w:val="QuestionDerABC"/>
    <w:basedOn w:val="QuestionDer"/>
    <w:next w:val="Normal"/>
    <w:rsid w:val="00965F15"/>
    <w:pPr>
      <w:numPr>
        <w:ilvl w:val="7"/>
      </w:numPr>
    </w:pPr>
  </w:style>
  <w:style w:type="character" w:customStyle="1" w:styleId="BlueText">
    <w:name w:val="Blue Text"/>
    <w:basedOn w:val="DefaultParagraphFont"/>
    <w:uiPriority w:val="99"/>
    <w:rsid w:val="00671D55"/>
    <w:rPr>
      <w:rFonts w:ascii="Cambria" w:hAnsi="Cambria" w:hint="default"/>
      <w:b/>
      <w:bCs w:val="0"/>
      <w:color w:val="0000FF"/>
    </w:rPr>
  </w:style>
  <w:style w:type="table" w:customStyle="1" w:styleId="withborders1">
    <w:name w:val="with borders1"/>
    <w:basedOn w:val="TableNormal"/>
    <w:next w:val="TableGrid"/>
    <w:uiPriority w:val="59"/>
    <w:rsid w:val="0067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ithborders2">
    <w:name w:val="with borders2"/>
    <w:basedOn w:val="TableNormal"/>
    <w:next w:val="TableGrid"/>
    <w:uiPriority w:val="59"/>
    <w:rsid w:val="0067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49"/>
    <w:unhideWhenUsed/>
    <w:qFormat/>
    <w:rsid w:val="00671D55"/>
    <w:pPr>
      <w:spacing w:line="240" w:lineRule="auto"/>
    </w:pPr>
    <w:rPr>
      <w:rFonts w:ascii="Arial" w:eastAsia="Calibri" w:hAnsi="Arial" w:cs="Arial"/>
      <w:i/>
      <w:iCs/>
      <w:color w:val="009CDE"/>
      <w:sz w:val="18"/>
      <w:szCs w:val="18"/>
    </w:rPr>
  </w:style>
  <w:style w:type="table" w:customStyle="1" w:styleId="GridTable41">
    <w:name w:val="Grid Table 41"/>
    <w:basedOn w:val="TableNormal"/>
    <w:next w:val="GridTable4"/>
    <w:uiPriority w:val="49"/>
    <w:rsid w:val="00671D55"/>
    <w:pPr>
      <w:spacing w:after="0" w:line="240" w:lineRule="auto"/>
    </w:pPr>
    <w:tblPr>
      <w:tblStyleRowBandSize w:val="1"/>
      <w:tblStyleColBandSize w:val="1"/>
      <w:tblBorders>
        <w:top w:val="single" w:sz="4" w:space="0" w:color="A0A3A6"/>
        <w:left w:val="single" w:sz="4" w:space="0" w:color="A0A3A6"/>
        <w:bottom w:val="single" w:sz="4" w:space="0" w:color="A0A3A6"/>
        <w:right w:val="single" w:sz="4" w:space="0" w:color="A0A3A6"/>
        <w:insideH w:val="single" w:sz="4" w:space="0" w:color="A0A3A6"/>
        <w:insideV w:val="single" w:sz="4" w:space="0" w:color="A0A3A6"/>
      </w:tblBorders>
    </w:tblPr>
    <w:tblStylePr w:type="firstRow">
      <w:rPr>
        <w:b/>
        <w:bCs/>
        <w:color w:val="FFFFFF"/>
      </w:rPr>
      <w:tblPr/>
      <w:tcPr>
        <w:tcBorders>
          <w:top w:val="single" w:sz="4" w:space="0" w:color="63666A"/>
          <w:left w:val="single" w:sz="4" w:space="0" w:color="63666A"/>
          <w:bottom w:val="single" w:sz="4" w:space="0" w:color="63666A"/>
          <w:right w:val="single" w:sz="4" w:space="0" w:color="63666A"/>
          <w:insideH w:val="nil"/>
          <w:insideV w:val="nil"/>
        </w:tcBorders>
        <w:shd w:val="clear" w:color="auto" w:fill="63666A"/>
      </w:tcPr>
    </w:tblStylePr>
    <w:tblStylePr w:type="lastRow">
      <w:rPr>
        <w:b/>
        <w:bCs/>
      </w:rPr>
      <w:tblPr/>
      <w:tcPr>
        <w:tcBorders>
          <w:top w:val="double" w:sz="4" w:space="0" w:color="63666A"/>
        </w:tcBorders>
      </w:tcPr>
    </w:tblStylePr>
    <w:tblStylePr w:type="firstCol">
      <w:rPr>
        <w:b/>
        <w:bCs/>
      </w:rPr>
    </w:tblStylePr>
    <w:tblStylePr w:type="lastCol">
      <w:rPr>
        <w:b/>
        <w:bCs/>
      </w:rPr>
    </w:tblStylePr>
    <w:tblStylePr w:type="band1Vert">
      <w:tblPr/>
      <w:tcPr>
        <w:shd w:val="clear" w:color="auto" w:fill="DFE0E1"/>
      </w:tcPr>
    </w:tblStylePr>
    <w:tblStylePr w:type="band1Horz">
      <w:tblPr/>
      <w:tcPr>
        <w:shd w:val="clear" w:color="auto" w:fill="DFE0E1"/>
      </w:tcPr>
    </w:tblStylePr>
  </w:style>
  <w:style w:type="table" w:customStyle="1" w:styleId="GridTable1Light-Accent61">
    <w:name w:val="Grid Table 1 Light - Accent 61"/>
    <w:basedOn w:val="TableNormal"/>
    <w:next w:val="GridTable1Light-Accent6"/>
    <w:uiPriority w:val="46"/>
    <w:rsid w:val="00671D55"/>
    <w:pPr>
      <w:spacing w:after="0" w:line="240" w:lineRule="auto"/>
    </w:pPr>
    <w:tblPr>
      <w:tblStyleRowBandSize w:val="1"/>
      <w:tblStyleColBandSize w:val="1"/>
      <w:tblBorders>
        <w:top w:val="single" w:sz="4" w:space="0" w:color="F9E0AD"/>
        <w:left w:val="single" w:sz="4" w:space="0" w:color="F9E0AD"/>
        <w:bottom w:val="single" w:sz="4" w:space="0" w:color="F9E0AD"/>
        <w:right w:val="single" w:sz="4" w:space="0" w:color="F9E0AD"/>
        <w:insideH w:val="single" w:sz="4" w:space="0" w:color="F9E0AD"/>
        <w:insideV w:val="single" w:sz="4" w:space="0" w:color="F9E0AD"/>
      </w:tblBorders>
    </w:tblPr>
    <w:tblStylePr w:type="firstRow">
      <w:rPr>
        <w:b/>
        <w:bCs/>
      </w:rPr>
      <w:tblPr/>
      <w:tcPr>
        <w:tcBorders>
          <w:bottom w:val="single" w:sz="12" w:space="0" w:color="F6D185"/>
        </w:tcBorders>
      </w:tcPr>
    </w:tblStylePr>
    <w:tblStylePr w:type="lastRow">
      <w:rPr>
        <w:b/>
        <w:bCs/>
      </w:rPr>
      <w:tblPr/>
      <w:tcPr>
        <w:tcBorders>
          <w:top w:val="double" w:sz="2" w:space="0" w:color="F6D185"/>
        </w:tcBorders>
      </w:tcPr>
    </w:tblStylePr>
    <w:tblStylePr w:type="firstCol">
      <w:rPr>
        <w:b/>
        <w:bCs/>
      </w:rPr>
    </w:tblStylePr>
    <w:tblStylePr w:type="lastCol">
      <w:rPr>
        <w:b/>
        <w:bCs/>
      </w:rPr>
    </w:tblStylePr>
  </w:style>
  <w:style w:type="table" w:customStyle="1" w:styleId="ListTable21">
    <w:name w:val="List Table 21"/>
    <w:basedOn w:val="TableNormal"/>
    <w:next w:val="ListTable2"/>
    <w:uiPriority w:val="47"/>
    <w:rsid w:val="00671D55"/>
    <w:pPr>
      <w:spacing w:after="0" w:line="240" w:lineRule="auto"/>
    </w:pPr>
    <w:tblPr>
      <w:tblStyleRowBandSize w:val="1"/>
      <w:tblStyleColBandSize w:val="1"/>
      <w:tblBorders>
        <w:top w:val="single" w:sz="4" w:space="0" w:color="A0A3A6"/>
        <w:bottom w:val="single" w:sz="4" w:space="0" w:color="A0A3A6"/>
        <w:insideH w:val="single" w:sz="4" w:space="0" w:color="A0A3A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0E1"/>
      </w:tcPr>
    </w:tblStylePr>
    <w:tblStylePr w:type="band1Horz">
      <w:tblPr/>
      <w:tcPr>
        <w:shd w:val="clear" w:color="auto" w:fill="DFE0E1"/>
      </w:tcPr>
    </w:tblStylePr>
  </w:style>
  <w:style w:type="table" w:customStyle="1" w:styleId="TableGridLight1">
    <w:name w:val="Table Grid Light1"/>
    <w:basedOn w:val="TableNormal"/>
    <w:next w:val="TableGridLight"/>
    <w:uiPriority w:val="40"/>
    <w:rsid w:val="00671D5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31">
    <w:name w:val="Grid Table 4 - Accent 31"/>
    <w:basedOn w:val="TableNormal"/>
    <w:next w:val="GridTable4-Accent3"/>
    <w:uiPriority w:val="49"/>
    <w:rsid w:val="00671D55"/>
    <w:pPr>
      <w:spacing w:after="0" w:line="240" w:lineRule="auto"/>
    </w:pPr>
    <w:tblPr>
      <w:tblStyleRowBandSize w:val="1"/>
      <w:tblStyleColBandSize w:val="1"/>
      <w:tblBorders>
        <w:top w:val="single" w:sz="4" w:space="0" w:color="B7B9BA"/>
        <w:left w:val="single" w:sz="4" w:space="0" w:color="B7B9BA"/>
        <w:bottom w:val="single" w:sz="4" w:space="0" w:color="B7B9BA"/>
        <w:right w:val="single" w:sz="4" w:space="0" w:color="B7B9BA"/>
        <w:insideH w:val="single" w:sz="4" w:space="0" w:color="B7B9BA"/>
        <w:insideV w:val="single" w:sz="4" w:space="0" w:color="B7B9BA"/>
      </w:tblBorders>
    </w:tblPr>
    <w:tblStylePr w:type="firstRow">
      <w:rPr>
        <w:b/>
        <w:bCs/>
        <w:color w:val="FFFFFF"/>
      </w:rPr>
      <w:tblPr/>
      <w:tcPr>
        <w:tcBorders>
          <w:top w:val="single" w:sz="4" w:space="0" w:color="888B8D"/>
          <w:left w:val="single" w:sz="4" w:space="0" w:color="888B8D"/>
          <w:bottom w:val="single" w:sz="4" w:space="0" w:color="888B8D"/>
          <w:right w:val="single" w:sz="4" w:space="0" w:color="888B8D"/>
          <w:insideH w:val="nil"/>
          <w:insideV w:val="nil"/>
        </w:tcBorders>
        <w:shd w:val="clear" w:color="auto" w:fill="888B8D"/>
      </w:tcPr>
    </w:tblStylePr>
    <w:tblStylePr w:type="lastRow">
      <w:rPr>
        <w:b/>
        <w:bCs/>
      </w:rPr>
      <w:tblPr/>
      <w:tcPr>
        <w:tcBorders>
          <w:top w:val="double" w:sz="4" w:space="0" w:color="888B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customStyle="1" w:styleId="withborders11">
    <w:name w:val="with borders11"/>
    <w:basedOn w:val="TableNormal"/>
    <w:next w:val="TableGrid"/>
    <w:rsid w:val="00671D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QWQuestionNumbering2">
    <w:name w:val="SQW Question Numbering2"/>
    <w:basedOn w:val="NoList"/>
    <w:uiPriority w:val="99"/>
    <w:rsid w:val="00671D55"/>
    <w:pPr>
      <w:numPr>
        <w:numId w:val="59"/>
      </w:numPr>
    </w:pPr>
  </w:style>
  <w:style w:type="table" w:customStyle="1" w:styleId="withborders3">
    <w:name w:val="with borders3"/>
    <w:basedOn w:val="TableNormal"/>
    <w:next w:val="TableGrid"/>
    <w:uiPriority w:val="59"/>
    <w:rsid w:val="0067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ithborders4">
    <w:name w:val="with borders4"/>
    <w:basedOn w:val="TableNormal"/>
    <w:next w:val="TableGrid"/>
    <w:uiPriority w:val="59"/>
    <w:rsid w:val="0067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ormal">
    <w:name w:val="BTNormal"/>
    <w:basedOn w:val="Normal"/>
    <w:rsid w:val="00CD60C2"/>
    <w:pPr>
      <w:spacing w:after="240" w:line="240" w:lineRule="auto"/>
      <w:jc w:val="both"/>
    </w:pPr>
    <w:rPr>
      <w:rFonts w:ascii="Times New Roman" w:eastAsia="Times New Roman" w:hAnsi="Times New Roman" w:cs="Times New Roman"/>
      <w:szCs w:val="24"/>
    </w:rPr>
  </w:style>
  <w:style w:type="paragraph" w:customStyle="1" w:styleId="Heading41">
    <w:name w:val="Heading 41"/>
    <w:basedOn w:val="Normal"/>
    <w:next w:val="Normal"/>
    <w:uiPriority w:val="9"/>
    <w:unhideWhenUsed/>
    <w:qFormat/>
    <w:rsid w:val="00CD60C2"/>
    <w:pPr>
      <w:keepLines/>
      <w:spacing w:before="240" w:after="240" w:line="240" w:lineRule="auto"/>
      <w:outlineLvl w:val="3"/>
    </w:pPr>
    <w:rPr>
      <w:rFonts w:ascii="Arial" w:eastAsia="SimHei" w:hAnsi="Arial" w:cs="Arial"/>
      <w:iCs/>
      <w:color w:val="142855"/>
    </w:rPr>
  </w:style>
  <w:style w:type="paragraph" w:customStyle="1" w:styleId="Heading51">
    <w:name w:val="Heading 51"/>
    <w:basedOn w:val="Normal"/>
    <w:next w:val="Normal"/>
    <w:uiPriority w:val="9"/>
    <w:unhideWhenUsed/>
    <w:qFormat/>
    <w:rsid w:val="00CD60C2"/>
    <w:pPr>
      <w:keepNext/>
      <w:keepLines/>
      <w:spacing w:before="320" w:after="120"/>
      <w:outlineLvl w:val="4"/>
    </w:pPr>
    <w:rPr>
      <w:rFonts w:ascii="Arial" w:eastAsia="SimHei" w:hAnsi="Arial" w:cs="Arial"/>
      <w:b/>
      <w:color w:val="1D1D1B"/>
    </w:rPr>
  </w:style>
  <w:style w:type="paragraph" w:customStyle="1" w:styleId="Subtitle1">
    <w:name w:val="Subtitle1"/>
    <w:basedOn w:val="Normal"/>
    <w:next w:val="Normal"/>
    <w:uiPriority w:val="11"/>
    <w:qFormat/>
    <w:rsid w:val="00CD60C2"/>
    <w:pPr>
      <w:numPr>
        <w:ilvl w:val="1"/>
      </w:numPr>
      <w:spacing w:before="760" w:after="0" w:line="240" w:lineRule="auto"/>
    </w:pPr>
    <w:rPr>
      <w:rFonts w:ascii="Arial" w:eastAsia="SimHei" w:hAnsi="Arial"/>
      <w:b/>
      <w:color w:val="142855"/>
    </w:rPr>
  </w:style>
  <w:style w:type="paragraph" w:customStyle="1" w:styleId="Date1">
    <w:name w:val="Date1"/>
    <w:basedOn w:val="Normal"/>
    <w:next w:val="Normal"/>
    <w:uiPriority w:val="99"/>
    <w:unhideWhenUsed/>
    <w:rsid w:val="00CD60C2"/>
    <w:pPr>
      <w:spacing w:after="0" w:line="264" w:lineRule="auto"/>
    </w:pPr>
    <w:rPr>
      <w:rFonts w:ascii="Arial" w:hAnsi="Arial"/>
      <w:color w:val="142855"/>
    </w:rPr>
  </w:style>
  <w:style w:type="character" w:customStyle="1" w:styleId="Emphasis1">
    <w:name w:val="Emphasis1"/>
    <w:basedOn w:val="DefaultParagraphFont"/>
    <w:uiPriority w:val="20"/>
    <w:qFormat/>
    <w:rsid w:val="00CD60C2"/>
    <w:rPr>
      <w:rFonts w:ascii="Arial" w:hAnsi="Arial"/>
      <w:b/>
      <w:i w:val="0"/>
      <w:iCs/>
      <w:color w:val="142855"/>
      <w:sz w:val="24"/>
    </w:rPr>
  </w:style>
  <w:style w:type="paragraph" w:customStyle="1" w:styleId="Quote1">
    <w:name w:val="Quote1"/>
    <w:basedOn w:val="Normal"/>
    <w:next w:val="Normal"/>
    <w:uiPriority w:val="29"/>
    <w:qFormat/>
    <w:rsid w:val="00CD60C2"/>
    <w:pPr>
      <w:spacing w:before="400" w:after="400"/>
    </w:pPr>
    <w:rPr>
      <w:rFonts w:ascii="Arial" w:hAnsi="Arial"/>
      <w:iCs/>
      <w:color w:val="0054BA"/>
    </w:rPr>
  </w:style>
  <w:style w:type="paragraph" w:customStyle="1" w:styleId="TOC11">
    <w:name w:val="TOC 11"/>
    <w:basedOn w:val="Normal"/>
    <w:next w:val="Normal"/>
    <w:autoRedefine/>
    <w:uiPriority w:val="39"/>
    <w:unhideWhenUsed/>
    <w:rsid w:val="00CD60C2"/>
    <w:pPr>
      <w:pBdr>
        <w:top w:val="single" w:sz="4" w:space="4" w:color="0054BA"/>
        <w:bottom w:val="single" w:sz="4" w:space="4" w:color="0054BA"/>
      </w:pBdr>
      <w:tabs>
        <w:tab w:val="right" w:pos="6629"/>
      </w:tabs>
      <w:spacing w:after="100" w:line="288" w:lineRule="auto"/>
    </w:pPr>
    <w:rPr>
      <w:rFonts w:ascii="Arial" w:hAnsi="Arial"/>
      <w:color w:val="142855"/>
    </w:rPr>
  </w:style>
  <w:style w:type="paragraph" w:customStyle="1" w:styleId="TOC21">
    <w:name w:val="TOC 21"/>
    <w:basedOn w:val="Normal"/>
    <w:next w:val="Normal"/>
    <w:autoRedefine/>
    <w:uiPriority w:val="39"/>
    <w:unhideWhenUsed/>
    <w:rsid w:val="00CD60C2"/>
    <w:pPr>
      <w:tabs>
        <w:tab w:val="right" w:pos="4707"/>
      </w:tabs>
      <w:spacing w:before="120" w:line="288" w:lineRule="auto"/>
      <w:ind w:left="221"/>
    </w:pPr>
    <w:rPr>
      <w:rFonts w:ascii="Arial" w:eastAsia="SimHei" w:hAnsi="Arial" w:cs="Arial"/>
      <w:noProof/>
      <w:color w:val="1D1D1B"/>
      <w:sz w:val="22"/>
    </w:rPr>
  </w:style>
  <w:style w:type="paragraph" w:customStyle="1" w:styleId="TOC31">
    <w:name w:val="TOC 31"/>
    <w:basedOn w:val="Normal"/>
    <w:next w:val="Normal"/>
    <w:autoRedefine/>
    <w:uiPriority w:val="39"/>
    <w:unhideWhenUsed/>
    <w:rsid w:val="00CD60C2"/>
    <w:pPr>
      <w:tabs>
        <w:tab w:val="right" w:pos="4707"/>
      </w:tabs>
      <w:spacing w:after="100" w:line="288" w:lineRule="auto"/>
      <w:ind w:left="442"/>
    </w:pPr>
    <w:rPr>
      <w:rFonts w:ascii="Arial" w:hAnsi="Arial"/>
      <w:color w:val="1D1D1B"/>
      <w:sz w:val="22"/>
    </w:rPr>
  </w:style>
  <w:style w:type="character" w:customStyle="1" w:styleId="Hyperlink1">
    <w:name w:val="Hyperlink1"/>
    <w:basedOn w:val="DefaultParagraphFont"/>
    <w:uiPriority w:val="99"/>
    <w:unhideWhenUsed/>
    <w:rsid w:val="00CD60C2"/>
    <w:rPr>
      <w:color w:val="142855"/>
      <w:u w:val="single"/>
    </w:rPr>
  </w:style>
  <w:style w:type="paragraph" w:customStyle="1" w:styleId="Header1">
    <w:name w:val="Header1"/>
    <w:basedOn w:val="Normal"/>
    <w:next w:val="Header"/>
    <w:uiPriority w:val="99"/>
    <w:unhideWhenUsed/>
    <w:rsid w:val="00CD60C2"/>
    <w:pPr>
      <w:tabs>
        <w:tab w:val="center" w:pos="4513"/>
        <w:tab w:val="right" w:pos="9026"/>
      </w:tabs>
      <w:spacing w:after="0" w:line="240" w:lineRule="auto"/>
    </w:pPr>
    <w:rPr>
      <w:rFonts w:ascii="Times New Roman" w:hAnsi="Times New Roman"/>
      <w:b/>
      <w:color w:val="0054BA"/>
    </w:rPr>
  </w:style>
  <w:style w:type="paragraph" w:customStyle="1" w:styleId="Footer1">
    <w:name w:val="Footer1"/>
    <w:basedOn w:val="Normal"/>
    <w:next w:val="Footer"/>
    <w:uiPriority w:val="99"/>
    <w:unhideWhenUsed/>
    <w:rsid w:val="00CD60C2"/>
    <w:pPr>
      <w:tabs>
        <w:tab w:val="center" w:pos="4513"/>
        <w:tab w:val="right" w:pos="9026"/>
      </w:tabs>
      <w:spacing w:after="0" w:line="240" w:lineRule="auto"/>
    </w:pPr>
    <w:rPr>
      <w:rFonts w:ascii="Times New Roman" w:hAnsi="Times New Roman"/>
      <w:color w:val="142855"/>
    </w:rPr>
  </w:style>
  <w:style w:type="paragraph" w:customStyle="1" w:styleId="Closing1">
    <w:name w:val="Closing1"/>
    <w:basedOn w:val="Normal"/>
    <w:next w:val="Closing"/>
    <w:uiPriority w:val="99"/>
    <w:unhideWhenUsed/>
    <w:rsid w:val="00CD60C2"/>
    <w:pPr>
      <w:spacing w:after="0"/>
    </w:pPr>
    <w:rPr>
      <w:rFonts w:ascii="Times New Roman" w:hAnsi="Times New Roman"/>
      <w:color w:val="142855"/>
    </w:rPr>
  </w:style>
  <w:style w:type="paragraph" w:customStyle="1" w:styleId="BlockText1">
    <w:name w:val="Block Text1"/>
    <w:basedOn w:val="Normal"/>
    <w:next w:val="BlockText"/>
    <w:uiPriority w:val="99"/>
    <w:unhideWhenUsed/>
    <w:rsid w:val="00CD60C2"/>
    <w:pPr>
      <w:tabs>
        <w:tab w:val="left" w:pos="284"/>
      </w:tabs>
      <w:spacing w:after="120"/>
    </w:pPr>
    <w:rPr>
      <w:rFonts w:ascii="Arial" w:eastAsia="SimHei" w:hAnsi="Arial"/>
      <w:iCs/>
      <w:color w:val="142855"/>
    </w:rPr>
  </w:style>
  <w:style w:type="paragraph" w:customStyle="1" w:styleId="f1">
    <w:name w:val="f1"/>
    <w:basedOn w:val="Normal"/>
    <w:next w:val="FootnoteText"/>
    <w:autoRedefine/>
    <w:uiPriority w:val="99"/>
    <w:unhideWhenUsed/>
    <w:qFormat/>
    <w:rsid w:val="00583028"/>
    <w:pPr>
      <w:spacing w:after="0" w:line="240" w:lineRule="auto"/>
    </w:pPr>
    <w:rPr>
      <w:rFonts w:cstheme="minorHAnsi"/>
      <w:color w:val="142855"/>
      <w:sz w:val="18"/>
      <w:szCs w:val="18"/>
    </w:rPr>
  </w:style>
  <w:style w:type="paragraph" w:customStyle="1" w:styleId="IntenseQuote1">
    <w:name w:val="Intense Quote1"/>
    <w:basedOn w:val="Normal"/>
    <w:next w:val="Normal"/>
    <w:uiPriority w:val="30"/>
    <w:qFormat/>
    <w:rsid w:val="00CD60C2"/>
    <w:pPr>
      <w:pBdr>
        <w:top w:val="single" w:sz="4" w:space="10" w:color="FF3246"/>
        <w:bottom w:val="single" w:sz="4" w:space="10" w:color="FF3246"/>
      </w:pBdr>
      <w:spacing w:before="360" w:after="360" w:line="240" w:lineRule="auto"/>
      <w:ind w:left="864" w:right="864"/>
      <w:jc w:val="center"/>
    </w:pPr>
    <w:rPr>
      <w:rFonts w:ascii="Arial" w:hAnsi="Arial"/>
      <w:i/>
      <w:iCs/>
      <w:color w:val="FF3246"/>
      <w:sz w:val="20"/>
    </w:rPr>
  </w:style>
  <w:style w:type="character" w:customStyle="1" w:styleId="SubtleEmphasis1">
    <w:name w:val="Subtle Emphasis1"/>
    <w:basedOn w:val="DefaultParagraphFont"/>
    <w:uiPriority w:val="19"/>
    <w:qFormat/>
    <w:rsid w:val="00CD60C2"/>
    <w:rPr>
      <w:i/>
      <w:iCs/>
      <w:color w:val="575752"/>
    </w:rPr>
  </w:style>
  <w:style w:type="character" w:customStyle="1" w:styleId="IntenseEmphasis1">
    <w:name w:val="Intense Emphasis1"/>
    <w:basedOn w:val="DefaultParagraphFont"/>
    <w:uiPriority w:val="21"/>
    <w:qFormat/>
    <w:rsid w:val="00CD60C2"/>
    <w:rPr>
      <w:i/>
      <w:iCs/>
      <w:color w:val="FF3246"/>
    </w:rPr>
  </w:style>
  <w:style w:type="character" w:customStyle="1" w:styleId="FollowedHyperlink1">
    <w:name w:val="FollowedHyperlink1"/>
    <w:basedOn w:val="DefaultParagraphFont"/>
    <w:uiPriority w:val="99"/>
    <w:semiHidden/>
    <w:unhideWhenUsed/>
    <w:rsid w:val="00CD60C2"/>
    <w:rPr>
      <w:color w:val="142855"/>
      <w:u w:val="single"/>
    </w:rPr>
  </w:style>
  <w:style w:type="paragraph" w:customStyle="1" w:styleId="BodyText1">
    <w:name w:val="Body Text1"/>
    <w:basedOn w:val="NoSpacing"/>
    <w:next w:val="BodyText"/>
    <w:uiPriority w:val="99"/>
    <w:unhideWhenUsed/>
    <w:qFormat/>
    <w:rsid w:val="00CD60C2"/>
    <w:pPr>
      <w:spacing w:line="240" w:lineRule="exact"/>
    </w:pPr>
    <w:rPr>
      <w:rFonts w:ascii="Times New Roman" w:hAnsi="Times New Roman"/>
      <w:color w:val="142855"/>
      <w:sz w:val="20"/>
    </w:rPr>
  </w:style>
  <w:style w:type="paragraph" w:customStyle="1" w:styleId="BodyText21">
    <w:name w:val="Body Text 21"/>
    <w:basedOn w:val="Normal"/>
    <w:next w:val="BodyText2"/>
    <w:uiPriority w:val="99"/>
    <w:unhideWhenUsed/>
    <w:qFormat/>
    <w:rsid w:val="00CD60C2"/>
    <w:pPr>
      <w:spacing w:after="0" w:line="240" w:lineRule="atLeast"/>
    </w:pPr>
    <w:rPr>
      <w:rFonts w:ascii="Times New Roman" w:hAnsi="Times New Roman"/>
      <w:b/>
      <w:bCs/>
      <w:color w:val="142855"/>
      <w:sz w:val="20"/>
      <w:lang w:val="pt-PT"/>
    </w:rPr>
  </w:style>
  <w:style w:type="table" w:customStyle="1" w:styleId="ListTable2-Accent11">
    <w:name w:val="List Table 2 - Accent 11"/>
    <w:basedOn w:val="TableNormal"/>
    <w:next w:val="ListTable2-Accent1"/>
    <w:uiPriority w:val="47"/>
    <w:rsid w:val="00CD60C2"/>
    <w:pPr>
      <w:spacing w:after="0" w:line="240" w:lineRule="auto"/>
    </w:pPr>
    <w:rPr>
      <w:rFonts w:ascii="Arial" w:hAnsi="Arial"/>
    </w:rPr>
    <w:tblPr>
      <w:tblStyleRowBandSize w:val="1"/>
      <w:tblStyleColBandSize w:val="1"/>
      <w:tblBorders>
        <w:top w:val="single" w:sz="4" w:space="0" w:color="FF848F"/>
        <w:bottom w:val="single" w:sz="4" w:space="0" w:color="FF848F"/>
        <w:insideH w:val="single" w:sz="4" w:space="0" w:color="FF84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D9"/>
      </w:tcPr>
    </w:tblStylePr>
    <w:tblStylePr w:type="band1Horz">
      <w:tblPr/>
      <w:tcPr>
        <w:shd w:val="clear" w:color="auto" w:fill="FFD6D9"/>
      </w:tcPr>
    </w:tblStylePr>
  </w:style>
  <w:style w:type="table" w:customStyle="1" w:styleId="ListTable3-Accent21">
    <w:name w:val="List Table 3 - Accent 21"/>
    <w:basedOn w:val="TableNormal"/>
    <w:next w:val="ListTable3-Accent2"/>
    <w:uiPriority w:val="48"/>
    <w:rsid w:val="00CD60C2"/>
    <w:pPr>
      <w:spacing w:after="0" w:line="240" w:lineRule="auto"/>
    </w:pPr>
    <w:rPr>
      <w:rFonts w:ascii="Arial" w:hAnsi="Arial"/>
    </w:rPr>
    <w:tblPr>
      <w:tblStyleRowBandSize w:val="1"/>
      <w:tblStyleColBandSize w:val="1"/>
      <w:tblBorders>
        <w:top w:val="single" w:sz="4" w:space="0" w:color="0054BA"/>
        <w:left w:val="single" w:sz="4" w:space="0" w:color="0054BA"/>
        <w:bottom w:val="single" w:sz="4" w:space="0" w:color="0054BA"/>
        <w:right w:val="single" w:sz="4" w:space="0" w:color="0054BA"/>
      </w:tblBorders>
    </w:tblPr>
    <w:tblStylePr w:type="firstRow">
      <w:rPr>
        <w:b/>
        <w:bCs/>
        <w:color w:val="FFFFFF"/>
      </w:rPr>
      <w:tblPr/>
      <w:tcPr>
        <w:shd w:val="clear" w:color="auto" w:fill="0054BA"/>
      </w:tcPr>
    </w:tblStylePr>
    <w:tblStylePr w:type="lastRow">
      <w:rPr>
        <w:b/>
        <w:bCs/>
      </w:rPr>
      <w:tblPr/>
      <w:tcPr>
        <w:tcBorders>
          <w:top w:val="double" w:sz="4" w:space="0" w:color="005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54BA"/>
          <w:right w:val="single" w:sz="4" w:space="0" w:color="0054BA"/>
        </w:tcBorders>
      </w:tcPr>
    </w:tblStylePr>
    <w:tblStylePr w:type="band1Horz">
      <w:tblPr/>
      <w:tcPr>
        <w:tcBorders>
          <w:top w:val="single" w:sz="4" w:space="0" w:color="0054BA"/>
          <w:bottom w:val="single" w:sz="4" w:space="0" w:color="005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BA"/>
          <w:left w:val="nil"/>
        </w:tcBorders>
      </w:tcPr>
    </w:tblStylePr>
    <w:tblStylePr w:type="swCell">
      <w:tblPr/>
      <w:tcPr>
        <w:tcBorders>
          <w:top w:val="double" w:sz="4" w:space="0" w:color="0054BA"/>
          <w:right w:val="nil"/>
        </w:tcBorders>
      </w:tcPr>
    </w:tblStylePr>
  </w:style>
  <w:style w:type="table" w:customStyle="1" w:styleId="ListTable4-Accent21">
    <w:name w:val="List Table 4 - Accent 21"/>
    <w:basedOn w:val="TableNormal"/>
    <w:next w:val="ListTable4-Accent2"/>
    <w:uiPriority w:val="49"/>
    <w:rsid w:val="00CD60C2"/>
    <w:pPr>
      <w:spacing w:after="0" w:line="240" w:lineRule="auto"/>
    </w:pPr>
    <w:rPr>
      <w:rFonts w:ascii="Arial" w:hAnsi="Arial"/>
    </w:rPr>
    <w:tblPr>
      <w:tblStyleRowBandSize w:val="1"/>
      <w:tblStyleColBandSize w:val="1"/>
      <w:tblBorders>
        <w:top w:val="single" w:sz="4" w:space="0" w:color="3C94FF"/>
        <w:left w:val="single" w:sz="4" w:space="0" w:color="3C94FF"/>
        <w:bottom w:val="single" w:sz="4" w:space="0" w:color="3C94FF"/>
        <w:right w:val="single" w:sz="4" w:space="0" w:color="3C94FF"/>
        <w:insideH w:val="single" w:sz="4" w:space="0" w:color="3C94FF"/>
      </w:tblBorders>
    </w:tblPr>
    <w:tblStylePr w:type="firstRow">
      <w:rPr>
        <w:b/>
        <w:bCs/>
        <w:color w:val="FFFFFF"/>
      </w:rPr>
      <w:tblPr/>
      <w:tcPr>
        <w:tcBorders>
          <w:top w:val="single" w:sz="4" w:space="0" w:color="0054BA"/>
          <w:left w:val="single" w:sz="4" w:space="0" w:color="0054BA"/>
          <w:bottom w:val="single" w:sz="4" w:space="0" w:color="0054BA"/>
          <w:right w:val="single" w:sz="4" w:space="0" w:color="0054BA"/>
          <w:insideH w:val="nil"/>
        </w:tcBorders>
        <w:shd w:val="clear" w:color="auto" w:fill="0054BA"/>
      </w:tcPr>
    </w:tblStylePr>
    <w:tblStylePr w:type="lastRow">
      <w:rPr>
        <w:b/>
        <w:bCs/>
      </w:rPr>
      <w:tblPr/>
      <w:tcPr>
        <w:tcBorders>
          <w:top w:val="double" w:sz="4" w:space="0" w:color="3C94FF"/>
        </w:tcBorders>
      </w:tcPr>
    </w:tblStylePr>
    <w:tblStylePr w:type="firstCol">
      <w:rPr>
        <w:b/>
        <w:bCs/>
      </w:rPr>
    </w:tblStylePr>
    <w:tblStylePr w:type="lastCol">
      <w:rPr>
        <w:b/>
        <w:bCs/>
      </w:rPr>
    </w:tblStylePr>
    <w:tblStylePr w:type="band1Vert">
      <w:tblPr/>
      <w:tcPr>
        <w:shd w:val="clear" w:color="auto" w:fill="BEDBFF"/>
      </w:tcPr>
    </w:tblStylePr>
    <w:tblStylePr w:type="band1Horz">
      <w:tblPr/>
      <w:tcPr>
        <w:shd w:val="clear" w:color="auto" w:fill="BEDBFF"/>
      </w:tcPr>
    </w:tblStylePr>
  </w:style>
  <w:style w:type="paragraph" w:customStyle="1" w:styleId="BalloonText1">
    <w:name w:val="Balloon Text1"/>
    <w:basedOn w:val="Normal"/>
    <w:next w:val="BalloonText"/>
    <w:uiPriority w:val="99"/>
    <w:semiHidden/>
    <w:unhideWhenUsed/>
    <w:rsid w:val="00CD60C2"/>
    <w:pPr>
      <w:spacing w:before="60" w:after="0" w:line="240" w:lineRule="auto"/>
    </w:pPr>
    <w:rPr>
      <w:rFonts w:ascii="Tahoma" w:eastAsia="SimSun" w:hAnsi="Tahoma" w:cs="Tahoma"/>
      <w:bCs/>
      <w:color w:val="1D1D1B"/>
      <w:sz w:val="16"/>
      <w:szCs w:val="16"/>
    </w:rPr>
  </w:style>
  <w:style w:type="paragraph" w:customStyle="1" w:styleId="TOC51">
    <w:name w:val="TOC 51"/>
    <w:basedOn w:val="TOC1"/>
    <w:next w:val="Normal"/>
    <w:autoRedefine/>
    <w:uiPriority w:val="39"/>
    <w:semiHidden/>
    <w:rsid w:val="00CD60C2"/>
    <w:pPr>
      <w:pBdr>
        <w:top w:val="none" w:sz="0" w:space="0" w:color="auto"/>
        <w:bottom w:val="none" w:sz="0" w:space="0" w:color="auto"/>
      </w:pBdr>
      <w:tabs>
        <w:tab w:val="clear" w:pos="6629"/>
        <w:tab w:val="right" w:leader="dot" w:pos="8618"/>
      </w:tabs>
      <w:spacing w:before="60" w:line="264" w:lineRule="auto"/>
    </w:pPr>
    <w:rPr>
      <w:rFonts w:ascii="Arial" w:eastAsia="SimSun" w:hAnsi="Arial" w:cs="Arial"/>
      <w:bCs w:val="0"/>
      <w:caps/>
      <w:color w:val="FFFFFF"/>
      <w:sz w:val="23"/>
      <w:szCs w:val="20"/>
    </w:rPr>
  </w:style>
  <w:style w:type="paragraph" w:customStyle="1" w:styleId="TOC71">
    <w:name w:val="TOC 71"/>
    <w:basedOn w:val="TOC3"/>
    <w:next w:val="Normal"/>
    <w:autoRedefine/>
    <w:uiPriority w:val="39"/>
    <w:rsid w:val="00CD60C2"/>
    <w:pPr>
      <w:tabs>
        <w:tab w:val="clear" w:pos="4707"/>
        <w:tab w:val="right" w:leader="dot" w:pos="8618"/>
      </w:tabs>
      <w:spacing w:before="60" w:line="264" w:lineRule="auto"/>
      <w:ind w:left="680"/>
    </w:pPr>
    <w:rPr>
      <w:rFonts w:ascii="Arial" w:eastAsia="SimSun" w:hAnsi="Arial" w:cs="Arial"/>
      <w:bCs/>
      <w:color w:val="FFFFFF"/>
      <w:sz w:val="23"/>
      <w:szCs w:val="20"/>
    </w:rPr>
  </w:style>
  <w:style w:type="paragraph" w:customStyle="1" w:styleId="TOC81">
    <w:name w:val="TOC 81"/>
    <w:basedOn w:val="TOC4"/>
    <w:next w:val="Normal"/>
    <w:autoRedefine/>
    <w:uiPriority w:val="39"/>
    <w:rsid w:val="00CD60C2"/>
    <w:rPr>
      <w:color w:val="FFFFFF"/>
    </w:rPr>
  </w:style>
  <w:style w:type="table" w:customStyle="1" w:styleId="GridTable411">
    <w:name w:val="Grid Table 411"/>
    <w:basedOn w:val="TableNormal"/>
    <w:next w:val="GridTable4"/>
    <w:uiPriority w:val="49"/>
    <w:rsid w:val="00CD60C2"/>
    <w:pPr>
      <w:spacing w:after="0" w:line="240" w:lineRule="auto"/>
    </w:pPr>
    <w:rPr>
      <w:rFonts w:ascii="Arial" w:hAnsi="Arial"/>
    </w:rPr>
    <w:tblPr>
      <w:tblStyleRowBandSize w:val="1"/>
      <w:tblStyleColBandSize w:val="1"/>
      <w:tblBorders>
        <w:top w:val="single" w:sz="4" w:space="0" w:color="A0A3A6"/>
        <w:left w:val="single" w:sz="4" w:space="0" w:color="A0A3A6"/>
        <w:bottom w:val="single" w:sz="4" w:space="0" w:color="A0A3A6"/>
        <w:right w:val="single" w:sz="4" w:space="0" w:color="A0A3A6"/>
        <w:insideH w:val="single" w:sz="4" w:space="0" w:color="A0A3A6"/>
        <w:insideV w:val="single" w:sz="4" w:space="0" w:color="A0A3A6"/>
      </w:tblBorders>
    </w:tblPr>
    <w:tblStylePr w:type="firstRow">
      <w:rPr>
        <w:b/>
        <w:bCs/>
        <w:color w:val="FFFFFF"/>
      </w:rPr>
      <w:tblPr/>
      <w:tcPr>
        <w:tcBorders>
          <w:top w:val="single" w:sz="4" w:space="0" w:color="63666A"/>
          <w:left w:val="single" w:sz="4" w:space="0" w:color="63666A"/>
          <w:bottom w:val="single" w:sz="4" w:space="0" w:color="63666A"/>
          <w:right w:val="single" w:sz="4" w:space="0" w:color="63666A"/>
          <w:insideH w:val="nil"/>
          <w:insideV w:val="nil"/>
        </w:tcBorders>
        <w:shd w:val="clear" w:color="auto" w:fill="63666A"/>
      </w:tcPr>
    </w:tblStylePr>
    <w:tblStylePr w:type="lastRow">
      <w:rPr>
        <w:b/>
        <w:bCs/>
      </w:rPr>
      <w:tblPr/>
      <w:tcPr>
        <w:tcBorders>
          <w:top w:val="double" w:sz="4" w:space="0" w:color="63666A"/>
        </w:tcBorders>
      </w:tcPr>
    </w:tblStylePr>
    <w:tblStylePr w:type="firstCol">
      <w:rPr>
        <w:b/>
        <w:bCs/>
      </w:rPr>
    </w:tblStylePr>
    <w:tblStylePr w:type="lastCol">
      <w:rPr>
        <w:b/>
        <w:bCs/>
      </w:rPr>
    </w:tblStylePr>
    <w:tblStylePr w:type="band1Vert">
      <w:tblPr/>
      <w:tcPr>
        <w:shd w:val="clear" w:color="auto" w:fill="DFE0E1"/>
      </w:tcPr>
    </w:tblStylePr>
    <w:tblStylePr w:type="band1Horz">
      <w:tblPr/>
      <w:tcPr>
        <w:shd w:val="clear" w:color="auto" w:fill="DFE0E1"/>
      </w:tcPr>
    </w:tblStylePr>
  </w:style>
  <w:style w:type="table" w:customStyle="1" w:styleId="GridTable1Light-Accent611">
    <w:name w:val="Grid Table 1 Light - Accent 611"/>
    <w:basedOn w:val="TableNormal"/>
    <w:next w:val="GridTable1Light-Accent6"/>
    <w:uiPriority w:val="46"/>
    <w:rsid w:val="00CD60C2"/>
    <w:pPr>
      <w:spacing w:after="0" w:line="240" w:lineRule="auto"/>
    </w:pPr>
    <w:rPr>
      <w:rFonts w:ascii="Arial" w:hAnsi="Arial"/>
    </w:rPr>
    <w:tblPr>
      <w:tblStyleRowBandSize w:val="1"/>
      <w:tblStyleColBandSize w:val="1"/>
      <w:tblBorders>
        <w:top w:val="single" w:sz="4" w:space="0" w:color="F9E0AD"/>
        <w:left w:val="single" w:sz="4" w:space="0" w:color="F9E0AD"/>
        <w:bottom w:val="single" w:sz="4" w:space="0" w:color="F9E0AD"/>
        <w:right w:val="single" w:sz="4" w:space="0" w:color="F9E0AD"/>
        <w:insideH w:val="single" w:sz="4" w:space="0" w:color="F9E0AD"/>
        <w:insideV w:val="single" w:sz="4" w:space="0" w:color="F9E0AD"/>
      </w:tblBorders>
    </w:tblPr>
    <w:tblStylePr w:type="firstRow">
      <w:rPr>
        <w:b/>
        <w:bCs/>
      </w:rPr>
      <w:tblPr/>
      <w:tcPr>
        <w:tcBorders>
          <w:bottom w:val="single" w:sz="12" w:space="0" w:color="F6D185"/>
        </w:tcBorders>
      </w:tcPr>
    </w:tblStylePr>
    <w:tblStylePr w:type="lastRow">
      <w:rPr>
        <w:b/>
        <w:bCs/>
      </w:rPr>
      <w:tblPr/>
      <w:tcPr>
        <w:tcBorders>
          <w:top w:val="double" w:sz="2" w:space="0" w:color="F6D185"/>
        </w:tcBorders>
      </w:tcPr>
    </w:tblStylePr>
    <w:tblStylePr w:type="firstCol">
      <w:rPr>
        <w:b/>
        <w:bCs/>
      </w:rPr>
    </w:tblStylePr>
    <w:tblStylePr w:type="lastCol">
      <w:rPr>
        <w:b/>
        <w:bCs/>
      </w:rPr>
    </w:tblStylePr>
  </w:style>
  <w:style w:type="table" w:customStyle="1" w:styleId="ListTable211">
    <w:name w:val="List Table 211"/>
    <w:basedOn w:val="TableNormal"/>
    <w:next w:val="ListTable2"/>
    <w:uiPriority w:val="47"/>
    <w:rsid w:val="00CD60C2"/>
    <w:pPr>
      <w:spacing w:after="0" w:line="240" w:lineRule="auto"/>
    </w:pPr>
    <w:rPr>
      <w:rFonts w:ascii="Arial" w:hAnsi="Arial"/>
    </w:rPr>
    <w:tblPr>
      <w:tblStyleRowBandSize w:val="1"/>
      <w:tblStyleColBandSize w:val="1"/>
      <w:tblBorders>
        <w:top w:val="single" w:sz="4" w:space="0" w:color="A0A3A6"/>
        <w:bottom w:val="single" w:sz="4" w:space="0" w:color="A0A3A6"/>
        <w:insideH w:val="single" w:sz="4" w:space="0" w:color="A0A3A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0E1"/>
      </w:tcPr>
    </w:tblStylePr>
    <w:tblStylePr w:type="band1Horz">
      <w:tblPr/>
      <w:tcPr>
        <w:shd w:val="clear" w:color="auto" w:fill="DFE0E1"/>
      </w:tcPr>
    </w:tblStylePr>
  </w:style>
  <w:style w:type="table" w:customStyle="1" w:styleId="GridTable4-Accent311">
    <w:name w:val="Grid Table 4 - Accent 311"/>
    <w:basedOn w:val="TableNormal"/>
    <w:next w:val="GridTable4-Accent3"/>
    <w:uiPriority w:val="49"/>
    <w:rsid w:val="00CD60C2"/>
    <w:pPr>
      <w:spacing w:after="0" w:line="240" w:lineRule="auto"/>
    </w:pPr>
    <w:rPr>
      <w:rFonts w:ascii="Arial" w:hAnsi="Arial"/>
    </w:rPr>
    <w:tblPr>
      <w:tblStyleRowBandSize w:val="1"/>
      <w:tblStyleColBandSize w:val="1"/>
      <w:tblBorders>
        <w:top w:val="single" w:sz="4" w:space="0" w:color="B7B9BA"/>
        <w:left w:val="single" w:sz="4" w:space="0" w:color="B7B9BA"/>
        <w:bottom w:val="single" w:sz="4" w:space="0" w:color="B7B9BA"/>
        <w:right w:val="single" w:sz="4" w:space="0" w:color="B7B9BA"/>
        <w:insideH w:val="single" w:sz="4" w:space="0" w:color="B7B9BA"/>
        <w:insideV w:val="single" w:sz="4" w:space="0" w:color="B7B9BA"/>
      </w:tblBorders>
    </w:tblPr>
    <w:tblStylePr w:type="firstRow">
      <w:rPr>
        <w:b/>
        <w:bCs/>
        <w:color w:val="FFFFFF"/>
      </w:rPr>
      <w:tblPr/>
      <w:tcPr>
        <w:tcBorders>
          <w:top w:val="single" w:sz="4" w:space="0" w:color="888B8D"/>
          <w:left w:val="single" w:sz="4" w:space="0" w:color="888B8D"/>
          <w:bottom w:val="single" w:sz="4" w:space="0" w:color="888B8D"/>
          <w:right w:val="single" w:sz="4" w:space="0" w:color="888B8D"/>
          <w:insideH w:val="nil"/>
          <w:insideV w:val="nil"/>
        </w:tcBorders>
        <w:shd w:val="clear" w:color="auto" w:fill="888B8D"/>
      </w:tcPr>
    </w:tblStylePr>
    <w:tblStylePr w:type="lastRow">
      <w:rPr>
        <w:b/>
        <w:bCs/>
      </w:rPr>
      <w:tblPr/>
      <w:tcPr>
        <w:tcBorders>
          <w:top w:val="double" w:sz="4" w:space="0" w:color="888B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character" w:customStyle="1" w:styleId="SubtitleChar1">
    <w:name w:val="Subtitle Char1"/>
    <w:basedOn w:val="DefaultParagraphFont"/>
    <w:uiPriority w:val="11"/>
    <w:rsid w:val="00CD60C2"/>
    <w:rPr>
      <w:rFonts w:asciiTheme="minorHAnsi" w:eastAsiaTheme="minorEastAsia" w:hAnsiTheme="minorHAnsi"/>
      <w:color w:val="6F6F68" w:themeColor="text1" w:themeTint="A5"/>
      <w:spacing w:val="15"/>
      <w:sz w:val="22"/>
    </w:rPr>
  </w:style>
  <w:style w:type="character" w:customStyle="1" w:styleId="DateChar1">
    <w:name w:val="Date Char1"/>
    <w:basedOn w:val="DefaultParagraphFont"/>
    <w:uiPriority w:val="99"/>
    <w:semiHidden/>
    <w:rsid w:val="00CD60C2"/>
    <w:rPr>
      <w:rFonts w:ascii="Arial" w:hAnsi="Arial"/>
      <w:sz w:val="20"/>
    </w:rPr>
  </w:style>
  <w:style w:type="character" w:customStyle="1" w:styleId="Heading4Char1">
    <w:name w:val="Heading 4 Char1"/>
    <w:basedOn w:val="DefaultParagraphFont"/>
    <w:uiPriority w:val="9"/>
    <w:semiHidden/>
    <w:rsid w:val="00CD60C2"/>
    <w:rPr>
      <w:rFonts w:asciiTheme="majorHAnsi" w:eastAsiaTheme="majorEastAsia" w:hAnsiTheme="majorHAnsi" w:cstheme="majorBidi"/>
      <w:i/>
      <w:iCs/>
      <w:color w:val="E40015" w:themeColor="accent1" w:themeShade="BF"/>
      <w:sz w:val="20"/>
    </w:rPr>
  </w:style>
  <w:style w:type="character" w:customStyle="1" w:styleId="Heading5Char1">
    <w:name w:val="Heading 5 Char1"/>
    <w:basedOn w:val="DefaultParagraphFont"/>
    <w:uiPriority w:val="9"/>
    <w:semiHidden/>
    <w:rsid w:val="00CD60C2"/>
    <w:rPr>
      <w:rFonts w:asciiTheme="majorHAnsi" w:eastAsiaTheme="majorEastAsia" w:hAnsiTheme="majorHAnsi" w:cstheme="majorBidi"/>
      <w:color w:val="E40015" w:themeColor="accent1" w:themeShade="BF"/>
      <w:sz w:val="20"/>
    </w:rPr>
  </w:style>
  <w:style w:type="character" w:customStyle="1" w:styleId="QuoteChar1">
    <w:name w:val="Quote Char1"/>
    <w:basedOn w:val="DefaultParagraphFont"/>
    <w:uiPriority w:val="29"/>
    <w:rsid w:val="00CD60C2"/>
    <w:rPr>
      <w:rFonts w:ascii="Arial" w:hAnsi="Arial"/>
      <w:i/>
      <w:iCs/>
      <w:color w:val="575752" w:themeColor="text1" w:themeTint="BF"/>
      <w:sz w:val="20"/>
    </w:rPr>
  </w:style>
  <w:style w:type="character" w:customStyle="1" w:styleId="HeaderChar1">
    <w:name w:val="Header Char1"/>
    <w:basedOn w:val="DefaultParagraphFont"/>
    <w:uiPriority w:val="99"/>
    <w:semiHidden/>
    <w:rsid w:val="00CD60C2"/>
    <w:rPr>
      <w:rFonts w:ascii="Arial" w:hAnsi="Arial"/>
      <w:sz w:val="20"/>
    </w:rPr>
  </w:style>
  <w:style w:type="character" w:customStyle="1" w:styleId="FooterChar1">
    <w:name w:val="Footer Char1"/>
    <w:basedOn w:val="DefaultParagraphFont"/>
    <w:uiPriority w:val="99"/>
    <w:semiHidden/>
    <w:rsid w:val="00CD60C2"/>
    <w:rPr>
      <w:rFonts w:ascii="Arial" w:hAnsi="Arial"/>
      <w:sz w:val="20"/>
    </w:rPr>
  </w:style>
  <w:style w:type="character" w:customStyle="1" w:styleId="ClosingChar1">
    <w:name w:val="Closing Char1"/>
    <w:basedOn w:val="DefaultParagraphFont"/>
    <w:uiPriority w:val="99"/>
    <w:semiHidden/>
    <w:rsid w:val="00CD60C2"/>
    <w:rPr>
      <w:rFonts w:ascii="Arial" w:hAnsi="Arial"/>
      <w:sz w:val="20"/>
    </w:rPr>
  </w:style>
  <w:style w:type="character" w:customStyle="1" w:styleId="IntenseQuoteChar1">
    <w:name w:val="Intense Quote Char1"/>
    <w:basedOn w:val="DefaultParagraphFont"/>
    <w:uiPriority w:val="30"/>
    <w:rsid w:val="00CD60C2"/>
    <w:rPr>
      <w:rFonts w:ascii="Arial" w:hAnsi="Arial"/>
      <w:i/>
      <w:iCs/>
      <w:color w:val="FF3246" w:themeColor="accent1"/>
      <w:sz w:val="20"/>
    </w:rPr>
  </w:style>
  <w:style w:type="character" w:customStyle="1" w:styleId="BodyTextChar1">
    <w:name w:val="Body Text Char1"/>
    <w:basedOn w:val="DefaultParagraphFont"/>
    <w:uiPriority w:val="99"/>
    <w:semiHidden/>
    <w:rsid w:val="00CD60C2"/>
    <w:rPr>
      <w:rFonts w:ascii="Arial" w:hAnsi="Arial"/>
      <w:sz w:val="20"/>
    </w:rPr>
  </w:style>
  <w:style w:type="character" w:customStyle="1" w:styleId="BodyText2Char1">
    <w:name w:val="Body Text 2 Char1"/>
    <w:basedOn w:val="DefaultParagraphFont"/>
    <w:uiPriority w:val="99"/>
    <w:semiHidden/>
    <w:rsid w:val="00CD60C2"/>
    <w:rPr>
      <w:rFonts w:ascii="Arial" w:hAnsi="Arial"/>
      <w:sz w:val="20"/>
    </w:rPr>
  </w:style>
  <w:style w:type="character" w:customStyle="1" w:styleId="BalloonTextChar1">
    <w:name w:val="Balloon Text Char1"/>
    <w:basedOn w:val="DefaultParagraphFont"/>
    <w:uiPriority w:val="99"/>
    <w:semiHidden/>
    <w:rsid w:val="00CD60C2"/>
    <w:rPr>
      <w:rFonts w:ascii="Segoe UI" w:hAnsi="Segoe UI" w:cs="Segoe UI"/>
      <w:sz w:val="18"/>
      <w:szCs w:val="18"/>
    </w:rPr>
  </w:style>
  <w:style w:type="character" w:customStyle="1" w:styleId="Heading6Char">
    <w:name w:val="Heading 6 Char"/>
    <w:basedOn w:val="DefaultParagraphFont"/>
    <w:link w:val="Heading6"/>
    <w:uiPriority w:val="9"/>
    <w:rsid w:val="00F0248E"/>
    <w:rPr>
      <w:rFonts w:asciiTheme="majorHAnsi" w:eastAsiaTheme="majorEastAsia" w:hAnsiTheme="majorHAnsi" w:cstheme="majorBidi"/>
      <w:color w:val="97000E"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796">
      <w:bodyDiv w:val="1"/>
      <w:marLeft w:val="0"/>
      <w:marRight w:val="0"/>
      <w:marTop w:val="0"/>
      <w:marBottom w:val="0"/>
      <w:divBdr>
        <w:top w:val="none" w:sz="0" w:space="0" w:color="auto"/>
        <w:left w:val="none" w:sz="0" w:space="0" w:color="auto"/>
        <w:bottom w:val="none" w:sz="0" w:space="0" w:color="auto"/>
        <w:right w:val="none" w:sz="0" w:space="0" w:color="auto"/>
      </w:divBdr>
    </w:div>
    <w:div w:id="15083090">
      <w:bodyDiv w:val="1"/>
      <w:marLeft w:val="0"/>
      <w:marRight w:val="0"/>
      <w:marTop w:val="0"/>
      <w:marBottom w:val="0"/>
      <w:divBdr>
        <w:top w:val="none" w:sz="0" w:space="0" w:color="auto"/>
        <w:left w:val="none" w:sz="0" w:space="0" w:color="auto"/>
        <w:bottom w:val="none" w:sz="0" w:space="0" w:color="auto"/>
        <w:right w:val="none" w:sz="0" w:space="0" w:color="auto"/>
      </w:divBdr>
    </w:div>
    <w:div w:id="15278415">
      <w:bodyDiv w:val="1"/>
      <w:marLeft w:val="0"/>
      <w:marRight w:val="0"/>
      <w:marTop w:val="0"/>
      <w:marBottom w:val="0"/>
      <w:divBdr>
        <w:top w:val="none" w:sz="0" w:space="0" w:color="auto"/>
        <w:left w:val="none" w:sz="0" w:space="0" w:color="auto"/>
        <w:bottom w:val="none" w:sz="0" w:space="0" w:color="auto"/>
        <w:right w:val="none" w:sz="0" w:space="0" w:color="auto"/>
      </w:divBdr>
    </w:div>
    <w:div w:id="17203176">
      <w:bodyDiv w:val="1"/>
      <w:marLeft w:val="0"/>
      <w:marRight w:val="0"/>
      <w:marTop w:val="0"/>
      <w:marBottom w:val="0"/>
      <w:divBdr>
        <w:top w:val="none" w:sz="0" w:space="0" w:color="auto"/>
        <w:left w:val="none" w:sz="0" w:space="0" w:color="auto"/>
        <w:bottom w:val="none" w:sz="0" w:space="0" w:color="auto"/>
        <w:right w:val="none" w:sz="0" w:space="0" w:color="auto"/>
      </w:divBdr>
    </w:div>
    <w:div w:id="21058370">
      <w:bodyDiv w:val="1"/>
      <w:marLeft w:val="0"/>
      <w:marRight w:val="0"/>
      <w:marTop w:val="0"/>
      <w:marBottom w:val="0"/>
      <w:divBdr>
        <w:top w:val="none" w:sz="0" w:space="0" w:color="auto"/>
        <w:left w:val="none" w:sz="0" w:space="0" w:color="auto"/>
        <w:bottom w:val="none" w:sz="0" w:space="0" w:color="auto"/>
        <w:right w:val="none" w:sz="0" w:space="0" w:color="auto"/>
      </w:divBdr>
      <w:divsChild>
        <w:div w:id="123353112">
          <w:marLeft w:val="0"/>
          <w:marRight w:val="0"/>
          <w:marTop w:val="0"/>
          <w:marBottom w:val="0"/>
          <w:divBdr>
            <w:top w:val="none" w:sz="0" w:space="0" w:color="auto"/>
            <w:left w:val="none" w:sz="0" w:space="0" w:color="auto"/>
            <w:bottom w:val="none" w:sz="0" w:space="0" w:color="auto"/>
            <w:right w:val="none" w:sz="0" w:space="0" w:color="auto"/>
          </w:divBdr>
          <w:divsChild>
            <w:div w:id="629046071">
              <w:marLeft w:val="0"/>
              <w:marRight w:val="0"/>
              <w:marTop w:val="0"/>
              <w:marBottom w:val="0"/>
              <w:divBdr>
                <w:top w:val="none" w:sz="0" w:space="0" w:color="auto"/>
                <w:left w:val="none" w:sz="0" w:space="0" w:color="auto"/>
                <w:bottom w:val="none" w:sz="0" w:space="0" w:color="auto"/>
                <w:right w:val="none" w:sz="0" w:space="0" w:color="auto"/>
              </w:divBdr>
              <w:divsChild>
                <w:div w:id="1862667649">
                  <w:marLeft w:val="0"/>
                  <w:marRight w:val="0"/>
                  <w:marTop w:val="0"/>
                  <w:marBottom w:val="0"/>
                  <w:divBdr>
                    <w:top w:val="none" w:sz="0" w:space="0" w:color="auto"/>
                    <w:left w:val="none" w:sz="0" w:space="0" w:color="auto"/>
                    <w:bottom w:val="none" w:sz="0" w:space="0" w:color="auto"/>
                    <w:right w:val="none" w:sz="0" w:space="0" w:color="auto"/>
                  </w:divBdr>
                  <w:divsChild>
                    <w:div w:id="103770029">
                      <w:marLeft w:val="30"/>
                      <w:marRight w:val="30"/>
                      <w:marTop w:val="0"/>
                      <w:marBottom w:val="0"/>
                      <w:divBdr>
                        <w:top w:val="none" w:sz="0" w:space="0" w:color="auto"/>
                        <w:left w:val="none" w:sz="0" w:space="0" w:color="auto"/>
                        <w:bottom w:val="none" w:sz="0" w:space="0" w:color="auto"/>
                        <w:right w:val="none" w:sz="0" w:space="0" w:color="auto"/>
                      </w:divBdr>
                      <w:divsChild>
                        <w:div w:id="22487493">
                          <w:marLeft w:val="0"/>
                          <w:marRight w:val="90"/>
                          <w:marTop w:val="90"/>
                          <w:marBottom w:val="30"/>
                          <w:divBdr>
                            <w:top w:val="none" w:sz="0" w:space="0" w:color="auto"/>
                            <w:left w:val="none" w:sz="0" w:space="0" w:color="auto"/>
                            <w:bottom w:val="none" w:sz="0" w:space="0" w:color="auto"/>
                            <w:right w:val="none" w:sz="0" w:space="0" w:color="auto"/>
                          </w:divBdr>
                          <w:divsChild>
                            <w:div w:id="602038567">
                              <w:marLeft w:val="0"/>
                              <w:marRight w:val="0"/>
                              <w:marTop w:val="0"/>
                              <w:marBottom w:val="0"/>
                              <w:divBdr>
                                <w:top w:val="none" w:sz="0" w:space="0" w:color="auto"/>
                                <w:left w:val="none" w:sz="0" w:space="0" w:color="auto"/>
                                <w:bottom w:val="none" w:sz="0" w:space="0" w:color="auto"/>
                                <w:right w:val="none" w:sz="0" w:space="0" w:color="auto"/>
                              </w:divBdr>
                              <w:divsChild>
                                <w:div w:id="1050692317">
                                  <w:marLeft w:val="45"/>
                                  <w:marRight w:val="0"/>
                                  <w:marTop w:val="0"/>
                                  <w:marBottom w:val="15"/>
                                  <w:divBdr>
                                    <w:top w:val="none" w:sz="0" w:space="0" w:color="auto"/>
                                    <w:left w:val="none" w:sz="0" w:space="0" w:color="auto"/>
                                    <w:bottom w:val="none" w:sz="0" w:space="0" w:color="auto"/>
                                    <w:right w:val="none" w:sz="0" w:space="0" w:color="auto"/>
                                  </w:divBdr>
                                </w:div>
                              </w:divsChild>
                            </w:div>
                            <w:div w:id="1655186041">
                              <w:marLeft w:val="0"/>
                              <w:marRight w:val="30"/>
                              <w:marTop w:val="0"/>
                              <w:marBottom w:val="0"/>
                              <w:divBdr>
                                <w:top w:val="none" w:sz="0" w:space="0" w:color="auto"/>
                                <w:left w:val="none" w:sz="0" w:space="0" w:color="auto"/>
                                <w:bottom w:val="none" w:sz="0" w:space="0" w:color="auto"/>
                                <w:right w:val="none" w:sz="0" w:space="0" w:color="auto"/>
                              </w:divBdr>
                              <w:divsChild>
                                <w:div w:id="614531174">
                                  <w:marLeft w:val="0"/>
                                  <w:marRight w:val="0"/>
                                  <w:marTop w:val="0"/>
                                  <w:marBottom w:val="0"/>
                                  <w:divBdr>
                                    <w:top w:val="none" w:sz="0" w:space="0" w:color="auto"/>
                                    <w:left w:val="none" w:sz="0" w:space="0" w:color="auto"/>
                                    <w:bottom w:val="none" w:sz="0" w:space="0" w:color="auto"/>
                                    <w:right w:val="none" w:sz="0" w:space="0" w:color="auto"/>
                                  </w:divBdr>
                                  <w:divsChild>
                                    <w:div w:id="1105805734">
                                      <w:marLeft w:val="0"/>
                                      <w:marRight w:val="0"/>
                                      <w:marTop w:val="0"/>
                                      <w:marBottom w:val="0"/>
                                      <w:divBdr>
                                        <w:top w:val="none" w:sz="0" w:space="0" w:color="auto"/>
                                        <w:left w:val="none" w:sz="0" w:space="0" w:color="auto"/>
                                        <w:bottom w:val="none" w:sz="0" w:space="0" w:color="auto"/>
                                        <w:right w:val="none" w:sz="0" w:space="0" w:color="auto"/>
                                      </w:divBdr>
                                      <w:divsChild>
                                        <w:div w:id="11664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5773">
                          <w:marLeft w:val="135"/>
                          <w:marRight w:val="45"/>
                          <w:marTop w:val="60"/>
                          <w:marBottom w:val="60"/>
                          <w:divBdr>
                            <w:top w:val="none" w:sz="0" w:space="0" w:color="auto"/>
                            <w:left w:val="none" w:sz="0" w:space="0" w:color="auto"/>
                            <w:bottom w:val="none" w:sz="0" w:space="0" w:color="auto"/>
                            <w:right w:val="none" w:sz="0" w:space="0" w:color="auto"/>
                          </w:divBdr>
                          <w:divsChild>
                            <w:div w:id="268781310">
                              <w:marLeft w:val="0"/>
                              <w:marRight w:val="0"/>
                              <w:marTop w:val="0"/>
                              <w:marBottom w:val="0"/>
                              <w:divBdr>
                                <w:top w:val="none" w:sz="0" w:space="0" w:color="auto"/>
                                <w:left w:val="none" w:sz="0" w:space="0" w:color="auto"/>
                                <w:bottom w:val="none" w:sz="0" w:space="0" w:color="auto"/>
                                <w:right w:val="none" w:sz="0" w:space="0" w:color="auto"/>
                              </w:divBdr>
                              <w:divsChild>
                                <w:div w:id="1834448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36661385">
                      <w:marLeft w:val="30"/>
                      <w:marRight w:val="30"/>
                      <w:marTop w:val="0"/>
                      <w:marBottom w:val="0"/>
                      <w:divBdr>
                        <w:top w:val="none" w:sz="0" w:space="0" w:color="auto"/>
                        <w:left w:val="none" w:sz="0" w:space="0" w:color="auto"/>
                        <w:bottom w:val="none" w:sz="0" w:space="0" w:color="auto"/>
                        <w:right w:val="none" w:sz="0" w:space="0" w:color="auto"/>
                      </w:divBdr>
                      <w:divsChild>
                        <w:div w:id="668946891">
                          <w:marLeft w:val="180"/>
                          <w:marRight w:val="210"/>
                          <w:marTop w:val="0"/>
                          <w:marBottom w:val="30"/>
                          <w:divBdr>
                            <w:top w:val="none" w:sz="0" w:space="0" w:color="auto"/>
                            <w:left w:val="none" w:sz="0" w:space="0" w:color="auto"/>
                            <w:bottom w:val="none" w:sz="0" w:space="0" w:color="auto"/>
                            <w:right w:val="none" w:sz="0" w:space="0" w:color="auto"/>
                          </w:divBdr>
                          <w:divsChild>
                            <w:div w:id="893004599">
                              <w:marLeft w:val="0"/>
                              <w:marRight w:val="30"/>
                              <w:marTop w:val="0"/>
                              <w:marBottom w:val="0"/>
                              <w:divBdr>
                                <w:top w:val="none" w:sz="0" w:space="0" w:color="auto"/>
                                <w:left w:val="none" w:sz="0" w:space="0" w:color="auto"/>
                                <w:bottom w:val="none" w:sz="0" w:space="0" w:color="auto"/>
                                <w:right w:val="none" w:sz="0" w:space="0" w:color="auto"/>
                              </w:divBdr>
                              <w:divsChild>
                                <w:div w:id="4089494">
                                  <w:marLeft w:val="0"/>
                                  <w:marRight w:val="0"/>
                                  <w:marTop w:val="0"/>
                                  <w:marBottom w:val="0"/>
                                  <w:divBdr>
                                    <w:top w:val="none" w:sz="0" w:space="0" w:color="auto"/>
                                    <w:left w:val="none" w:sz="0" w:space="0" w:color="auto"/>
                                    <w:bottom w:val="none" w:sz="0" w:space="0" w:color="auto"/>
                                    <w:right w:val="none" w:sz="0" w:space="0" w:color="auto"/>
                                  </w:divBdr>
                                  <w:divsChild>
                                    <w:div w:id="929894598">
                                      <w:marLeft w:val="0"/>
                                      <w:marRight w:val="0"/>
                                      <w:marTop w:val="0"/>
                                      <w:marBottom w:val="0"/>
                                      <w:divBdr>
                                        <w:top w:val="none" w:sz="0" w:space="0" w:color="auto"/>
                                        <w:left w:val="none" w:sz="0" w:space="0" w:color="auto"/>
                                        <w:bottom w:val="none" w:sz="0" w:space="0" w:color="auto"/>
                                        <w:right w:val="none" w:sz="0" w:space="0" w:color="auto"/>
                                      </w:divBdr>
                                      <w:divsChild>
                                        <w:div w:id="8964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515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63118">
          <w:marLeft w:val="0"/>
          <w:marRight w:val="0"/>
          <w:marTop w:val="0"/>
          <w:marBottom w:val="0"/>
          <w:divBdr>
            <w:top w:val="none" w:sz="0" w:space="0" w:color="auto"/>
            <w:left w:val="none" w:sz="0" w:space="0" w:color="auto"/>
            <w:bottom w:val="none" w:sz="0" w:space="0" w:color="auto"/>
            <w:right w:val="none" w:sz="0" w:space="0" w:color="auto"/>
          </w:divBdr>
          <w:divsChild>
            <w:div w:id="1738433375">
              <w:marLeft w:val="210"/>
              <w:marRight w:val="0"/>
              <w:marTop w:val="120"/>
              <w:marBottom w:val="0"/>
              <w:divBdr>
                <w:top w:val="none" w:sz="0" w:space="0" w:color="auto"/>
                <w:left w:val="none" w:sz="0" w:space="0" w:color="auto"/>
                <w:bottom w:val="none" w:sz="0" w:space="0" w:color="auto"/>
                <w:right w:val="none" w:sz="0" w:space="0" w:color="auto"/>
              </w:divBdr>
              <w:divsChild>
                <w:div w:id="943414428">
                  <w:marLeft w:val="0"/>
                  <w:marRight w:val="0"/>
                  <w:marTop w:val="0"/>
                  <w:marBottom w:val="0"/>
                  <w:divBdr>
                    <w:top w:val="none" w:sz="0" w:space="0" w:color="auto"/>
                    <w:left w:val="none" w:sz="0" w:space="0" w:color="auto"/>
                    <w:bottom w:val="none" w:sz="0" w:space="0" w:color="auto"/>
                    <w:right w:val="none" w:sz="0" w:space="0" w:color="auto"/>
                  </w:divBdr>
                  <w:divsChild>
                    <w:div w:id="36683706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2022843">
      <w:bodyDiv w:val="1"/>
      <w:marLeft w:val="0"/>
      <w:marRight w:val="0"/>
      <w:marTop w:val="0"/>
      <w:marBottom w:val="0"/>
      <w:divBdr>
        <w:top w:val="none" w:sz="0" w:space="0" w:color="auto"/>
        <w:left w:val="none" w:sz="0" w:space="0" w:color="auto"/>
        <w:bottom w:val="none" w:sz="0" w:space="0" w:color="auto"/>
        <w:right w:val="none" w:sz="0" w:space="0" w:color="auto"/>
      </w:divBdr>
      <w:divsChild>
        <w:div w:id="170411838">
          <w:marLeft w:val="0"/>
          <w:marRight w:val="0"/>
          <w:marTop w:val="0"/>
          <w:marBottom w:val="0"/>
          <w:divBdr>
            <w:top w:val="none" w:sz="0" w:space="0" w:color="auto"/>
            <w:left w:val="none" w:sz="0" w:space="0" w:color="auto"/>
            <w:bottom w:val="none" w:sz="0" w:space="0" w:color="auto"/>
            <w:right w:val="none" w:sz="0" w:space="0" w:color="auto"/>
          </w:divBdr>
          <w:divsChild>
            <w:div w:id="2133208107">
              <w:marLeft w:val="210"/>
              <w:marRight w:val="0"/>
              <w:marTop w:val="120"/>
              <w:marBottom w:val="0"/>
              <w:divBdr>
                <w:top w:val="none" w:sz="0" w:space="0" w:color="auto"/>
                <w:left w:val="none" w:sz="0" w:space="0" w:color="auto"/>
                <w:bottom w:val="none" w:sz="0" w:space="0" w:color="auto"/>
                <w:right w:val="none" w:sz="0" w:space="0" w:color="auto"/>
              </w:divBdr>
              <w:divsChild>
                <w:div w:id="328872503">
                  <w:marLeft w:val="0"/>
                  <w:marRight w:val="0"/>
                  <w:marTop w:val="0"/>
                  <w:marBottom w:val="0"/>
                  <w:divBdr>
                    <w:top w:val="none" w:sz="0" w:space="0" w:color="auto"/>
                    <w:left w:val="none" w:sz="0" w:space="0" w:color="auto"/>
                    <w:bottom w:val="none" w:sz="0" w:space="0" w:color="auto"/>
                    <w:right w:val="none" w:sz="0" w:space="0" w:color="auto"/>
                  </w:divBdr>
                  <w:divsChild>
                    <w:div w:id="121924573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54674404">
          <w:marLeft w:val="0"/>
          <w:marRight w:val="0"/>
          <w:marTop w:val="0"/>
          <w:marBottom w:val="0"/>
          <w:divBdr>
            <w:top w:val="none" w:sz="0" w:space="0" w:color="auto"/>
            <w:left w:val="none" w:sz="0" w:space="0" w:color="auto"/>
            <w:bottom w:val="none" w:sz="0" w:space="0" w:color="auto"/>
            <w:right w:val="none" w:sz="0" w:space="0" w:color="auto"/>
          </w:divBdr>
          <w:divsChild>
            <w:div w:id="1489247877">
              <w:marLeft w:val="0"/>
              <w:marRight w:val="0"/>
              <w:marTop w:val="0"/>
              <w:marBottom w:val="0"/>
              <w:divBdr>
                <w:top w:val="none" w:sz="0" w:space="0" w:color="auto"/>
                <w:left w:val="none" w:sz="0" w:space="0" w:color="auto"/>
                <w:bottom w:val="none" w:sz="0" w:space="0" w:color="auto"/>
                <w:right w:val="none" w:sz="0" w:space="0" w:color="auto"/>
              </w:divBdr>
              <w:divsChild>
                <w:div w:id="883101366">
                  <w:marLeft w:val="0"/>
                  <w:marRight w:val="0"/>
                  <w:marTop w:val="0"/>
                  <w:marBottom w:val="0"/>
                  <w:divBdr>
                    <w:top w:val="none" w:sz="0" w:space="0" w:color="auto"/>
                    <w:left w:val="none" w:sz="0" w:space="0" w:color="auto"/>
                    <w:bottom w:val="none" w:sz="0" w:space="0" w:color="auto"/>
                    <w:right w:val="none" w:sz="0" w:space="0" w:color="auto"/>
                  </w:divBdr>
                  <w:divsChild>
                    <w:div w:id="319044450">
                      <w:marLeft w:val="30"/>
                      <w:marRight w:val="30"/>
                      <w:marTop w:val="0"/>
                      <w:marBottom w:val="0"/>
                      <w:divBdr>
                        <w:top w:val="none" w:sz="0" w:space="0" w:color="auto"/>
                        <w:left w:val="none" w:sz="0" w:space="0" w:color="auto"/>
                        <w:bottom w:val="none" w:sz="0" w:space="0" w:color="auto"/>
                        <w:right w:val="none" w:sz="0" w:space="0" w:color="auto"/>
                      </w:divBdr>
                      <w:divsChild>
                        <w:div w:id="111437778">
                          <w:marLeft w:val="180"/>
                          <w:marRight w:val="210"/>
                          <w:marTop w:val="0"/>
                          <w:marBottom w:val="30"/>
                          <w:divBdr>
                            <w:top w:val="none" w:sz="0" w:space="0" w:color="auto"/>
                            <w:left w:val="none" w:sz="0" w:space="0" w:color="auto"/>
                            <w:bottom w:val="none" w:sz="0" w:space="0" w:color="auto"/>
                            <w:right w:val="none" w:sz="0" w:space="0" w:color="auto"/>
                          </w:divBdr>
                          <w:divsChild>
                            <w:div w:id="877087145">
                              <w:marLeft w:val="0"/>
                              <w:marRight w:val="30"/>
                              <w:marTop w:val="0"/>
                              <w:marBottom w:val="0"/>
                              <w:divBdr>
                                <w:top w:val="none" w:sz="0" w:space="0" w:color="auto"/>
                                <w:left w:val="none" w:sz="0" w:space="0" w:color="auto"/>
                                <w:bottom w:val="none" w:sz="0" w:space="0" w:color="auto"/>
                                <w:right w:val="none" w:sz="0" w:space="0" w:color="auto"/>
                              </w:divBdr>
                              <w:divsChild>
                                <w:div w:id="1757940735">
                                  <w:marLeft w:val="0"/>
                                  <w:marRight w:val="0"/>
                                  <w:marTop w:val="0"/>
                                  <w:marBottom w:val="0"/>
                                  <w:divBdr>
                                    <w:top w:val="none" w:sz="0" w:space="0" w:color="auto"/>
                                    <w:left w:val="none" w:sz="0" w:space="0" w:color="auto"/>
                                    <w:bottom w:val="none" w:sz="0" w:space="0" w:color="auto"/>
                                    <w:right w:val="none" w:sz="0" w:space="0" w:color="auto"/>
                                  </w:divBdr>
                                  <w:divsChild>
                                    <w:div w:id="827524603">
                                      <w:marLeft w:val="0"/>
                                      <w:marRight w:val="0"/>
                                      <w:marTop w:val="0"/>
                                      <w:marBottom w:val="0"/>
                                      <w:divBdr>
                                        <w:top w:val="none" w:sz="0" w:space="0" w:color="auto"/>
                                        <w:left w:val="none" w:sz="0" w:space="0" w:color="auto"/>
                                        <w:bottom w:val="none" w:sz="0" w:space="0" w:color="auto"/>
                                        <w:right w:val="none" w:sz="0" w:space="0" w:color="auto"/>
                                      </w:divBdr>
                                      <w:divsChild>
                                        <w:div w:id="9500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983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0469665">
                      <w:marLeft w:val="30"/>
                      <w:marRight w:val="30"/>
                      <w:marTop w:val="0"/>
                      <w:marBottom w:val="0"/>
                      <w:divBdr>
                        <w:top w:val="none" w:sz="0" w:space="0" w:color="auto"/>
                        <w:left w:val="none" w:sz="0" w:space="0" w:color="auto"/>
                        <w:bottom w:val="none" w:sz="0" w:space="0" w:color="auto"/>
                        <w:right w:val="none" w:sz="0" w:space="0" w:color="auto"/>
                      </w:divBdr>
                      <w:divsChild>
                        <w:div w:id="923758986">
                          <w:marLeft w:val="135"/>
                          <w:marRight w:val="45"/>
                          <w:marTop w:val="60"/>
                          <w:marBottom w:val="60"/>
                          <w:divBdr>
                            <w:top w:val="none" w:sz="0" w:space="0" w:color="auto"/>
                            <w:left w:val="none" w:sz="0" w:space="0" w:color="auto"/>
                            <w:bottom w:val="none" w:sz="0" w:space="0" w:color="auto"/>
                            <w:right w:val="none" w:sz="0" w:space="0" w:color="auto"/>
                          </w:divBdr>
                          <w:divsChild>
                            <w:div w:id="1111165310">
                              <w:marLeft w:val="0"/>
                              <w:marRight w:val="0"/>
                              <w:marTop w:val="0"/>
                              <w:marBottom w:val="0"/>
                              <w:divBdr>
                                <w:top w:val="none" w:sz="0" w:space="0" w:color="auto"/>
                                <w:left w:val="none" w:sz="0" w:space="0" w:color="auto"/>
                                <w:bottom w:val="none" w:sz="0" w:space="0" w:color="auto"/>
                                <w:right w:val="none" w:sz="0" w:space="0" w:color="auto"/>
                              </w:divBdr>
                              <w:divsChild>
                                <w:div w:id="2888276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4444563">
                          <w:marLeft w:val="0"/>
                          <w:marRight w:val="90"/>
                          <w:marTop w:val="90"/>
                          <w:marBottom w:val="30"/>
                          <w:divBdr>
                            <w:top w:val="none" w:sz="0" w:space="0" w:color="auto"/>
                            <w:left w:val="none" w:sz="0" w:space="0" w:color="auto"/>
                            <w:bottom w:val="none" w:sz="0" w:space="0" w:color="auto"/>
                            <w:right w:val="none" w:sz="0" w:space="0" w:color="auto"/>
                          </w:divBdr>
                          <w:divsChild>
                            <w:div w:id="791944287">
                              <w:marLeft w:val="45"/>
                              <w:marRight w:val="0"/>
                              <w:marTop w:val="0"/>
                              <w:marBottom w:val="0"/>
                              <w:divBdr>
                                <w:top w:val="none" w:sz="0" w:space="0" w:color="auto"/>
                                <w:left w:val="none" w:sz="0" w:space="0" w:color="auto"/>
                                <w:bottom w:val="none" w:sz="0" w:space="0" w:color="auto"/>
                                <w:right w:val="none" w:sz="0" w:space="0" w:color="auto"/>
                              </w:divBdr>
                            </w:div>
                            <w:div w:id="1236474780">
                              <w:marLeft w:val="0"/>
                              <w:marRight w:val="30"/>
                              <w:marTop w:val="0"/>
                              <w:marBottom w:val="0"/>
                              <w:divBdr>
                                <w:top w:val="none" w:sz="0" w:space="0" w:color="auto"/>
                                <w:left w:val="none" w:sz="0" w:space="0" w:color="auto"/>
                                <w:bottom w:val="none" w:sz="0" w:space="0" w:color="auto"/>
                                <w:right w:val="none" w:sz="0" w:space="0" w:color="auto"/>
                              </w:divBdr>
                              <w:divsChild>
                                <w:div w:id="396363601">
                                  <w:marLeft w:val="0"/>
                                  <w:marRight w:val="0"/>
                                  <w:marTop w:val="0"/>
                                  <w:marBottom w:val="0"/>
                                  <w:divBdr>
                                    <w:top w:val="none" w:sz="0" w:space="0" w:color="auto"/>
                                    <w:left w:val="none" w:sz="0" w:space="0" w:color="auto"/>
                                    <w:bottom w:val="none" w:sz="0" w:space="0" w:color="auto"/>
                                    <w:right w:val="none" w:sz="0" w:space="0" w:color="auto"/>
                                  </w:divBdr>
                                  <w:divsChild>
                                    <w:div w:id="1608393104">
                                      <w:marLeft w:val="0"/>
                                      <w:marRight w:val="0"/>
                                      <w:marTop w:val="0"/>
                                      <w:marBottom w:val="0"/>
                                      <w:divBdr>
                                        <w:top w:val="none" w:sz="0" w:space="0" w:color="auto"/>
                                        <w:left w:val="none" w:sz="0" w:space="0" w:color="auto"/>
                                        <w:bottom w:val="none" w:sz="0" w:space="0" w:color="auto"/>
                                        <w:right w:val="none" w:sz="0" w:space="0" w:color="auto"/>
                                      </w:divBdr>
                                      <w:divsChild>
                                        <w:div w:id="14994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5104">
                              <w:marLeft w:val="0"/>
                              <w:marRight w:val="0"/>
                              <w:marTop w:val="0"/>
                              <w:marBottom w:val="0"/>
                              <w:divBdr>
                                <w:top w:val="none" w:sz="0" w:space="0" w:color="auto"/>
                                <w:left w:val="none" w:sz="0" w:space="0" w:color="auto"/>
                                <w:bottom w:val="none" w:sz="0" w:space="0" w:color="auto"/>
                                <w:right w:val="none" w:sz="0" w:space="0" w:color="auto"/>
                              </w:divBdr>
                              <w:divsChild>
                                <w:div w:id="1281186662">
                                  <w:marLeft w:val="0"/>
                                  <w:marRight w:val="0"/>
                                  <w:marTop w:val="0"/>
                                  <w:marBottom w:val="0"/>
                                  <w:divBdr>
                                    <w:top w:val="none" w:sz="0" w:space="0" w:color="auto"/>
                                    <w:left w:val="none" w:sz="0" w:space="0" w:color="auto"/>
                                    <w:bottom w:val="none" w:sz="0" w:space="0" w:color="auto"/>
                                    <w:right w:val="none" w:sz="0" w:space="0" w:color="auto"/>
                                  </w:divBdr>
                                  <w:divsChild>
                                    <w:div w:id="157096826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839149203">
                      <w:marLeft w:val="30"/>
                      <w:marRight w:val="30"/>
                      <w:marTop w:val="0"/>
                      <w:marBottom w:val="0"/>
                      <w:divBdr>
                        <w:top w:val="none" w:sz="0" w:space="0" w:color="auto"/>
                        <w:left w:val="none" w:sz="0" w:space="0" w:color="auto"/>
                        <w:bottom w:val="none" w:sz="0" w:space="0" w:color="auto"/>
                        <w:right w:val="none" w:sz="0" w:space="0" w:color="auto"/>
                      </w:divBdr>
                      <w:divsChild>
                        <w:div w:id="1031568245">
                          <w:marLeft w:val="135"/>
                          <w:marRight w:val="45"/>
                          <w:marTop w:val="60"/>
                          <w:marBottom w:val="60"/>
                          <w:divBdr>
                            <w:top w:val="none" w:sz="0" w:space="0" w:color="auto"/>
                            <w:left w:val="none" w:sz="0" w:space="0" w:color="auto"/>
                            <w:bottom w:val="none" w:sz="0" w:space="0" w:color="auto"/>
                            <w:right w:val="none" w:sz="0" w:space="0" w:color="auto"/>
                          </w:divBdr>
                          <w:divsChild>
                            <w:div w:id="922373133">
                              <w:marLeft w:val="0"/>
                              <w:marRight w:val="0"/>
                              <w:marTop w:val="0"/>
                              <w:marBottom w:val="0"/>
                              <w:divBdr>
                                <w:top w:val="none" w:sz="0" w:space="0" w:color="auto"/>
                                <w:left w:val="none" w:sz="0" w:space="0" w:color="auto"/>
                                <w:bottom w:val="none" w:sz="0" w:space="0" w:color="auto"/>
                                <w:right w:val="none" w:sz="0" w:space="0" w:color="auto"/>
                              </w:divBdr>
                              <w:divsChild>
                                <w:div w:id="867371320">
                                  <w:marLeft w:val="0"/>
                                  <w:marRight w:val="150"/>
                                  <w:marTop w:val="0"/>
                                  <w:marBottom w:val="0"/>
                                  <w:divBdr>
                                    <w:top w:val="none" w:sz="0" w:space="0" w:color="auto"/>
                                    <w:left w:val="none" w:sz="0" w:space="0" w:color="auto"/>
                                    <w:bottom w:val="none" w:sz="0" w:space="0" w:color="auto"/>
                                    <w:right w:val="none" w:sz="0" w:space="0" w:color="auto"/>
                                  </w:divBdr>
                                </w:div>
                                <w:div w:id="1177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6523">
                          <w:marLeft w:val="0"/>
                          <w:marRight w:val="90"/>
                          <w:marTop w:val="90"/>
                          <w:marBottom w:val="30"/>
                          <w:divBdr>
                            <w:top w:val="none" w:sz="0" w:space="0" w:color="auto"/>
                            <w:left w:val="none" w:sz="0" w:space="0" w:color="auto"/>
                            <w:bottom w:val="none" w:sz="0" w:space="0" w:color="auto"/>
                            <w:right w:val="none" w:sz="0" w:space="0" w:color="auto"/>
                          </w:divBdr>
                          <w:divsChild>
                            <w:div w:id="125589950">
                              <w:marLeft w:val="45"/>
                              <w:marRight w:val="0"/>
                              <w:marTop w:val="0"/>
                              <w:marBottom w:val="0"/>
                              <w:divBdr>
                                <w:top w:val="none" w:sz="0" w:space="0" w:color="auto"/>
                                <w:left w:val="none" w:sz="0" w:space="0" w:color="auto"/>
                                <w:bottom w:val="none" w:sz="0" w:space="0" w:color="auto"/>
                                <w:right w:val="none" w:sz="0" w:space="0" w:color="auto"/>
                              </w:divBdr>
                            </w:div>
                            <w:div w:id="458109589">
                              <w:marLeft w:val="0"/>
                              <w:marRight w:val="0"/>
                              <w:marTop w:val="0"/>
                              <w:marBottom w:val="0"/>
                              <w:divBdr>
                                <w:top w:val="none" w:sz="0" w:space="0" w:color="auto"/>
                                <w:left w:val="none" w:sz="0" w:space="0" w:color="auto"/>
                                <w:bottom w:val="none" w:sz="0" w:space="0" w:color="auto"/>
                                <w:right w:val="none" w:sz="0" w:space="0" w:color="auto"/>
                              </w:divBdr>
                              <w:divsChild>
                                <w:div w:id="2144423842">
                                  <w:marLeft w:val="0"/>
                                  <w:marRight w:val="0"/>
                                  <w:marTop w:val="0"/>
                                  <w:marBottom w:val="0"/>
                                  <w:divBdr>
                                    <w:top w:val="none" w:sz="0" w:space="0" w:color="auto"/>
                                    <w:left w:val="none" w:sz="0" w:space="0" w:color="auto"/>
                                    <w:bottom w:val="none" w:sz="0" w:space="0" w:color="auto"/>
                                    <w:right w:val="none" w:sz="0" w:space="0" w:color="auto"/>
                                  </w:divBdr>
                                  <w:divsChild>
                                    <w:div w:id="191242626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14592254">
                              <w:marLeft w:val="0"/>
                              <w:marRight w:val="30"/>
                              <w:marTop w:val="0"/>
                              <w:marBottom w:val="0"/>
                              <w:divBdr>
                                <w:top w:val="none" w:sz="0" w:space="0" w:color="auto"/>
                                <w:left w:val="none" w:sz="0" w:space="0" w:color="auto"/>
                                <w:bottom w:val="none" w:sz="0" w:space="0" w:color="auto"/>
                                <w:right w:val="none" w:sz="0" w:space="0" w:color="auto"/>
                              </w:divBdr>
                              <w:divsChild>
                                <w:div w:id="1743018850">
                                  <w:marLeft w:val="0"/>
                                  <w:marRight w:val="0"/>
                                  <w:marTop w:val="0"/>
                                  <w:marBottom w:val="0"/>
                                  <w:divBdr>
                                    <w:top w:val="none" w:sz="0" w:space="0" w:color="auto"/>
                                    <w:left w:val="none" w:sz="0" w:space="0" w:color="auto"/>
                                    <w:bottom w:val="none" w:sz="0" w:space="0" w:color="auto"/>
                                    <w:right w:val="none" w:sz="0" w:space="0" w:color="auto"/>
                                  </w:divBdr>
                                  <w:divsChild>
                                    <w:div w:id="621619392">
                                      <w:marLeft w:val="0"/>
                                      <w:marRight w:val="0"/>
                                      <w:marTop w:val="0"/>
                                      <w:marBottom w:val="0"/>
                                      <w:divBdr>
                                        <w:top w:val="none" w:sz="0" w:space="0" w:color="auto"/>
                                        <w:left w:val="none" w:sz="0" w:space="0" w:color="auto"/>
                                        <w:bottom w:val="none" w:sz="0" w:space="0" w:color="auto"/>
                                        <w:right w:val="none" w:sz="0" w:space="0" w:color="auto"/>
                                      </w:divBdr>
                                      <w:divsChild>
                                        <w:div w:id="1765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299731">
                      <w:marLeft w:val="30"/>
                      <w:marRight w:val="30"/>
                      <w:marTop w:val="0"/>
                      <w:marBottom w:val="0"/>
                      <w:divBdr>
                        <w:top w:val="none" w:sz="0" w:space="0" w:color="auto"/>
                        <w:left w:val="none" w:sz="0" w:space="0" w:color="auto"/>
                        <w:bottom w:val="none" w:sz="0" w:space="0" w:color="auto"/>
                        <w:right w:val="none" w:sz="0" w:space="0" w:color="auto"/>
                      </w:divBdr>
                      <w:divsChild>
                        <w:div w:id="792988759">
                          <w:marLeft w:val="0"/>
                          <w:marRight w:val="90"/>
                          <w:marTop w:val="90"/>
                          <w:marBottom w:val="30"/>
                          <w:divBdr>
                            <w:top w:val="none" w:sz="0" w:space="0" w:color="auto"/>
                            <w:left w:val="none" w:sz="0" w:space="0" w:color="auto"/>
                            <w:bottom w:val="none" w:sz="0" w:space="0" w:color="auto"/>
                            <w:right w:val="none" w:sz="0" w:space="0" w:color="auto"/>
                          </w:divBdr>
                          <w:divsChild>
                            <w:div w:id="599528214">
                              <w:marLeft w:val="45"/>
                              <w:marRight w:val="0"/>
                              <w:marTop w:val="0"/>
                              <w:marBottom w:val="0"/>
                              <w:divBdr>
                                <w:top w:val="none" w:sz="0" w:space="0" w:color="auto"/>
                                <w:left w:val="none" w:sz="0" w:space="0" w:color="auto"/>
                                <w:bottom w:val="none" w:sz="0" w:space="0" w:color="auto"/>
                                <w:right w:val="none" w:sz="0" w:space="0" w:color="auto"/>
                              </w:divBdr>
                            </w:div>
                            <w:div w:id="787891065">
                              <w:marLeft w:val="0"/>
                              <w:marRight w:val="30"/>
                              <w:marTop w:val="0"/>
                              <w:marBottom w:val="0"/>
                              <w:divBdr>
                                <w:top w:val="none" w:sz="0" w:space="0" w:color="auto"/>
                                <w:left w:val="none" w:sz="0" w:space="0" w:color="auto"/>
                                <w:bottom w:val="none" w:sz="0" w:space="0" w:color="auto"/>
                                <w:right w:val="none" w:sz="0" w:space="0" w:color="auto"/>
                              </w:divBdr>
                              <w:divsChild>
                                <w:div w:id="865024068">
                                  <w:marLeft w:val="0"/>
                                  <w:marRight w:val="0"/>
                                  <w:marTop w:val="0"/>
                                  <w:marBottom w:val="0"/>
                                  <w:divBdr>
                                    <w:top w:val="none" w:sz="0" w:space="0" w:color="auto"/>
                                    <w:left w:val="none" w:sz="0" w:space="0" w:color="auto"/>
                                    <w:bottom w:val="none" w:sz="0" w:space="0" w:color="auto"/>
                                    <w:right w:val="none" w:sz="0" w:space="0" w:color="auto"/>
                                  </w:divBdr>
                                  <w:divsChild>
                                    <w:div w:id="50228623">
                                      <w:marLeft w:val="0"/>
                                      <w:marRight w:val="0"/>
                                      <w:marTop w:val="0"/>
                                      <w:marBottom w:val="0"/>
                                      <w:divBdr>
                                        <w:top w:val="none" w:sz="0" w:space="0" w:color="auto"/>
                                        <w:left w:val="none" w:sz="0" w:space="0" w:color="auto"/>
                                        <w:bottom w:val="none" w:sz="0" w:space="0" w:color="auto"/>
                                        <w:right w:val="none" w:sz="0" w:space="0" w:color="auto"/>
                                      </w:divBdr>
                                      <w:divsChild>
                                        <w:div w:id="1893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6849">
                              <w:marLeft w:val="0"/>
                              <w:marRight w:val="0"/>
                              <w:marTop w:val="0"/>
                              <w:marBottom w:val="0"/>
                              <w:divBdr>
                                <w:top w:val="none" w:sz="0" w:space="0" w:color="auto"/>
                                <w:left w:val="none" w:sz="0" w:space="0" w:color="auto"/>
                                <w:bottom w:val="none" w:sz="0" w:space="0" w:color="auto"/>
                                <w:right w:val="none" w:sz="0" w:space="0" w:color="auto"/>
                              </w:divBdr>
                              <w:divsChild>
                                <w:div w:id="783235035">
                                  <w:marLeft w:val="0"/>
                                  <w:marRight w:val="0"/>
                                  <w:marTop w:val="0"/>
                                  <w:marBottom w:val="0"/>
                                  <w:divBdr>
                                    <w:top w:val="none" w:sz="0" w:space="0" w:color="auto"/>
                                    <w:left w:val="none" w:sz="0" w:space="0" w:color="auto"/>
                                    <w:bottom w:val="none" w:sz="0" w:space="0" w:color="auto"/>
                                    <w:right w:val="none" w:sz="0" w:space="0" w:color="auto"/>
                                  </w:divBdr>
                                  <w:divsChild>
                                    <w:div w:id="3331721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179664282">
                          <w:marLeft w:val="135"/>
                          <w:marRight w:val="45"/>
                          <w:marTop w:val="60"/>
                          <w:marBottom w:val="60"/>
                          <w:divBdr>
                            <w:top w:val="none" w:sz="0" w:space="0" w:color="auto"/>
                            <w:left w:val="none" w:sz="0" w:space="0" w:color="auto"/>
                            <w:bottom w:val="none" w:sz="0" w:space="0" w:color="auto"/>
                            <w:right w:val="none" w:sz="0" w:space="0" w:color="auto"/>
                          </w:divBdr>
                          <w:divsChild>
                            <w:div w:id="857818249">
                              <w:marLeft w:val="0"/>
                              <w:marRight w:val="0"/>
                              <w:marTop w:val="0"/>
                              <w:marBottom w:val="0"/>
                              <w:divBdr>
                                <w:top w:val="none" w:sz="0" w:space="0" w:color="auto"/>
                                <w:left w:val="none" w:sz="0" w:space="0" w:color="auto"/>
                                <w:bottom w:val="none" w:sz="0" w:space="0" w:color="auto"/>
                                <w:right w:val="none" w:sz="0" w:space="0" w:color="auto"/>
                              </w:divBdr>
                              <w:divsChild>
                                <w:div w:id="7969194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06077">
      <w:bodyDiv w:val="1"/>
      <w:marLeft w:val="0"/>
      <w:marRight w:val="0"/>
      <w:marTop w:val="0"/>
      <w:marBottom w:val="0"/>
      <w:divBdr>
        <w:top w:val="none" w:sz="0" w:space="0" w:color="auto"/>
        <w:left w:val="none" w:sz="0" w:space="0" w:color="auto"/>
        <w:bottom w:val="none" w:sz="0" w:space="0" w:color="auto"/>
        <w:right w:val="none" w:sz="0" w:space="0" w:color="auto"/>
      </w:divBdr>
    </w:div>
    <w:div w:id="34165302">
      <w:bodyDiv w:val="1"/>
      <w:marLeft w:val="0"/>
      <w:marRight w:val="0"/>
      <w:marTop w:val="0"/>
      <w:marBottom w:val="0"/>
      <w:divBdr>
        <w:top w:val="none" w:sz="0" w:space="0" w:color="auto"/>
        <w:left w:val="none" w:sz="0" w:space="0" w:color="auto"/>
        <w:bottom w:val="none" w:sz="0" w:space="0" w:color="auto"/>
        <w:right w:val="none" w:sz="0" w:space="0" w:color="auto"/>
      </w:divBdr>
      <w:divsChild>
        <w:div w:id="274486462">
          <w:marLeft w:val="446"/>
          <w:marRight w:val="0"/>
          <w:marTop w:val="0"/>
          <w:marBottom w:val="0"/>
          <w:divBdr>
            <w:top w:val="none" w:sz="0" w:space="0" w:color="auto"/>
            <w:left w:val="none" w:sz="0" w:space="0" w:color="auto"/>
            <w:bottom w:val="none" w:sz="0" w:space="0" w:color="auto"/>
            <w:right w:val="none" w:sz="0" w:space="0" w:color="auto"/>
          </w:divBdr>
        </w:div>
        <w:div w:id="822355345">
          <w:marLeft w:val="446"/>
          <w:marRight w:val="0"/>
          <w:marTop w:val="0"/>
          <w:marBottom w:val="0"/>
          <w:divBdr>
            <w:top w:val="none" w:sz="0" w:space="0" w:color="auto"/>
            <w:left w:val="none" w:sz="0" w:space="0" w:color="auto"/>
            <w:bottom w:val="none" w:sz="0" w:space="0" w:color="auto"/>
            <w:right w:val="none" w:sz="0" w:space="0" w:color="auto"/>
          </w:divBdr>
        </w:div>
        <w:div w:id="824322309">
          <w:marLeft w:val="446"/>
          <w:marRight w:val="0"/>
          <w:marTop w:val="0"/>
          <w:marBottom w:val="0"/>
          <w:divBdr>
            <w:top w:val="none" w:sz="0" w:space="0" w:color="auto"/>
            <w:left w:val="none" w:sz="0" w:space="0" w:color="auto"/>
            <w:bottom w:val="none" w:sz="0" w:space="0" w:color="auto"/>
            <w:right w:val="none" w:sz="0" w:space="0" w:color="auto"/>
          </w:divBdr>
        </w:div>
        <w:div w:id="866407343">
          <w:marLeft w:val="446"/>
          <w:marRight w:val="0"/>
          <w:marTop w:val="0"/>
          <w:marBottom w:val="0"/>
          <w:divBdr>
            <w:top w:val="none" w:sz="0" w:space="0" w:color="auto"/>
            <w:left w:val="none" w:sz="0" w:space="0" w:color="auto"/>
            <w:bottom w:val="none" w:sz="0" w:space="0" w:color="auto"/>
            <w:right w:val="none" w:sz="0" w:space="0" w:color="auto"/>
          </w:divBdr>
        </w:div>
        <w:div w:id="880825917">
          <w:marLeft w:val="446"/>
          <w:marRight w:val="0"/>
          <w:marTop w:val="0"/>
          <w:marBottom w:val="0"/>
          <w:divBdr>
            <w:top w:val="none" w:sz="0" w:space="0" w:color="auto"/>
            <w:left w:val="none" w:sz="0" w:space="0" w:color="auto"/>
            <w:bottom w:val="none" w:sz="0" w:space="0" w:color="auto"/>
            <w:right w:val="none" w:sz="0" w:space="0" w:color="auto"/>
          </w:divBdr>
        </w:div>
        <w:div w:id="918755632">
          <w:marLeft w:val="446"/>
          <w:marRight w:val="0"/>
          <w:marTop w:val="0"/>
          <w:marBottom w:val="0"/>
          <w:divBdr>
            <w:top w:val="none" w:sz="0" w:space="0" w:color="auto"/>
            <w:left w:val="none" w:sz="0" w:space="0" w:color="auto"/>
            <w:bottom w:val="none" w:sz="0" w:space="0" w:color="auto"/>
            <w:right w:val="none" w:sz="0" w:space="0" w:color="auto"/>
          </w:divBdr>
        </w:div>
      </w:divsChild>
    </w:div>
    <w:div w:id="41249187">
      <w:bodyDiv w:val="1"/>
      <w:marLeft w:val="0"/>
      <w:marRight w:val="0"/>
      <w:marTop w:val="0"/>
      <w:marBottom w:val="0"/>
      <w:divBdr>
        <w:top w:val="none" w:sz="0" w:space="0" w:color="auto"/>
        <w:left w:val="none" w:sz="0" w:space="0" w:color="auto"/>
        <w:bottom w:val="none" w:sz="0" w:space="0" w:color="auto"/>
        <w:right w:val="none" w:sz="0" w:space="0" w:color="auto"/>
      </w:divBdr>
    </w:div>
    <w:div w:id="43064690">
      <w:bodyDiv w:val="1"/>
      <w:marLeft w:val="0"/>
      <w:marRight w:val="0"/>
      <w:marTop w:val="0"/>
      <w:marBottom w:val="0"/>
      <w:divBdr>
        <w:top w:val="none" w:sz="0" w:space="0" w:color="auto"/>
        <w:left w:val="none" w:sz="0" w:space="0" w:color="auto"/>
        <w:bottom w:val="none" w:sz="0" w:space="0" w:color="auto"/>
        <w:right w:val="none" w:sz="0" w:space="0" w:color="auto"/>
      </w:divBdr>
      <w:divsChild>
        <w:div w:id="798493741">
          <w:marLeft w:val="0"/>
          <w:marRight w:val="0"/>
          <w:marTop w:val="0"/>
          <w:marBottom w:val="0"/>
          <w:divBdr>
            <w:top w:val="none" w:sz="0" w:space="0" w:color="auto"/>
            <w:left w:val="none" w:sz="0" w:space="0" w:color="auto"/>
            <w:bottom w:val="none" w:sz="0" w:space="0" w:color="auto"/>
            <w:right w:val="none" w:sz="0" w:space="0" w:color="auto"/>
          </w:divBdr>
          <w:divsChild>
            <w:div w:id="755636897">
              <w:marLeft w:val="210"/>
              <w:marRight w:val="0"/>
              <w:marTop w:val="120"/>
              <w:marBottom w:val="0"/>
              <w:divBdr>
                <w:top w:val="none" w:sz="0" w:space="0" w:color="auto"/>
                <w:left w:val="none" w:sz="0" w:space="0" w:color="auto"/>
                <w:bottom w:val="none" w:sz="0" w:space="0" w:color="auto"/>
                <w:right w:val="none" w:sz="0" w:space="0" w:color="auto"/>
              </w:divBdr>
              <w:divsChild>
                <w:div w:id="751778651">
                  <w:marLeft w:val="0"/>
                  <w:marRight w:val="0"/>
                  <w:marTop w:val="0"/>
                  <w:marBottom w:val="0"/>
                  <w:divBdr>
                    <w:top w:val="none" w:sz="0" w:space="0" w:color="auto"/>
                    <w:left w:val="none" w:sz="0" w:space="0" w:color="auto"/>
                    <w:bottom w:val="none" w:sz="0" w:space="0" w:color="auto"/>
                    <w:right w:val="none" w:sz="0" w:space="0" w:color="auto"/>
                  </w:divBdr>
                  <w:divsChild>
                    <w:div w:id="57667061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931623615">
          <w:marLeft w:val="0"/>
          <w:marRight w:val="0"/>
          <w:marTop w:val="0"/>
          <w:marBottom w:val="0"/>
          <w:divBdr>
            <w:top w:val="none" w:sz="0" w:space="0" w:color="auto"/>
            <w:left w:val="none" w:sz="0" w:space="0" w:color="auto"/>
            <w:bottom w:val="none" w:sz="0" w:space="0" w:color="auto"/>
            <w:right w:val="none" w:sz="0" w:space="0" w:color="auto"/>
          </w:divBdr>
          <w:divsChild>
            <w:div w:id="96220433">
              <w:marLeft w:val="0"/>
              <w:marRight w:val="0"/>
              <w:marTop w:val="0"/>
              <w:marBottom w:val="0"/>
              <w:divBdr>
                <w:top w:val="none" w:sz="0" w:space="0" w:color="auto"/>
                <w:left w:val="none" w:sz="0" w:space="0" w:color="auto"/>
                <w:bottom w:val="none" w:sz="0" w:space="0" w:color="auto"/>
                <w:right w:val="none" w:sz="0" w:space="0" w:color="auto"/>
              </w:divBdr>
              <w:divsChild>
                <w:div w:id="1904023817">
                  <w:marLeft w:val="0"/>
                  <w:marRight w:val="0"/>
                  <w:marTop w:val="0"/>
                  <w:marBottom w:val="0"/>
                  <w:divBdr>
                    <w:top w:val="none" w:sz="0" w:space="0" w:color="auto"/>
                    <w:left w:val="none" w:sz="0" w:space="0" w:color="auto"/>
                    <w:bottom w:val="none" w:sz="0" w:space="0" w:color="auto"/>
                    <w:right w:val="none" w:sz="0" w:space="0" w:color="auto"/>
                  </w:divBdr>
                  <w:divsChild>
                    <w:div w:id="1042905563">
                      <w:marLeft w:val="30"/>
                      <w:marRight w:val="30"/>
                      <w:marTop w:val="0"/>
                      <w:marBottom w:val="0"/>
                      <w:divBdr>
                        <w:top w:val="none" w:sz="0" w:space="0" w:color="auto"/>
                        <w:left w:val="none" w:sz="0" w:space="0" w:color="auto"/>
                        <w:bottom w:val="none" w:sz="0" w:space="0" w:color="auto"/>
                        <w:right w:val="none" w:sz="0" w:space="0" w:color="auto"/>
                      </w:divBdr>
                      <w:divsChild>
                        <w:div w:id="1304772297">
                          <w:marLeft w:val="180"/>
                          <w:marRight w:val="210"/>
                          <w:marTop w:val="0"/>
                          <w:marBottom w:val="30"/>
                          <w:divBdr>
                            <w:top w:val="none" w:sz="0" w:space="0" w:color="auto"/>
                            <w:left w:val="none" w:sz="0" w:space="0" w:color="auto"/>
                            <w:bottom w:val="none" w:sz="0" w:space="0" w:color="auto"/>
                            <w:right w:val="none" w:sz="0" w:space="0" w:color="auto"/>
                          </w:divBdr>
                          <w:divsChild>
                            <w:div w:id="86930395">
                              <w:marLeft w:val="45"/>
                              <w:marRight w:val="0"/>
                              <w:marTop w:val="0"/>
                              <w:marBottom w:val="0"/>
                              <w:divBdr>
                                <w:top w:val="none" w:sz="0" w:space="0" w:color="auto"/>
                                <w:left w:val="none" w:sz="0" w:space="0" w:color="auto"/>
                                <w:bottom w:val="none" w:sz="0" w:space="0" w:color="auto"/>
                                <w:right w:val="none" w:sz="0" w:space="0" w:color="auto"/>
                              </w:divBdr>
                            </w:div>
                            <w:div w:id="996305030">
                              <w:marLeft w:val="0"/>
                              <w:marRight w:val="30"/>
                              <w:marTop w:val="0"/>
                              <w:marBottom w:val="0"/>
                              <w:divBdr>
                                <w:top w:val="none" w:sz="0" w:space="0" w:color="auto"/>
                                <w:left w:val="none" w:sz="0" w:space="0" w:color="auto"/>
                                <w:bottom w:val="none" w:sz="0" w:space="0" w:color="auto"/>
                                <w:right w:val="none" w:sz="0" w:space="0" w:color="auto"/>
                              </w:divBdr>
                              <w:divsChild>
                                <w:div w:id="1875655852">
                                  <w:marLeft w:val="0"/>
                                  <w:marRight w:val="0"/>
                                  <w:marTop w:val="0"/>
                                  <w:marBottom w:val="0"/>
                                  <w:divBdr>
                                    <w:top w:val="none" w:sz="0" w:space="0" w:color="auto"/>
                                    <w:left w:val="none" w:sz="0" w:space="0" w:color="auto"/>
                                    <w:bottom w:val="none" w:sz="0" w:space="0" w:color="auto"/>
                                    <w:right w:val="none" w:sz="0" w:space="0" w:color="auto"/>
                                  </w:divBdr>
                                  <w:divsChild>
                                    <w:div w:id="1941988045">
                                      <w:marLeft w:val="0"/>
                                      <w:marRight w:val="0"/>
                                      <w:marTop w:val="0"/>
                                      <w:marBottom w:val="0"/>
                                      <w:divBdr>
                                        <w:top w:val="none" w:sz="0" w:space="0" w:color="auto"/>
                                        <w:left w:val="none" w:sz="0" w:space="0" w:color="auto"/>
                                        <w:bottom w:val="none" w:sz="0" w:space="0" w:color="auto"/>
                                        <w:right w:val="none" w:sz="0" w:space="0" w:color="auto"/>
                                      </w:divBdr>
                                      <w:divsChild>
                                        <w:div w:id="627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47557">
      <w:bodyDiv w:val="1"/>
      <w:marLeft w:val="0"/>
      <w:marRight w:val="0"/>
      <w:marTop w:val="0"/>
      <w:marBottom w:val="0"/>
      <w:divBdr>
        <w:top w:val="none" w:sz="0" w:space="0" w:color="auto"/>
        <w:left w:val="none" w:sz="0" w:space="0" w:color="auto"/>
        <w:bottom w:val="none" w:sz="0" w:space="0" w:color="auto"/>
        <w:right w:val="none" w:sz="0" w:space="0" w:color="auto"/>
      </w:divBdr>
      <w:divsChild>
        <w:div w:id="26222220">
          <w:marLeft w:val="0"/>
          <w:marRight w:val="0"/>
          <w:marTop w:val="0"/>
          <w:marBottom w:val="0"/>
          <w:divBdr>
            <w:top w:val="none" w:sz="0" w:space="0" w:color="auto"/>
            <w:left w:val="none" w:sz="0" w:space="0" w:color="auto"/>
            <w:bottom w:val="none" w:sz="0" w:space="0" w:color="auto"/>
            <w:right w:val="none" w:sz="0" w:space="0" w:color="auto"/>
          </w:divBdr>
          <w:divsChild>
            <w:div w:id="916094961">
              <w:marLeft w:val="0"/>
              <w:marRight w:val="0"/>
              <w:marTop w:val="0"/>
              <w:marBottom w:val="0"/>
              <w:divBdr>
                <w:top w:val="none" w:sz="0" w:space="0" w:color="auto"/>
                <w:left w:val="none" w:sz="0" w:space="0" w:color="auto"/>
                <w:bottom w:val="none" w:sz="0" w:space="0" w:color="auto"/>
                <w:right w:val="none" w:sz="0" w:space="0" w:color="auto"/>
              </w:divBdr>
              <w:divsChild>
                <w:div w:id="640423345">
                  <w:marLeft w:val="0"/>
                  <w:marRight w:val="0"/>
                  <w:marTop w:val="0"/>
                  <w:marBottom w:val="0"/>
                  <w:divBdr>
                    <w:top w:val="none" w:sz="0" w:space="0" w:color="auto"/>
                    <w:left w:val="none" w:sz="0" w:space="0" w:color="auto"/>
                    <w:bottom w:val="none" w:sz="0" w:space="0" w:color="auto"/>
                    <w:right w:val="none" w:sz="0" w:space="0" w:color="auto"/>
                  </w:divBdr>
                  <w:divsChild>
                    <w:div w:id="461193608">
                      <w:marLeft w:val="30"/>
                      <w:marRight w:val="30"/>
                      <w:marTop w:val="0"/>
                      <w:marBottom w:val="0"/>
                      <w:divBdr>
                        <w:top w:val="none" w:sz="0" w:space="0" w:color="auto"/>
                        <w:left w:val="none" w:sz="0" w:space="0" w:color="auto"/>
                        <w:bottom w:val="none" w:sz="0" w:space="0" w:color="auto"/>
                        <w:right w:val="none" w:sz="0" w:space="0" w:color="auto"/>
                      </w:divBdr>
                      <w:divsChild>
                        <w:div w:id="895898233">
                          <w:marLeft w:val="180"/>
                          <w:marRight w:val="210"/>
                          <w:marTop w:val="0"/>
                          <w:marBottom w:val="30"/>
                          <w:divBdr>
                            <w:top w:val="none" w:sz="0" w:space="0" w:color="auto"/>
                            <w:left w:val="none" w:sz="0" w:space="0" w:color="auto"/>
                            <w:bottom w:val="none" w:sz="0" w:space="0" w:color="auto"/>
                            <w:right w:val="none" w:sz="0" w:space="0" w:color="auto"/>
                          </w:divBdr>
                          <w:divsChild>
                            <w:div w:id="635337594">
                              <w:marLeft w:val="0"/>
                              <w:marRight w:val="30"/>
                              <w:marTop w:val="0"/>
                              <w:marBottom w:val="0"/>
                              <w:divBdr>
                                <w:top w:val="none" w:sz="0" w:space="0" w:color="auto"/>
                                <w:left w:val="none" w:sz="0" w:space="0" w:color="auto"/>
                                <w:bottom w:val="none" w:sz="0" w:space="0" w:color="auto"/>
                                <w:right w:val="none" w:sz="0" w:space="0" w:color="auto"/>
                              </w:divBdr>
                              <w:divsChild>
                                <w:div w:id="1254897615">
                                  <w:marLeft w:val="0"/>
                                  <w:marRight w:val="0"/>
                                  <w:marTop w:val="0"/>
                                  <w:marBottom w:val="0"/>
                                  <w:divBdr>
                                    <w:top w:val="none" w:sz="0" w:space="0" w:color="auto"/>
                                    <w:left w:val="none" w:sz="0" w:space="0" w:color="auto"/>
                                    <w:bottom w:val="none" w:sz="0" w:space="0" w:color="auto"/>
                                    <w:right w:val="none" w:sz="0" w:space="0" w:color="auto"/>
                                  </w:divBdr>
                                  <w:divsChild>
                                    <w:div w:id="12000273">
                                      <w:marLeft w:val="0"/>
                                      <w:marRight w:val="0"/>
                                      <w:marTop w:val="0"/>
                                      <w:marBottom w:val="0"/>
                                      <w:divBdr>
                                        <w:top w:val="none" w:sz="0" w:space="0" w:color="auto"/>
                                        <w:left w:val="none" w:sz="0" w:space="0" w:color="auto"/>
                                        <w:bottom w:val="none" w:sz="0" w:space="0" w:color="auto"/>
                                        <w:right w:val="none" w:sz="0" w:space="0" w:color="auto"/>
                                      </w:divBdr>
                                      <w:divsChild>
                                        <w:div w:id="138170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91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98623">
          <w:marLeft w:val="0"/>
          <w:marRight w:val="0"/>
          <w:marTop w:val="0"/>
          <w:marBottom w:val="0"/>
          <w:divBdr>
            <w:top w:val="none" w:sz="0" w:space="0" w:color="auto"/>
            <w:left w:val="none" w:sz="0" w:space="0" w:color="auto"/>
            <w:bottom w:val="none" w:sz="0" w:space="0" w:color="auto"/>
            <w:right w:val="none" w:sz="0" w:space="0" w:color="auto"/>
          </w:divBdr>
          <w:divsChild>
            <w:div w:id="2035421371">
              <w:marLeft w:val="210"/>
              <w:marRight w:val="0"/>
              <w:marTop w:val="120"/>
              <w:marBottom w:val="0"/>
              <w:divBdr>
                <w:top w:val="none" w:sz="0" w:space="0" w:color="auto"/>
                <w:left w:val="none" w:sz="0" w:space="0" w:color="auto"/>
                <w:bottom w:val="none" w:sz="0" w:space="0" w:color="auto"/>
                <w:right w:val="none" w:sz="0" w:space="0" w:color="auto"/>
              </w:divBdr>
              <w:divsChild>
                <w:div w:id="1328901754">
                  <w:marLeft w:val="0"/>
                  <w:marRight w:val="0"/>
                  <w:marTop w:val="0"/>
                  <w:marBottom w:val="0"/>
                  <w:divBdr>
                    <w:top w:val="none" w:sz="0" w:space="0" w:color="auto"/>
                    <w:left w:val="none" w:sz="0" w:space="0" w:color="auto"/>
                    <w:bottom w:val="none" w:sz="0" w:space="0" w:color="auto"/>
                    <w:right w:val="none" w:sz="0" w:space="0" w:color="auto"/>
                  </w:divBdr>
                  <w:divsChild>
                    <w:div w:id="212426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67313095">
      <w:bodyDiv w:val="1"/>
      <w:marLeft w:val="0"/>
      <w:marRight w:val="0"/>
      <w:marTop w:val="0"/>
      <w:marBottom w:val="0"/>
      <w:divBdr>
        <w:top w:val="none" w:sz="0" w:space="0" w:color="auto"/>
        <w:left w:val="none" w:sz="0" w:space="0" w:color="auto"/>
        <w:bottom w:val="none" w:sz="0" w:space="0" w:color="auto"/>
        <w:right w:val="none" w:sz="0" w:space="0" w:color="auto"/>
      </w:divBdr>
    </w:div>
    <w:div w:id="78720450">
      <w:bodyDiv w:val="1"/>
      <w:marLeft w:val="0"/>
      <w:marRight w:val="0"/>
      <w:marTop w:val="0"/>
      <w:marBottom w:val="0"/>
      <w:divBdr>
        <w:top w:val="none" w:sz="0" w:space="0" w:color="auto"/>
        <w:left w:val="none" w:sz="0" w:space="0" w:color="auto"/>
        <w:bottom w:val="none" w:sz="0" w:space="0" w:color="auto"/>
        <w:right w:val="none" w:sz="0" w:space="0" w:color="auto"/>
      </w:divBdr>
    </w:div>
    <w:div w:id="89544913">
      <w:bodyDiv w:val="1"/>
      <w:marLeft w:val="0"/>
      <w:marRight w:val="0"/>
      <w:marTop w:val="0"/>
      <w:marBottom w:val="0"/>
      <w:divBdr>
        <w:top w:val="none" w:sz="0" w:space="0" w:color="auto"/>
        <w:left w:val="none" w:sz="0" w:space="0" w:color="auto"/>
        <w:bottom w:val="none" w:sz="0" w:space="0" w:color="auto"/>
        <w:right w:val="none" w:sz="0" w:space="0" w:color="auto"/>
      </w:divBdr>
    </w:div>
    <w:div w:id="104086027">
      <w:bodyDiv w:val="1"/>
      <w:marLeft w:val="0"/>
      <w:marRight w:val="0"/>
      <w:marTop w:val="0"/>
      <w:marBottom w:val="0"/>
      <w:divBdr>
        <w:top w:val="none" w:sz="0" w:space="0" w:color="auto"/>
        <w:left w:val="none" w:sz="0" w:space="0" w:color="auto"/>
        <w:bottom w:val="none" w:sz="0" w:space="0" w:color="auto"/>
        <w:right w:val="none" w:sz="0" w:space="0" w:color="auto"/>
      </w:divBdr>
    </w:div>
    <w:div w:id="105197441">
      <w:bodyDiv w:val="1"/>
      <w:marLeft w:val="0"/>
      <w:marRight w:val="0"/>
      <w:marTop w:val="0"/>
      <w:marBottom w:val="0"/>
      <w:divBdr>
        <w:top w:val="none" w:sz="0" w:space="0" w:color="auto"/>
        <w:left w:val="none" w:sz="0" w:space="0" w:color="auto"/>
        <w:bottom w:val="none" w:sz="0" w:space="0" w:color="auto"/>
        <w:right w:val="none" w:sz="0" w:space="0" w:color="auto"/>
      </w:divBdr>
      <w:divsChild>
        <w:div w:id="1051002908">
          <w:marLeft w:val="547"/>
          <w:marRight w:val="0"/>
          <w:marTop w:val="0"/>
          <w:marBottom w:val="0"/>
          <w:divBdr>
            <w:top w:val="none" w:sz="0" w:space="0" w:color="auto"/>
            <w:left w:val="none" w:sz="0" w:space="0" w:color="auto"/>
            <w:bottom w:val="none" w:sz="0" w:space="0" w:color="auto"/>
            <w:right w:val="none" w:sz="0" w:space="0" w:color="auto"/>
          </w:divBdr>
        </w:div>
        <w:div w:id="1271546951">
          <w:marLeft w:val="1397"/>
          <w:marRight w:val="0"/>
          <w:marTop w:val="0"/>
          <w:marBottom w:val="0"/>
          <w:divBdr>
            <w:top w:val="none" w:sz="0" w:space="0" w:color="auto"/>
            <w:left w:val="none" w:sz="0" w:space="0" w:color="auto"/>
            <w:bottom w:val="none" w:sz="0" w:space="0" w:color="auto"/>
            <w:right w:val="none" w:sz="0" w:space="0" w:color="auto"/>
          </w:divBdr>
        </w:div>
        <w:div w:id="1762068270">
          <w:marLeft w:val="547"/>
          <w:marRight w:val="0"/>
          <w:marTop w:val="0"/>
          <w:marBottom w:val="0"/>
          <w:divBdr>
            <w:top w:val="none" w:sz="0" w:space="0" w:color="auto"/>
            <w:left w:val="none" w:sz="0" w:space="0" w:color="auto"/>
            <w:bottom w:val="none" w:sz="0" w:space="0" w:color="auto"/>
            <w:right w:val="none" w:sz="0" w:space="0" w:color="auto"/>
          </w:divBdr>
        </w:div>
      </w:divsChild>
    </w:div>
    <w:div w:id="108085632">
      <w:bodyDiv w:val="1"/>
      <w:marLeft w:val="0"/>
      <w:marRight w:val="0"/>
      <w:marTop w:val="0"/>
      <w:marBottom w:val="0"/>
      <w:divBdr>
        <w:top w:val="none" w:sz="0" w:space="0" w:color="auto"/>
        <w:left w:val="none" w:sz="0" w:space="0" w:color="auto"/>
        <w:bottom w:val="none" w:sz="0" w:space="0" w:color="auto"/>
        <w:right w:val="none" w:sz="0" w:space="0" w:color="auto"/>
      </w:divBdr>
    </w:div>
    <w:div w:id="132984786">
      <w:bodyDiv w:val="1"/>
      <w:marLeft w:val="0"/>
      <w:marRight w:val="0"/>
      <w:marTop w:val="0"/>
      <w:marBottom w:val="0"/>
      <w:divBdr>
        <w:top w:val="none" w:sz="0" w:space="0" w:color="auto"/>
        <w:left w:val="none" w:sz="0" w:space="0" w:color="auto"/>
        <w:bottom w:val="none" w:sz="0" w:space="0" w:color="auto"/>
        <w:right w:val="none" w:sz="0" w:space="0" w:color="auto"/>
      </w:divBdr>
    </w:div>
    <w:div w:id="133835997">
      <w:bodyDiv w:val="1"/>
      <w:marLeft w:val="0"/>
      <w:marRight w:val="0"/>
      <w:marTop w:val="0"/>
      <w:marBottom w:val="0"/>
      <w:divBdr>
        <w:top w:val="none" w:sz="0" w:space="0" w:color="auto"/>
        <w:left w:val="none" w:sz="0" w:space="0" w:color="auto"/>
        <w:bottom w:val="none" w:sz="0" w:space="0" w:color="auto"/>
        <w:right w:val="none" w:sz="0" w:space="0" w:color="auto"/>
      </w:divBdr>
      <w:divsChild>
        <w:div w:id="99304907">
          <w:marLeft w:val="0"/>
          <w:marRight w:val="0"/>
          <w:marTop w:val="0"/>
          <w:marBottom w:val="0"/>
          <w:divBdr>
            <w:top w:val="none" w:sz="0" w:space="0" w:color="auto"/>
            <w:left w:val="none" w:sz="0" w:space="0" w:color="auto"/>
            <w:bottom w:val="none" w:sz="0" w:space="0" w:color="auto"/>
            <w:right w:val="none" w:sz="0" w:space="0" w:color="auto"/>
          </w:divBdr>
          <w:divsChild>
            <w:div w:id="1285962239">
              <w:marLeft w:val="0"/>
              <w:marRight w:val="0"/>
              <w:marTop w:val="0"/>
              <w:marBottom w:val="0"/>
              <w:divBdr>
                <w:top w:val="none" w:sz="0" w:space="0" w:color="auto"/>
                <w:left w:val="none" w:sz="0" w:space="0" w:color="auto"/>
                <w:bottom w:val="none" w:sz="0" w:space="0" w:color="auto"/>
                <w:right w:val="none" w:sz="0" w:space="0" w:color="auto"/>
              </w:divBdr>
              <w:divsChild>
                <w:div w:id="342240865">
                  <w:marLeft w:val="0"/>
                  <w:marRight w:val="0"/>
                  <w:marTop w:val="0"/>
                  <w:marBottom w:val="0"/>
                  <w:divBdr>
                    <w:top w:val="none" w:sz="0" w:space="0" w:color="auto"/>
                    <w:left w:val="none" w:sz="0" w:space="0" w:color="auto"/>
                    <w:bottom w:val="none" w:sz="0" w:space="0" w:color="auto"/>
                    <w:right w:val="none" w:sz="0" w:space="0" w:color="auto"/>
                  </w:divBdr>
                  <w:divsChild>
                    <w:div w:id="1430199035">
                      <w:marLeft w:val="0"/>
                      <w:marRight w:val="0"/>
                      <w:marTop w:val="0"/>
                      <w:marBottom w:val="0"/>
                      <w:divBdr>
                        <w:top w:val="none" w:sz="0" w:space="0" w:color="auto"/>
                        <w:left w:val="none" w:sz="0" w:space="0" w:color="auto"/>
                        <w:bottom w:val="none" w:sz="0" w:space="0" w:color="auto"/>
                        <w:right w:val="none" w:sz="0" w:space="0" w:color="auto"/>
                      </w:divBdr>
                      <w:divsChild>
                        <w:div w:id="1794639407">
                          <w:marLeft w:val="0"/>
                          <w:marRight w:val="0"/>
                          <w:marTop w:val="0"/>
                          <w:marBottom w:val="0"/>
                          <w:divBdr>
                            <w:top w:val="none" w:sz="0" w:space="0" w:color="auto"/>
                            <w:left w:val="none" w:sz="0" w:space="0" w:color="auto"/>
                            <w:bottom w:val="none" w:sz="0" w:space="0" w:color="auto"/>
                            <w:right w:val="none" w:sz="0" w:space="0" w:color="auto"/>
                          </w:divBdr>
                          <w:divsChild>
                            <w:div w:id="1652977317">
                              <w:marLeft w:val="0"/>
                              <w:marRight w:val="0"/>
                              <w:marTop w:val="0"/>
                              <w:marBottom w:val="0"/>
                              <w:divBdr>
                                <w:top w:val="none" w:sz="0" w:space="0" w:color="auto"/>
                                <w:left w:val="none" w:sz="0" w:space="0" w:color="auto"/>
                                <w:bottom w:val="none" w:sz="0" w:space="0" w:color="auto"/>
                                <w:right w:val="none" w:sz="0" w:space="0" w:color="auto"/>
                              </w:divBdr>
                              <w:divsChild>
                                <w:div w:id="2043093093">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41195425">
      <w:bodyDiv w:val="1"/>
      <w:marLeft w:val="0"/>
      <w:marRight w:val="0"/>
      <w:marTop w:val="0"/>
      <w:marBottom w:val="0"/>
      <w:divBdr>
        <w:top w:val="none" w:sz="0" w:space="0" w:color="auto"/>
        <w:left w:val="none" w:sz="0" w:space="0" w:color="auto"/>
        <w:bottom w:val="none" w:sz="0" w:space="0" w:color="auto"/>
        <w:right w:val="none" w:sz="0" w:space="0" w:color="auto"/>
      </w:divBdr>
    </w:div>
    <w:div w:id="148787290">
      <w:bodyDiv w:val="1"/>
      <w:marLeft w:val="0"/>
      <w:marRight w:val="0"/>
      <w:marTop w:val="0"/>
      <w:marBottom w:val="0"/>
      <w:divBdr>
        <w:top w:val="none" w:sz="0" w:space="0" w:color="auto"/>
        <w:left w:val="none" w:sz="0" w:space="0" w:color="auto"/>
        <w:bottom w:val="none" w:sz="0" w:space="0" w:color="auto"/>
        <w:right w:val="none" w:sz="0" w:space="0" w:color="auto"/>
      </w:divBdr>
    </w:div>
    <w:div w:id="159390602">
      <w:bodyDiv w:val="1"/>
      <w:marLeft w:val="0"/>
      <w:marRight w:val="0"/>
      <w:marTop w:val="0"/>
      <w:marBottom w:val="0"/>
      <w:divBdr>
        <w:top w:val="none" w:sz="0" w:space="0" w:color="auto"/>
        <w:left w:val="none" w:sz="0" w:space="0" w:color="auto"/>
        <w:bottom w:val="none" w:sz="0" w:space="0" w:color="auto"/>
        <w:right w:val="none" w:sz="0" w:space="0" w:color="auto"/>
      </w:divBdr>
      <w:divsChild>
        <w:div w:id="749428388">
          <w:marLeft w:val="0"/>
          <w:marRight w:val="0"/>
          <w:marTop w:val="0"/>
          <w:marBottom w:val="0"/>
          <w:divBdr>
            <w:top w:val="none" w:sz="0" w:space="0" w:color="auto"/>
            <w:left w:val="none" w:sz="0" w:space="0" w:color="auto"/>
            <w:bottom w:val="none" w:sz="0" w:space="0" w:color="auto"/>
            <w:right w:val="none" w:sz="0" w:space="0" w:color="auto"/>
          </w:divBdr>
          <w:divsChild>
            <w:div w:id="1362170572">
              <w:marLeft w:val="210"/>
              <w:marRight w:val="0"/>
              <w:marTop w:val="120"/>
              <w:marBottom w:val="0"/>
              <w:divBdr>
                <w:top w:val="none" w:sz="0" w:space="0" w:color="auto"/>
                <w:left w:val="none" w:sz="0" w:space="0" w:color="auto"/>
                <w:bottom w:val="none" w:sz="0" w:space="0" w:color="auto"/>
                <w:right w:val="none" w:sz="0" w:space="0" w:color="auto"/>
              </w:divBdr>
              <w:divsChild>
                <w:div w:id="1435053892">
                  <w:marLeft w:val="0"/>
                  <w:marRight w:val="0"/>
                  <w:marTop w:val="0"/>
                  <w:marBottom w:val="0"/>
                  <w:divBdr>
                    <w:top w:val="none" w:sz="0" w:space="0" w:color="auto"/>
                    <w:left w:val="none" w:sz="0" w:space="0" w:color="auto"/>
                    <w:bottom w:val="none" w:sz="0" w:space="0" w:color="auto"/>
                    <w:right w:val="none" w:sz="0" w:space="0" w:color="auto"/>
                  </w:divBdr>
                  <w:divsChild>
                    <w:div w:id="208352350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192494064">
          <w:marLeft w:val="0"/>
          <w:marRight w:val="0"/>
          <w:marTop w:val="0"/>
          <w:marBottom w:val="0"/>
          <w:divBdr>
            <w:top w:val="none" w:sz="0" w:space="0" w:color="auto"/>
            <w:left w:val="none" w:sz="0" w:space="0" w:color="auto"/>
            <w:bottom w:val="none" w:sz="0" w:space="0" w:color="auto"/>
            <w:right w:val="none" w:sz="0" w:space="0" w:color="auto"/>
          </w:divBdr>
          <w:divsChild>
            <w:div w:id="1761371255">
              <w:marLeft w:val="0"/>
              <w:marRight w:val="0"/>
              <w:marTop w:val="0"/>
              <w:marBottom w:val="0"/>
              <w:divBdr>
                <w:top w:val="none" w:sz="0" w:space="0" w:color="auto"/>
                <w:left w:val="none" w:sz="0" w:space="0" w:color="auto"/>
                <w:bottom w:val="none" w:sz="0" w:space="0" w:color="auto"/>
                <w:right w:val="none" w:sz="0" w:space="0" w:color="auto"/>
              </w:divBdr>
              <w:divsChild>
                <w:div w:id="223225321">
                  <w:marLeft w:val="0"/>
                  <w:marRight w:val="0"/>
                  <w:marTop w:val="0"/>
                  <w:marBottom w:val="0"/>
                  <w:divBdr>
                    <w:top w:val="none" w:sz="0" w:space="0" w:color="auto"/>
                    <w:left w:val="none" w:sz="0" w:space="0" w:color="auto"/>
                    <w:bottom w:val="none" w:sz="0" w:space="0" w:color="auto"/>
                    <w:right w:val="none" w:sz="0" w:space="0" w:color="auto"/>
                  </w:divBdr>
                  <w:divsChild>
                    <w:div w:id="568004025">
                      <w:marLeft w:val="30"/>
                      <w:marRight w:val="30"/>
                      <w:marTop w:val="0"/>
                      <w:marBottom w:val="0"/>
                      <w:divBdr>
                        <w:top w:val="none" w:sz="0" w:space="0" w:color="auto"/>
                        <w:left w:val="none" w:sz="0" w:space="0" w:color="auto"/>
                        <w:bottom w:val="none" w:sz="0" w:space="0" w:color="auto"/>
                        <w:right w:val="none" w:sz="0" w:space="0" w:color="auto"/>
                      </w:divBdr>
                      <w:divsChild>
                        <w:div w:id="995492341">
                          <w:marLeft w:val="180"/>
                          <w:marRight w:val="210"/>
                          <w:marTop w:val="0"/>
                          <w:marBottom w:val="30"/>
                          <w:divBdr>
                            <w:top w:val="none" w:sz="0" w:space="0" w:color="auto"/>
                            <w:left w:val="none" w:sz="0" w:space="0" w:color="auto"/>
                            <w:bottom w:val="none" w:sz="0" w:space="0" w:color="auto"/>
                            <w:right w:val="none" w:sz="0" w:space="0" w:color="auto"/>
                          </w:divBdr>
                          <w:divsChild>
                            <w:div w:id="56631056">
                              <w:marLeft w:val="45"/>
                              <w:marRight w:val="0"/>
                              <w:marTop w:val="0"/>
                              <w:marBottom w:val="0"/>
                              <w:divBdr>
                                <w:top w:val="none" w:sz="0" w:space="0" w:color="auto"/>
                                <w:left w:val="none" w:sz="0" w:space="0" w:color="auto"/>
                                <w:bottom w:val="none" w:sz="0" w:space="0" w:color="auto"/>
                                <w:right w:val="none" w:sz="0" w:space="0" w:color="auto"/>
                              </w:divBdr>
                            </w:div>
                            <w:div w:id="1089303236">
                              <w:marLeft w:val="0"/>
                              <w:marRight w:val="30"/>
                              <w:marTop w:val="0"/>
                              <w:marBottom w:val="0"/>
                              <w:divBdr>
                                <w:top w:val="none" w:sz="0" w:space="0" w:color="auto"/>
                                <w:left w:val="none" w:sz="0" w:space="0" w:color="auto"/>
                                <w:bottom w:val="none" w:sz="0" w:space="0" w:color="auto"/>
                                <w:right w:val="none" w:sz="0" w:space="0" w:color="auto"/>
                              </w:divBdr>
                              <w:divsChild>
                                <w:div w:id="1193768933">
                                  <w:marLeft w:val="0"/>
                                  <w:marRight w:val="0"/>
                                  <w:marTop w:val="0"/>
                                  <w:marBottom w:val="0"/>
                                  <w:divBdr>
                                    <w:top w:val="none" w:sz="0" w:space="0" w:color="auto"/>
                                    <w:left w:val="none" w:sz="0" w:space="0" w:color="auto"/>
                                    <w:bottom w:val="none" w:sz="0" w:space="0" w:color="auto"/>
                                    <w:right w:val="none" w:sz="0" w:space="0" w:color="auto"/>
                                  </w:divBdr>
                                  <w:divsChild>
                                    <w:div w:id="1599871914">
                                      <w:marLeft w:val="0"/>
                                      <w:marRight w:val="0"/>
                                      <w:marTop w:val="0"/>
                                      <w:marBottom w:val="0"/>
                                      <w:divBdr>
                                        <w:top w:val="none" w:sz="0" w:space="0" w:color="auto"/>
                                        <w:left w:val="none" w:sz="0" w:space="0" w:color="auto"/>
                                        <w:bottom w:val="none" w:sz="0" w:space="0" w:color="auto"/>
                                        <w:right w:val="none" w:sz="0" w:space="0" w:color="auto"/>
                                      </w:divBdr>
                                      <w:divsChild>
                                        <w:div w:id="16517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10229">
      <w:bodyDiv w:val="1"/>
      <w:marLeft w:val="0"/>
      <w:marRight w:val="0"/>
      <w:marTop w:val="0"/>
      <w:marBottom w:val="0"/>
      <w:divBdr>
        <w:top w:val="none" w:sz="0" w:space="0" w:color="auto"/>
        <w:left w:val="none" w:sz="0" w:space="0" w:color="auto"/>
        <w:bottom w:val="none" w:sz="0" w:space="0" w:color="auto"/>
        <w:right w:val="none" w:sz="0" w:space="0" w:color="auto"/>
      </w:divBdr>
    </w:div>
    <w:div w:id="166362383">
      <w:bodyDiv w:val="1"/>
      <w:marLeft w:val="0"/>
      <w:marRight w:val="0"/>
      <w:marTop w:val="0"/>
      <w:marBottom w:val="0"/>
      <w:divBdr>
        <w:top w:val="none" w:sz="0" w:space="0" w:color="auto"/>
        <w:left w:val="none" w:sz="0" w:space="0" w:color="auto"/>
        <w:bottom w:val="none" w:sz="0" w:space="0" w:color="auto"/>
        <w:right w:val="none" w:sz="0" w:space="0" w:color="auto"/>
      </w:divBdr>
      <w:divsChild>
        <w:div w:id="924269582">
          <w:marLeft w:val="0"/>
          <w:marRight w:val="0"/>
          <w:marTop w:val="0"/>
          <w:marBottom w:val="0"/>
          <w:divBdr>
            <w:top w:val="none" w:sz="0" w:space="0" w:color="auto"/>
            <w:left w:val="none" w:sz="0" w:space="0" w:color="auto"/>
            <w:bottom w:val="none" w:sz="0" w:space="0" w:color="auto"/>
            <w:right w:val="none" w:sz="0" w:space="0" w:color="auto"/>
          </w:divBdr>
          <w:divsChild>
            <w:div w:id="1342777391">
              <w:marLeft w:val="0"/>
              <w:marRight w:val="0"/>
              <w:marTop w:val="0"/>
              <w:marBottom w:val="0"/>
              <w:divBdr>
                <w:top w:val="none" w:sz="0" w:space="0" w:color="auto"/>
                <w:left w:val="none" w:sz="0" w:space="0" w:color="auto"/>
                <w:bottom w:val="none" w:sz="0" w:space="0" w:color="auto"/>
                <w:right w:val="none" w:sz="0" w:space="0" w:color="auto"/>
              </w:divBdr>
              <w:divsChild>
                <w:div w:id="1663653913">
                  <w:marLeft w:val="0"/>
                  <w:marRight w:val="0"/>
                  <w:marTop w:val="0"/>
                  <w:marBottom w:val="0"/>
                  <w:divBdr>
                    <w:top w:val="none" w:sz="0" w:space="0" w:color="auto"/>
                    <w:left w:val="none" w:sz="0" w:space="0" w:color="auto"/>
                    <w:bottom w:val="none" w:sz="0" w:space="0" w:color="auto"/>
                    <w:right w:val="none" w:sz="0" w:space="0" w:color="auto"/>
                  </w:divBdr>
                  <w:divsChild>
                    <w:div w:id="589583211">
                      <w:marLeft w:val="0"/>
                      <w:marRight w:val="0"/>
                      <w:marTop w:val="0"/>
                      <w:marBottom w:val="0"/>
                      <w:divBdr>
                        <w:top w:val="none" w:sz="0" w:space="0" w:color="auto"/>
                        <w:left w:val="none" w:sz="0" w:space="0" w:color="auto"/>
                        <w:bottom w:val="none" w:sz="0" w:space="0" w:color="auto"/>
                        <w:right w:val="none" w:sz="0" w:space="0" w:color="auto"/>
                      </w:divBdr>
                      <w:divsChild>
                        <w:div w:id="2071884625">
                          <w:marLeft w:val="0"/>
                          <w:marRight w:val="0"/>
                          <w:marTop w:val="0"/>
                          <w:marBottom w:val="0"/>
                          <w:divBdr>
                            <w:top w:val="none" w:sz="0" w:space="0" w:color="auto"/>
                            <w:left w:val="none" w:sz="0" w:space="0" w:color="auto"/>
                            <w:bottom w:val="none" w:sz="0" w:space="0" w:color="auto"/>
                            <w:right w:val="none" w:sz="0" w:space="0" w:color="auto"/>
                          </w:divBdr>
                          <w:divsChild>
                            <w:div w:id="1810896804">
                              <w:marLeft w:val="0"/>
                              <w:marRight w:val="0"/>
                              <w:marTop w:val="0"/>
                              <w:marBottom w:val="0"/>
                              <w:divBdr>
                                <w:top w:val="none" w:sz="0" w:space="0" w:color="auto"/>
                                <w:left w:val="none" w:sz="0" w:space="0" w:color="auto"/>
                                <w:bottom w:val="none" w:sz="0" w:space="0" w:color="auto"/>
                                <w:right w:val="none" w:sz="0" w:space="0" w:color="auto"/>
                              </w:divBdr>
                              <w:divsChild>
                                <w:div w:id="2064403194">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87910287">
      <w:bodyDiv w:val="1"/>
      <w:marLeft w:val="0"/>
      <w:marRight w:val="0"/>
      <w:marTop w:val="0"/>
      <w:marBottom w:val="0"/>
      <w:divBdr>
        <w:top w:val="none" w:sz="0" w:space="0" w:color="auto"/>
        <w:left w:val="none" w:sz="0" w:space="0" w:color="auto"/>
        <w:bottom w:val="none" w:sz="0" w:space="0" w:color="auto"/>
        <w:right w:val="none" w:sz="0" w:space="0" w:color="auto"/>
      </w:divBdr>
      <w:divsChild>
        <w:div w:id="861629818">
          <w:marLeft w:val="0"/>
          <w:marRight w:val="0"/>
          <w:marTop w:val="0"/>
          <w:marBottom w:val="0"/>
          <w:divBdr>
            <w:top w:val="none" w:sz="0" w:space="0" w:color="auto"/>
            <w:left w:val="none" w:sz="0" w:space="0" w:color="auto"/>
            <w:bottom w:val="none" w:sz="0" w:space="0" w:color="auto"/>
            <w:right w:val="none" w:sz="0" w:space="0" w:color="auto"/>
          </w:divBdr>
          <w:divsChild>
            <w:div w:id="1472403309">
              <w:marLeft w:val="0"/>
              <w:marRight w:val="0"/>
              <w:marTop w:val="0"/>
              <w:marBottom w:val="0"/>
              <w:divBdr>
                <w:top w:val="none" w:sz="0" w:space="0" w:color="auto"/>
                <w:left w:val="none" w:sz="0" w:space="0" w:color="auto"/>
                <w:bottom w:val="none" w:sz="0" w:space="0" w:color="auto"/>
                <w:right w:val="none" w:sz="0" w:space="0" w:color="auto"/>
              </w:divBdr>
              <w:divsChild>
                <w:div w:id="1160998989">
                  <w:marLeft w:val="0"/>
                  <w:marRight w:val="0"/>
                  <w:marTop w:val="0"/>
                  <w:marBottom w:val="0"/>
                  <w:divBdr>
                    <w:top w:val="none" w:sz="0" w:space="0" w:color="auto"/>
                    <w:left w:val="none" w:sz="0" w:space="0" w:color="auto"/>
                    <w:bottom w:val="none" w:sz="0" w:space="0" w:color="auto"/>
                    <w:right w:val="none" w:sz="0" w:space="0" w:color="auto"/>
                  </w:divBdr>
                  <w:divsChild>
                    <w:div w:id="398603229">
                      <w:marLeft w:val="0"/>
                      <w:marRight w:val="0"/>
                      <w:marTop w:val="0"/>
                      <w:marBottom w:val="0"/>
                      <w:divBdr>
                        <w:top w:val="none" w:sz="0" w:space="0" w:color="auto"/>
                        <w:left w:val="none" w:sz="0" w:space="0" w:color="auto"/>
                        <w:bottom w:val="none" w:sz="0" w:space="0" w:color="auto"/>
                        <w:right w:val="none" w:sz="0" w:space="0" w:color="auto"/>
                      </w:divBdr>
                      <w:divsChild>
                        <w:div w:id="1686052106">
                          <w:marLeft w:val="0"/>
                          <w:marRight w:val="0"/>
                          <w:marTop w:val="0"/>
                          <w:marBottom w:val="0"/>
                          <w:divBdr>
                            <w:top w:val="none" w:sz="0" w:space="0" w:color="auto"/>
                            <w:left w:val="none" w:sz="0" w:space="0" w:color="auto"/>
                            <w:bottom w:val="none" w:sz="0" w:space="0" w:color="auto"/>
                            <w:right w:val="none" w:sz="0" w:space="0" w:color="auto"/>
                          </w:divBdr>
                          <w:divsChild>
                            <w:div w:id="809982521">
                              <w:marLeft w:val="0"/>
                              <w:marRight w:val="0"/>
                              <w:marTop w:val="0"/>
                              <w:marBottom w:val="0"/>
                              <w:divBdr>
                                <w:top w:val="none" w:sz="0" w:space="0" w:color="auto"/>
                                <w:left w:val="none" w:sz="0" w:space="0" w:color="auto"/>
                                <w:bottom w:val="none" w:sz="0" w:space="0" w:color="auto"/>
                                <w:right w:val="none" w:sz="0" w:space="0" w:color="auto"/>
                              </w:divBdr>
                              <w:divsChild>
                                <w:div w:id="1596131710">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87989784">
      <w:bodyDiv w:val="1"/>
      <w:marLeft w:val="0"/>
      <w:marRight w:val="0"/>
      <w:marTop w:val="0"/>
      <w:marBottom w:val="0"/>
      <w:divBdr>
        <w:top w:val="none" w:sz="0" w:space="0" w:color="auto"/>
        <w:left w:val="none" w:sz="0" w:space="0" w:color="auto"/>
        <w:bottom w:val="none" w:sz="0" w:space="0" w:color="auto"/>
        <w:right w:val="none" w:sz="0" w:space="0" w:color="auto"/>
      </w:divBdr>
    </w:div>
    <w:div w:id="191499323">
      <w:bodyDiv w:val="1"/>
      <w:marLeft w:val="0"/>
      <w:marRight w:val="0"/>
      <w:marTop w:val="0"/>
      <w:marBottom w:val="0"/>
      <w:divBdr>
        <w:top w:val="none" w:sz="0" w:space="0" w:color="auto"/>
        <w:left w:val="none" w:sz="0" w:space="0" w:color="auto"/>
        <w:bottom w:val="none" w:sz="0" w:space="0" w:color="auto"/>
        <w:right w:val="none" w:sz="0" w:space="0" w:color="auto"/>
      </w:divBdr>
    </w:div>
    <w:div w:id="192574987">
      <w:bodyDiv w:val="1"/>
      <w:marLeft w:val="0"/>
      <w:marRight w:val="0"/>
      <w:marTop w:val="0"/>
      <w:marBottom w:val="0"/>
      <w:divBdr>
        <w:top w:val="none" w:sz="0" w:space="0" w:color="auto"/>
        <w:left w:val="none" w:sz="0" w:space="0" w:color="auto"/>
        <w:bottom w:val="none" w:sz="0" w:space="0" w:color="auto"/>
        <w:right w:val="none" w:sz="0" w:space="0" w:color="auto"/>
      </w:divBdr>
      <w:divsChild>
        <w:div w:id="381054418">
          <w:marLeft w:val="0"/>
          <w:marRight w:val="0"/>
          <w:marTop w:val="0"/>
          <w:marBottom w:val="0"/>
          <w:divBdr>
            <w:top w:val="none" w:sz="0" w:space="0" w:color="auto"/>
            <w:left w:val="none" w:sz="0" w:space="0" w:color="auto"/>
            <w:bottom w:val="none" w:sz="0" w:space="0" w:color="auto"/>
            <w:right w:val="none" w:sz="0" w:space="0" w:color="auto"/>
          </w:divBdr>
        </w:div>
        <w:div w:id="554698958">
          <w:marLeft w:val="0"/>
          <w:marRight w:val="0"/>
          <w:marTop w:val="0"/>
          <w:marBottom w:val="0"/>
          <w:divBdr>
            <w:top w:val="none" w:sz="0" w:space="0" w:color="auto"/>
            <w:left w:val="none" w:sz="0" w:space="0" w:color="auto"/>
            <w:bottom w:val="none" w:sz="0" w:space="0" w:color="auto"/>
            <w:right w:val="none" w:sz="0" w:space="0" w:color="auto"/>
          </w:divBdr>
        </w:div>
        <w:div w:id="1746299101">
          <w:marLeft w:val="0"/>
          <w:marRight w:val="0"/>
          <w:marTop w:val="0"/>
          <w:marBottom w:val="0"/>
          <w:divBdr>
            <w:top w:val="none" w:sz="0" w:space="0" w:color="auto"/>
            <w:left w:val="none" w:sz="0" w:space="0" w:color="auto"/>
            <w:bottom w:val="none" w:sz="0" w:space="0" w:color="auto"/>
            <w:right w:val="none" w:sz="0" w:space="0" w:color="auto"/>
          </w:divBdr>
        </w:div>
      </w:divsChild>
    </w:div>
    <w:div w:id="198736947">
      <w:bodyDiv w:val="1"/>
      <w:marLeft w:val="0"/>
      <w:marRight w:val="0"/>
      <w:marTop w:val="0"/>
      <w:marBottom w:val="0"/>
      <w:divBdr>
        <w:top w:val="none" w:sz="0" w:space="0" w:color="auto"/>
        <w:left w:val="none" w:sz="0" w:space="0" w:color="auto"/>
        <w:bottom w:val="none" w:sz="0" w:space="0" w:color="auto"/>
        <w:right w:val="none" w:sz="0" w:space="0" w:color="auto"/>
      </w:divBdr>
      <w:divsChild>
        <w:div w:id="946235883">
          <w:marLeft w:val="0"/>
          <w:marRight w:val="0"/>
          <w:marTop w:val="0"/>
          <w:marBottom w:val="0"/>
          <w:divBdr>
            <w:top w:val="none" w:sz="0" w:space="0" w:color="auto"/>
            <w:left w:val="none" w:sz="0" w:space="0" w:color="auto"/>
            <w:bottom w:val="none" w:sz="0" w:space="0" w:color="auto"/>
            <w:right w:val="none" w:sz="0" w:space="0" w:color="auto"/>
          </w:divBdr>
          <w:divsChild>
            <w:div w:id="2118210764">
              <w:marLeft w:val="0"/>
              <w:marRight w:val="0"/>
              <w:marTop w:val="0"/>
              <w:marBottom w:val="0"/>
              <w:divBdr>
                <w:top w:val="none" w:sz="0" w:space="0" w:color="auto"/>
                <w:left w:val="none" w:sz="0" w:space="0" w:color="auto"/>
                <w:bottom w:val="none" w:sz="0" w:space="0" w:color="auto"/>
                <w:right w:val="none" w:sz="0" w:space="0" w:color="auto"/>
              </w:divBdr>
              <w:divsChild>
                <w:div w:id="1224947128">
                  <w:marLeft w:val="0"/>
                  <w:marRight w:val="0"/>
                  <w:marTop w:val="0"/>
                  <w:marBottom w:val="0"/>
                  <w:divBdr>
                    <w:top w:val="none" w:sz="0" w:space="0" w:color="auto"/>
                    <w:left w:val="none" w:sz="0" w:space="0" w:color="auto"/>
                    <w:bottom w:val="none" w:sz="0" w:space="0" w:color="auto"/>
                    <w:right w:val="none" w:sz="0" w:space="0" w:color="auto"/>
                  </w:divBdr>
                  <w:divsChild>
                    <w:div w:id="80610493">
                      <w:marLeft w:val="30"/>
                      <w:marRight w:val="30"/>
                      <w:marTop w:val="0"/>
                      <w:marBottom w:val="0"/>
                      <w:divBdr>
                        <w:top w:val="none" w:sz="0" w:space="0" w:color="auto"/>
                        <w:left w:val="none" w:sz="0" w:space="0" w:color="auto"/>
                        <w:bottom w:val="none" w:sz="0" w:space="0" w:color="auto"/>
                        <w:right w:val="none" w:sz="0" w:space="0" w:color="auto"/>
                      </w:divBdr>
                      <w:divsChild>
                        <w:div w:id="373164690">
                          <w:marLeft w:val="135"/>
                          <w:marRight w:val="45"/>
                          <w:marTop w:val="60"/>
                          <w:marBottom w:val="60"/>
                          <w:divBdr>
                            <w:top w:val="none" w:sz="0" w:space="0" w:color="auto"/>
                            <w:left w:val="none" w:sz="0" w:space="0" w:color="auto"/>
                            <w:bottom w:val="none" w:sz="0" w:space="0" w:color="auto"/>
                            <w:right w:val="none" w:sz="0" w:space="0" w:color="auto"/>
                          </w:divBdr>
                          <w:divsChild>
                            <w:div w:id="383480363">
                              <w:marLeft w:val="0"/>
                              <w:marRight w:val="0"/>
                              <w:marTop w:val="0"/>
                              <w:marBottom w:val="0"/>
                              <w:divBdr>
                                <w:top w:val="none" w:sz="0" w:space="0" w:color="auto"/>
                                <w:left w:val="none" w:sz="0" w:space="0" w:color="auto"/>
                                <w:bottom w:val="none" w:sz="0" w:space="0" w:color="auto"/>
                                <w:right w:val="none" w:sz="0" w:space="0" w:color="auto"/>
                              </w:divBdr>
                              <w:divsChild>
                                <w:div w:id="1831866485">
                                  <w:marLeft w:val="0"/>
                                  <w:marRight w:val="0"/>
                                  <w:marTop w:val="0"/>
                                  <w:marBottom w:val="0"/>
                                  <w:divBdr>
                                    <w:top w:val="none" w:sz="0" w:space="0" w:color="auto"/>
                                    <w:left w:val="none" w:sz="0" w:space="0" w:color="auto"/>
                                    <w:bottom w:val="none" w:sz="0" w:space="0" w:color="auto"/>
                                    <w:right w:val="none" w:sz="0" w:space="0" w:color="auto"/>
                                  </w:divBdr>
                                </w:div>
                                <w:div w:id="19464969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76430184">
                          <w:marLeft w:val="0"/>
                          <w:marRight w:val="90"/>
                          <w:marTop w:val="90"/>
                          <w:marBottom w:val="30"/>
                          <w:divBdr>
                            <w:top w:val="none" w:sz="0" w:space="0" w:color="auto"/>
                            <w:left w:val="none" w:sz="0" w:space="0" w:color="auto"/>
                            <w:bottom w:val="none" w:sz="0" w:space="0" w:color="auto"/>
                            <w:right w:val="none" w:sz="0" w:space="0" w:color="auto"/>
                          </w:divBdr>
                          <w:divsChild>
                            <w:div w:id="63723916">
                              <w:marLeft w:val="0"/>
                              <w:marRight w:val="30"/>
                              <w:marTop w:val="0"/>
                              <w:marBottom w:val="0"/>
                              <w:divBdr>
                                <w:top w:val="none" w:sz="0" w:space="0" w:color="auto"/>
                                <w:left w:val="none" w:sz="0" w:space="0" w:color="auto"/>
                                <w:bottom w:val="none" w:sz="0" w:space="0" w:color="auto"/>
                                <w:right w:val="none" w:sz="0" w:space="0" w:color="auto"/>
                              </w:divBdr>
                              <w:divsChild>
                                <w:div w:id="1732121128">
                                  <w:marLeft w:val="0"/>
                                  <w:marRight w:val="0"/>
                                  <w:marTop w:val="0"/>
                                  <w:marBottom w:val="0"/>
                                  <w:divBdr>
                                    <w:top w:val="none" w:sz="0" w:space="0" w:color="auto"/>
                                    <w:left w:val="none" w:sz="0" w:space="0" w:color="auto"/>
                                    <w:bottom w:val="none" w:sz="0" w:space="0" w:color="auto"/>
                                    <w:right w:val="none" w:sz="0" w:space="0" w:color="auto"/>
                                  </w:divBdr>
                                  <w:divsChild>
                                    <w:div w:id="56978706">
                                      <w:marLeft w:val="0"/>
                                      <w:marRight w:val="0"/>
                                      <w:marTop w:val="0"/>
                                      <w:marBottom w:val="0"/>
                                      <w:divBdr>
                                        <w:top w:val="none" w:sz="0" w:space="0" w:color="auto"/>
                                        <w:left w:val="none" w:sz="0" w:space="0" w:color="auto"/>
                                        <w:bottom w:val="none" w:sz="0" w:space="0" w:color="auto"/>
                                        <w:right w:val="none" w:sz="0" w:space="0" w:color="auto"/>
                                      </w:divBdr>
                                      <w:divsChild>
                                        <w:div w:id="19626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388">
                              <w:marLeft w:val="0"/>
                              <w:marRight w:val="0"/>
                              <w:marTop w:val="0"/>
                              <w:marBottom w:val="0"/>
                              <w:divBdr>
                                <w:top w:val="none" w:sz="0" w:space="0" w:color="auto"/>
                                <w:left w:val="none" w:sz="0" w:space="0" w:color="auto"/>
                                <w:bottom w:val="none" w:sz="0" w:space="0" w:color="auto"/>
                                <w:right w:val="none" w:sz="0" w:space="0" w:color="auto"/>
                              </w:divBdr>
                              <w:divsChild>
                                <w:div w:id="2082410646">
                                  <w:marLeft w:val="45"/>
                                  <w:marRight w:val="0"/>
                                  <w:marTop w:val="0"/>
                                  <w:marBottom w:val="15"/>
                                  <w:divBdr>
                                    <w:top w:val="none" w:sz="0" w:space="0" w:color="auto"/>
                                    <w:left w:val="none" w:sz="0" w:space="0" w:color="auto"/>
                                    <w:bottom w:val="none" w:sz="0" w:space="0" w:color="auto"/>
                                    <w:right w:val="none" w:sz="0" w:space="0" w:color="auto"/>
                                  </w:divBdr>
                                </w:div>
                              </w:divsChild>
                            </w:div>
                            <w:div w:id="17611707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59995036">
                      <w:marLeft w:val="30"/>
                      <w:marRight w:val="30"/>
                      <w:marTop w:val="0"/>
                      <w:marBottom w:val="0"/>
                      <w:divBdr>
                        <w:top w:val="none" w:sz="0" w:space="0" w:color="auto"/>
                        <w:left w:val="none" w:sz="0" w:space="0" w:color="auto"/>
                        <w:bottom w:val="none" w:sz="0" w:space="0" w:color="auto"/>
                        <w:right w:val="none" w:sz="0" w:space="0" w:color="auto"/>
                      </w:divBdr>
                      <w:divsChild>
                        <w:div w:id="338316054">
                          <w:marLeft w:val="180"/>
                          <w:marRight w:val="210"/>
                          <w:marTop w:val="0"/>
                          <w:marBottom w:val="30"/>
                          <w:divBdr>
                            <w:top w:val="none" w:sz="0" w:space="0" w:color="auto"/>
                            <w:left w:val="none" w:sz="0" w:space="0" w:color="auto"/>
                            <w:bottom w:val="none" w:sz="0" w:space="0" w:color="auto"/>
                            <w:right w:val="none" w:sz="0" w:space="0" w:color="auto"/>
                          </w:divBdr>
                          <w:divsChild>
                            <w:div w:id="337578939">
                              <w:marLeft w:val="45"/>
                              <w:marRight w:val="0"/>
                              <w:marTop w:val="0"/>
                              <w:marBottom w:val="0"/>
                              <w:divBdr>
                                <w:top w:val="none" w:sz="0" w:space="0" w:color="auto"/>
                                <w:left w:val="none" w:sz="0" w:space="0" w:color="auto"/>
                                <w:bottom w:val="none" w:sz="0" w:space="0" w:color="auto"/>
                                <w:right w:val="none" w:sz="0" w:space="0" w:color="auto"/>
                              </w:divBdr>
                            </w:div>
                            <w:div w:id="431827838">
                              <w:marLeft w:val="0"/>
                              <w:marRight w:val="30"/>
                              <w:marTop w:val="0"/>
                              <w:marBottom w:val="0"/>
                              <w:divBdr>
                                <w:top w:val="none" w:sz="0" w:space="0" w:color="auto"/>
                                <w:left w:val="none" w:sz="0" w:space="0" w:color="auto"/>
                                <w:bottom w:val="none" w:sz="0" w:space="0" w:color="auto"/>
                                <w:right w:val="none" w:sz="0" w:space="0" w:color="auto"/>
                              </w:divBdr>
                              <w:divsChild>
                                <w:div w:id="1509905668">
                                  <w:marLeft w:val="0"/>
                                  <w:marRight w:val="0"/>
                                  <w:marTop w:val="0"/>
                                  <w:marBottom w:val="0"/>
                                  <w:divBdr>
                                    <w:top w:val="none" w:sz="0" w:space="0" w:color="auto"/>
                                    <w:left w:val="none" w:sz="0" w:space="0" w:color="auto"/>
                                    <w:bottom w:val="none" w:sz="0" w:space="0" w:color="auto"/>
                                    <w:right w:val="none" w:sz="0" w:space="0" w:color="auto"/>
                                  </w:divBdr>
                                  <w:divsChild>
                                    <w:div w:id="52626144">
                                      <w:marLeft w:val="0"/>
                                      <w:marRight w:val="0"/>
                                      <w:marTop w:val="0"/>
                                      <w:marBottom w:val="0"/>
                                      <w:divBdr>
                                        <w:top w:val="none" w:sz="0" w:space="0" w:color="auto"/>
                                        <w:left w:val="none" w:sz="0" w:space="0" w:color="auto"/>
                                        <w:bottom w:val="none" w:sz="0" w:space="0" w:color="auto"/>
                                        <w:right w:val="none" w:sz="0" w:space="0" w:color="auto"/>
                                      </w:divBdr>
                                      <w:divsChild>
                                        <w:div w:id="17536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530433">
          <w:marLeft w:val="0"/>
          <w:marRight w:val="0"/>
          <w:marTop w:val="0"/>
          <w:marBottom w:val="0"/>
          <w:divBdr>
            <w:top w:val="none" w:sz="0" w:space="0" w:color="auto"/>
            <w:left w:val="none" w:sz="0" w:space="0" w:color="auto"/>
            <w:bottom w:val="none" w:sz="0" w:space="0" w:color="auto"/>
            <w:right w:val="none" w:sz="0" w:space="0" w:color="auto"/>
          </w:divBdr>
          <w:divsChild>
            <w:div w:id="1201818998">
              <w:marLeft w:val="210"/>
              <w:marRight w:val="0"/>
              <w:marTop w:val="120"/>
              <w:marBottom w:val="0"/>
              <w:divBdr>
                <w:top w:val="none" w:sz="0" w:space="0" w:color="auto"/>
                <w:left w:val="none" w:sz="0" w:space="0" w:color="auto"/>
                <w:bottom w:val="none" w:sz="0" w:space="0" w:color="auto"/>
                <w:right w:val="none" w:sz="0" w:space="0" w:color="auto"/>
              </w:divBdr>
              <w:divsChild>
                <w:div w:id="268659097">
                  <w:marLeft w:val="0"/>
                  <w:marRight w:val="0"/>
                  <w:marTop w:val="0"/>
                  <w:marBottom w:val="0"/>
                  <w:divBdr>
                    <w:top w:val="none" w:sz="0" w:space="0" w:color="auto"/>
                    <w:left w:val="none" w:sz="0" w:space="0" w:color="auto"/>
                    <w:bottom w:val="none" w:sz="0" w:space="0" w:color="auto"/>
                    <w:right w:val="none" w:sz="0" w:space="0" w:color="auto"/>
                  </w:divBdr>
                  <w:divsChild>
                    <w:div w:id="164936232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02211029">
      <w:bodyDiv w:val="1"/>
      <w:marLeft w:val="0"/>
      <w:marRight w:val="0"/>
      <w:marTop w:val="0"/>
      <w:marBottom w:val="0"/>
      <w:divBdr>
        <w:top w:val="none" w:sz="0" w:space="0" w:color="auto"/>
        <w:left w:val="none" w:sz="0" w:space="0" w:color="auto"/>
        <w:bottom w:val="none" w:sz="0" w:space="0" w:color="auto"/>
        <w:right w:val="none" w:sz="0" w:space="0" w:color="auto"/>
      </w:divBdr>
    </w:div>
    <w:div w:id="206723257">
      <w:bodyDiv w:val="1"/>
      <w:marLeft w:val="0"/>
      <w:marRight w:val="0"/>
      <w:marTop w:val="0"/>
      <w:marBottom w:val="0"/>
      <w:divBdr>
        <w:top w:val="none" w:sz="0" w:space="0" w:color="auto"/>
        <w:left w:val="none" w:sz="0" w:space="0" w:color="auto"/>
        <w:bottom w:val="none" w:sz="0" w:space="0" w:color="auto"/>
        <w:right w:val="none" w:sz="0" w:space="0" w:color="auto"/>
      </w:divBdr>
    </w:div>
    <w:div w:id="219482372">
      <w:bodyDiv w:val="1"/>
      <w:marLeft w:val="0"/>
      <w:marRight w:val="0"/>
      <w:marTop w:val="0"/>
      <w:marBottom w:val="0"/>
      <w:divBdr>
        <w:top w:val="none" w:sz="0" w:space="0" w:color="auto"/>
        <w:left w:val="none" w:sz="0" w:space="0" w:color="auto"/>
        <w:bottom w:val="none" w:sz="0" w:space="0" w:color="auto"/>
        <w:right w:val="none" w:sz="0" w:space="0" w:color="auto"/>
      </w:divBdr>
    </w:div>
    <w:div w:id="221332538">
      <w:bodyDiv w:val="1"/>
      <w:marLeft w:val="0"/>
      <w:marRight w:val="0"/>
      <w:marTop w:val="0"/>
      <w:marBottom w:val="0"/>
      <w:divBdr>
        <w:top w:val="none" w:sz="0" w:space="0" w:color="auto"/>
        <w:left w:val="none" w:sz="0" w:space="0" w:color="auto"/>
        <w:bottom w:val="none" w:sz="0" w:space="0" w:color="auto"/>
        <w:right w:val="none" w:sz="0" w:space="0" w:color="auto"/>
      </w:divBdr>
      <w:divsChild>
        <w:div w:id="1390492790">
          <w:marLeft w:val="0"/>
          <w:marRight w:val="0"/>
          <w:marTop w:val="0"/>
          <w:marBottom w:val="0"/>
          <w:divBdr>
            <w:top w:val="none" w:sz="0" w:space="0" w:color="auto"/>
            <w:left w:val="none" w:sz="0" w:space="0" w:color="auto"/>
            <w:bottom w:val="none" w:sz="0" w:space="0" w:color="auto"/>
            <w:right w:val="none" w:sz="0" w:space="0" w:color="auto"/>
          </w:divBdr>
          <w:divsChild>
            <w:div w:id="966088275">
              <w:marLeft w:val="0"/>
              <w:marRight w:val="0"/>
              <w:marTop w:val="0"/>
              <w:marBottom w:val="0"/>
              <w:divBdr>
                <w:top w:val="none" w:sz="0" w:space="0" w:color="auto"/>
                <w:left w:val="none" w:sz="0" w:space="0" w:color="auto"/>
                <w:bottom w:val="none" w:sz="0" w:space="0" w:color="auto"/>
                <w:right w:val="none" w:sz="0" w:space="0" w:color="auto"/>
              </w:divBdr>
              <w:divsChild>
                <w:div w:id="945235805">
                  <w:marLeft w:val="0"/>
                  <w:marRight w:val="0"/>
                  <w:marTop w:val="0"/>
                  <w:marBottom w:val="0"/>
                  <w:divBdr>
                    <w:top w:val="none" w:sz="0" w:space="0" w:color="auto"/>
                    <w:left w:val="none" w:sz="0" w:space="0" w:color="auto"/>
                    <w:bottom w:val="none" w:sz="0" w:space="0" w:color="auto"/>
                    <w:right w:val="none" w:sz="0" w:space="0" w:color="auto"/>
                  </w:divBdr>
                  <w:divsChild>
                    <w:div w:id="2132934791">
                      <w:marLeft w:val="0"/>
                      <w:marRight w:val="0"/>
                      <w:marTop w:val="0"/>
                      <w:marBottom w:val="0"/>
                      <w:divBdr>
                        <w:top w:val="none" w:sz="0" w:space="0" w:color="auto"/>
                        <w:left w:val="none" w:sz="0" w:space="0" w:color="auto"/>
                        <w:bottom w:val="none" w:sz="0" w:space="0" w:color="auto"/>
                        <w:right w:val="none" w:sz="0" w:space="0" w:color="auto"/>
                      </w:divBdr>
                      <w:divsChild>
                        <w:div w:id="874774828">
                          <w:marLeft w:val="0"/>
                          <w:marRight w:val="0"/>
                          <w:marTop w:val="0"/>
                          <w:marBottom w:val="0"/>
                          <w:divBdr>
                            <w:top w:val="none" w:sz="0" w:space="0" w:color="auto"/>
                            <w:left w:val="none" w:sz="0" w:space="0" w:color="auto"/>
                            <w:bottom w:val="none" w:sz="0" w:space="0" w:color="auto"/>
                            <w:right w:val="none" w:sz="0" w:space="0" w:color="auto"/>
                          </w:divBdr>
                          <w:divsChild>
                            <w:div w:id="496727827">
                              <w:marLeft w:val="0"/>
                              <w:marRight w:val="0"/>
                              <w:marTop w:val="0"/>
                              <w:marBottom w:val="0"/>
                              <w:divBdr>
                                <w:top w:val="none" w:sz="0" w:space="0" w:color="auto"/>
                                <w:left w:val="none" w:sz="0" w:space="0" w:color="auto"/>
                                <w:bottom w:val="none" w:sz="0" w:space="0" w:color="auto"/>
                                <w:right w:val="none" w:sz="0" w:space="0" w:color="auto"/>
                              </w:divBdr>
                              <w:divsChild>
                                <w:div w:id="883104170">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259025860">
      <w:bodyDiv w:val="1"/>
      <w:marLeft w:val="0"/>
      <w:marRight w:val="0"/>
      <w:marTop w:val="0"/>
      <w:marBottom w:val="0"/>
      <w:divBdr>
        <w:top w:val="none" w:sz="0" w:space="0" w:color="auto"/>
        <w:left w:val="none" w:sz="0" w:space="0" w:color="auto"/>
        <w:bottom w:val="none" w:sz="0" w:space="0" w:color="auto"/>
        <w:right w:val="none" w:sz="0" w:space="0" w:color="auto"/>
      </w:divBdr>
      <w:divsChild>
        <w:div w:id="580918130">
          <w:marLeft w:val="0"/>
          <w:marRight w:val="0"/>
          <w:marTop w:val="0"/>
          <w:marBottom w:val="0"/>
          <w:divBdr>
            <w:top w:val="none" w:sz="0" w:space="0" w:color="auto"/>
            <w:left w:val="none" w:sz="0" w:space="0" w:color="auto"/>
            <w:bottom w:val="none" w:sz="0" w:space="0" w:color="auto"/>
            <w:right w:val="none" w:sz="0" w:space="0" w:color="auto"/>
          </w:divBdr>
        </w:div>
        <w:div w:id="1346438961">
          <w:marLeft w:val="0"/>
          <w:marRight w:val="0"/>
          <w:marTop w:val="0"/>
          <w:marBottom w:val="0"/>
          <w:divBdr>
            <w:top w:val="none" w:sz="0" w:space="0" w:color="auto"/>
            <w:left w:val="none" w:sz="0" w:space="0" w:color="auto"/>
            <w:bottom w:val="none" w:sz="0" w:space="0" w:color="auto"/>
            <w:right w:val="none" w:sz="0" w:space="0" w:color="auto"/>
          </w:divBdr>
        </w:div>
        <w:div w:id="1940023822">
          <w:marLeft w:val="0"/>
          <w:marRight w:val="0"/>
          <w:marTop w:val="0"/>
          <w:marBottom w:val="0"/>
          <w:divBdr>
            <w:top w:val="none" w:sz="0" w:space="0" w:color="auto"/>
            <w:left w:val="none" w:sz="0" w:space="0" w:color="auto"/>
            <w:bottom w:val="none" w:sz="0" w:space="0" w:color="auto"/>
            <w:right w:val="none" w:sz="0" w:space="0" w:color="auto"/>
          </w:divBdr>
          <w:divsChild>
            <w:div w:id="1096633231">
              <w:marLeft w:val="0"/>
              <w:marRight w:val="0"/>
              <w:marTop w:val="0"/>
              <w:marBottom w:val="0"/>
              <w:divBdr>
                <w:top w:val="none" w:sz="0" w:space="0" w:color="auto"/>
                <w:left w:val="none" w:sz="0" w:space="0" w:color="auto"/>
                <w:bottom w:val="none" w:sz="0" w:space="0" w:color="auto"/>
                <w:right w:val="none" w:sz="0" w:space="0" w:color="auto"/>
              </w:divBdr>
            </w:div>
            <w:div w:id="1780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168">
      <w:bodyDiv w:val="1"/>
      <w:marLeft w:val="0"/>
      <w:marRight w:val="0"/>
      <w:marTop w:val="0"/>
      <w:marBottom w:val="0"/>
      <w:divBdr>
        <w:top w:val="none" w:sz="0" w:space="0" w:color="auto"/>
        <w:left w:val="none" w:sz="0" w:space="0" w:color="auto"/>
        <w:bottom w:val="none" w:sz="0" w:space="0" w:color="auto"/>
        <w:right w:val="none" w:sz="0" w:space="0" w:color="auto"/>
      </w:divBdr>
    </w:div>
    <w:div w:id="262806488">
      <w:bodyDiv w:val="1"/>
      <w:marLeft w:val="0"/>
      <w:marRight w:val="0"/>
      <w:marTop w:val="0"/>
      <w:marBottom w:val="0"/>
      <w:divBdr>
        <w:top w:val="none" w:sz="0" w:space="0" w:color="auto"/>
        <w:left w:val="none" w:sz="0" w:space="0" w:color="auto"/>
        <w:bottom w:val="none" w:sz="0" w:space="0" w:color="auto"/>
        <w:right w:val="none" w:sz="0" w:space="0" w:color="auto"/>
      </w:divBdr>
    </w:div>
    <w:div w:id="271933801">
      <w:bodyDiv w:val="1"/>
      <w:marLeft w:val="0"/>
      <w:marRight w:val="0"/>
      <w:marTop w:val="0"/>
      <w:marBottom w:val="0"/>
      <w:divBdr>
        <w:top w:val="none" w:sz="0" w:space="0" w:color="auto"/>
        <w:left w:val="none" w:sz="0" w:space="0" w:color="auto"/>
        <w:bottom w:val="none" w:sz="0" w:space="0" w:color="auto"/>
        <w:right w:val="none" w:sz="0" w:space="0" w:color="auto"/>
      </w:divBdr>
      <w:divsChild>
        <w:div w:id="543831368">
          <w:marLeft w:val="0"/>
          <w:marRight w:val="0"/>
          <w:marTop w:val="0"/>
          <w:marBottom w:val="0"/>
          <w:divBdr>
            <w:top w:val="none" w:sz="0" w:space="0" w:color="auto"/>
            <w:left w:val="none" w:sz="0" w:space="0" w:color="auto"/>
            <w:bottom w:val="none" w:sz="0" w:space="0" w:color="auto"/>
            <w:right w:val="none" w:sz="0" w:space="0" w:color="auto"/>
          </w:divBdr>
          <w:divsChild>
            <w:div w:id="481310057">
              <w:marLeft w:val="0"/>
              <w:marRight w:val="0"/>
              <w:marTop w:val="0"/>
              <w:marBottom w:val="0"/>
              <w:divBdr>
                <w:top w:val="none" w:sz="0" w:space="0" w:color="auto"/>
                <w:left w:val="none" w:sz="0" w:space="0" w:color="auto"/>
                <w:bottom w:val="none" w:sz="0" w:space="0" w:color="auto"/>
                <w:right w:val="none" w:sz="0" w:space="0" w:color="auto"/>
              </w:divBdr>
              <w:divsChild>
                <w:div w:id="682512213">
                  <w:marLeft w:val="0"/>
                  <w:marRight w:val="0"/>
                  <w:marTop w:val="0"/>
                  <w:marBottom w:val="0"/>
                  <w:divBdr>
                    <w:top w:val="none" w:sz="0" w:space="0" w:color="auto"/>
                    <w:left w:val="none" w:sz="0" w:space="0" w:color="auto"/>
                    <w:bottom w:val="none" w:sz="0" w:space="0" w:color="auto"/>
                    <w:right w:val="none" w:sz="0" w:space="0" w:color="auto"/>
                  </w:divBdr>
                  <w:divsChild>
                    <w:div w:id="1107240073">
                      <w:marLeft w:val="30"/>
                      <w:marRight w:val="30"/>
                      <w:marTop w:val="0"/>
                      <w:marBottom w:val="0"/>
                      <w:divBdr>
                        <w:top w:val="none" w:sz="0" w:space="0" w:color="auto"/>
                        <w:left w:val="none" w:sz="0" w:space="0" w:color="auto"/>
                        <w:bottom w:val="none" w:sz="0" w:space="0" w:color="auto"/>
                        <w:right w:val="none" w:sz="0" w:space="0" w:color="auto"/>
                      </w:divBdr>
                      <w:divsChild>
                        <w:div w:id="978877347">
                          <w:marLeft w:val="180"/>
                          <w:marRight w:val="210"/>
                          <w:marTop w:val="0"/>
                          <w:marBottom w:val="30"/>
                          <w:divBdr>
                            <w:top w:val="none" w:sz="0" w:space="0" w:color="auto"/>
                            <w:left w:val="none" w:sz="0" w:space="0" w:color="auto"/>
                            <w:bottom w:val="none" w:sz="0" w:space="0" w:color="auto"/>
                            <w:right w:val="none" w:sz="0" w:space="0" w:color="auto"/>
                          </w:divBdr>
                          <w:divsChild>
                            <w:div w:id="1091243472">
                              <w:marLeft w:val="0"/>
                              <w:marRight w:val="30"/>
                              <w:marTop w:val="0"/>
                              <w:marBottom w:val="0"/>
                              <w:divBdr>
                                <w:top w:val="none" w:sz="0" w:space="0" w:color="auto"/>
                                <w:left w:val="none" w:sz="0" w:space="0" w:color="auto"/>
                                <w:bottom w:val="none" w:sz="0" w:space="0" w:color="auto"/>
                                <w:right w:val="none" w:sz="0" w:space="0" w:color="auto"/>
                              </w:divBdr>
                              <w:divsChild>
                                <w:div w:id="398212886">
                                  <w:marLeft w:val="0"/>
                                  <w:marRight w:val="0"/>
                                  <w:marTop w:val="0"/>
                                  <w:marBottom w:val="0"/>
                                  <w:divBdr>
                                    <w:top w:val="none" w:sz="0" w:space="0" w:color="auto"/>
                                    <w:left w:val="none" w:sz="0" w:space="0" w:color="auto"/>
                                    <w:bottom w:val="none" w:sz="0" w:space="0" w:color="auto"/>
                                    <w:right w:val="none" w:sz="0" w:space="0" w:color="auto"/>
                                  </w:divBdr>
                                  <w:divsChild>
                                    <w:div w:id="677267792">
                                      <w:marLeft w:val="0"/>
                                      <w:marRight w:val="0"/>
                                      <w:marTop w:val="0"/>
                                      <w:marBottom w:val="0"/>
                                      <w:divBdr>
                                        <w:top w:val="none" w:sz="0" w:space="0" w:color="auto"/>
                                        <w:left w:val="none" w:sz="0" w:space="0" w:color="auto"/>
                                        <w:bottom w:val="none" w:sz="0" w:space="0" w:color="auto"/>
                                        <w:right w:val="none" w:sz="0" w:space="0" w:color="auto"/>
                                      </w:divBdr>
                                      <w:divsChild>
                                        <w:div w:id="20168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67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939979">
          <w:marLeft w:val="0"/>
          <w:marRight w:val="0"/>
          <w:marTop w:val="0"/>
          <w:marBottom w:val="0"/>
          <w:divBdr>
            <w:top w:val="none" w:sz="0" w:space="0" w:color="auto"/>
            <w:left w:val="none" w:sz="0" w:space="0" w:color="auto"/>
            <w:bottom w:val="none" w:sz="0" w:space="0" w:color="auto"/>
            <w:right w:val="none" w:sz="0" w:space="0" w:color="auto"/>
          </w:divBdr>
          <w:divsChild>
            <w:div w:id="1719237209">
              <w:marLeft w:val="210"/>
              <w:marRight w:val="0"/>
              <w:marTop w:val="120"/>
              <w:marBottom w:val="0"/>
              <w:divBdr>
                <w:top w:val="none" w:sz="0" w:space="0" w:color="auto"/>
                <w:left w:val="none" w:sz="0" w:space="0" w:color="auto"/>
                <w:bottom w:val="none" w:sz="0" w:space="0" w:color="auto"/>
                <w:right w:val="none" w:sz="0" w:space="0" w:color="auto"/>
              </w:divBdr>
              <w:divsChild>
                <w:div w:id="1092895488">
                  <w:marLeft w:val="0"/>
                  <w:marRight w:val="0"/>
                  <w:marTop w:val="0"/>
                  <w:marBottom w:val="0"/>
                  <w:divBdr>
                    <w:top w:val="none" w:sz="0" w:space="0" w:color="auto"/>
                    <w:left w:val="none" w:sz="0" w:space="0" w:color="auto"/>
                    <w:bottom w:val="none" w:sz="0" w:space="0" w:color="auto"/>
                    <w:right w:val="none" w:sz="0" w:space="0" w:color="auto"/>
                  </w:divBdr>
                  <w:divsChild>
                    <w:div w:id="9255090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80115821">
      <w:bodyDiv w:val="1"/>
      <w:marLeft w:val="0"/>
      <w:marRight w:val="0"/>
      <w:marTop w:val="0"/>
      <w:marBottom w:val="0"/>
      <w:divBdr>
        <w:top w:val="none" w:sz="0" w:space="0" w:color="auto"/>
        <w:left w:val="none" w:sz="0" w:space="0" w:color="auto"/>
        <w:bottom w:val="none" w:sz="0" w:space="0" w:color="auto"/>
        <w:right w:val="none" w:sz="0" w:space="0" w:color="auto"/>
      </w:divBdr>
      <w:divsChild>
        <w:div w:id="370494123">
          <w:marLeft w:val="1886"/>
          <w:marRight w:val="0"/>
          <w:marTop w:val="0"/>
          <w:marBottom w:val="0"/>
          <w:divBdr>
            <w:top w:val="none" w:sz="0" w:space="0" w:color="auto"/>
            <w:left w:val="none" w:sz="0" w:space="0" w:color="auto"/>
            <w:bottom w:val="none" w:sz="0" w:space="0" w:color="auto"/>
            <w:right w:val="none" w:sz="0" w:space="0" w:color="auto"/>
          </w:divBdr>
        </w:div>
        <w:div w:id="505173274">
          <w:marLeft w:val="1166"/>
          <w:marRight w:val="0"/>
          <w:marTop w:val="0"/>
          <w:marBottom w:val="0"/>
          <w:divBdr>
            <w:top w:val="none" w:sz="0" w:space="0" w:color="auto"/>
            <w:left w:val="none" w:sz="0" w:space="0" w:color="auto"/>
            <w:bottom w:val="none" w:sz="0" w:space="0" w:color="auto"/>
            <w:right w:val="none" w:sz="0" w:space="0" w:color="auto"/>
          </w:divBdr>
        </w:div>
        <w:div w:id="689338291">
          <w:marLeft w:val="1166"/>
          <w:marRight w:val="0"/>
          <w:marTop w:val="0"/>
          <w:marBottom w:val="0"/>
          <w:divBdr>
            <w:top w:val="none" w:sz="0" w:space="0" w:color="auto"/>
            <w:left w:val="none" w:sz="0" w:space="0" w:color="auto"/>
            <w:bottom w:val="none" w:sz="0" w:space="0" w:color="auto"/>
            <w:right w:val="none" w:sz="0" w:space="0" w:color="auto"/>
          </w:divBdr>
        </w:div>
        <w:div w:id="788015336">
          <w:marLeft w:val="1166"/>
          <w:marRight w:val="0"/>
          <w:marTop w:val="0"/>
          <w:marBottom w:val="0"/>
          <w:divBdr>
            <w:top w:val="none" w:sz="0" w:space="0" w:color="auto"/>
            <w:left w:val="none" w:sz="0" w:space="0" w:color="auto"/>
            <w:bottom w:val="none" w:sz="0" w:space="0" w:color="auto"/>
            <w:right w:val="none" w:sz="0" w:space="0" w:color="auto"/>
          </w:divBdr>
        </w:div>
        <w:div w:id="922615847">
          <w:marLeft w:val="1886"/>
          <w:marRight w:val="0"/>
          <w:marTop w:val="0"/>
          <w:marBottom w:val="0"/>
          <w:divBdr>
            <w:top w:val="none" w:sz="0" w:space="0" w:color="auto"/>
            <w:left w:val="none" w:sz="0" w:space="0" w:color="auto"/>
            <w:bottom w:val="none" w:sz="0" w:space="0" w:color="auto"/>
            <w:right w:val="none" w:sz="0" w:space="0" w:color="auto"/>
          </w:divBdr>
        </w:div>
        <w:div w:id="934554549">
          <w:marLeft w:val="1166"/>
          <w:marRight w:val="0"/>
          <w:marTop w:val="0"/>
          <w:marBottom w:val="0"/>
          <w:divBdr>
            <w:top w:val="none" w:sz="0" w:space="0" w:color="auto"/>
            <w:left w:val="none" w:sz="0" w:space="0" w:color="auto"/>
            <w:bottom w:val="none" w:sz="0" w:space="0" w:color="auto"/>
            <w:right w:val="none" w:sz="0" w:space="0" w:color="auto"/>
          </w:divBdr>
        </w:div>
        <w:div w:id="1558474050">
          <w:marLeft w:val="1886"/>
          <w:marRight w:val="0"/>
          <w:marTop w:val="0"/>
          <w:marBottom w:val="0"/>
          <w:divBdr>
            <w:top w:val="none" w:sz="0" w:space="0" w:color="auto"/>
            <w:left w:val="none" w:sz="0" w:space="0" w:color="auto"/>
            <w:bottom w:val="none" w:sz="0" w:space="0" w:color="auto"/>
            <w:right w:val="none" w:sz="0" w:space="0" w:color="auto"/>
          </w:divBdr>
        </w:div>
        <w:div w:id="1580555548">
          <w:marLeft w:val="1166"/>
          <w:marRight w:val="0"/>
          <w:marTop w:val="0"/>
          <w:marBottom w:val="0"/>
          <w:divBdr>
            <w:top w:val="none" w:sz="0" w:space="0" w:color="auto"/>
            <w:left w:val="none" w:sz="0" w:space="0" w:color="auto"/>
            <w:bottom w:val="none" w:sz="0" w:space="0" w:color="auto"/>
            <w:right w:val="none" w:sz="0" w:space="0" w:color="auto"/>
          </w:divBdr>
        </w:div>
      </w:divsChild>
    </w:div>
    <w:div w:id="281689866">
      <w:bodyDiv w:val="1"/>
      <w:marLeft w:val="0"/>
      <w:marRight w:val="0"/>
      <w:marTop w:val="0"/>
      <w:marBottom w:val="0"/>
      <w:divBdr>
        <w:top w:val="none" w:sz="0" w:space="0" w:color="auto"/>
        <w:left w:val="none" w:sz="0" w:space="0" w:color="auto"/>
        <w:bottom w:val="none" w:sz="0" w:space="0" w:color="auto"/>
        <w:right w:val="none" w:sz="0" w:space="0" w:color="auto"/>
      </w:divBdr>
    </w:div>
    <w:div w:id="300424958">
      <w:bodyDiv w:val="1"/>
      <w:marLeft w:val="0"/>
      <w:marRight w:val="0"/>
      <w:marTop w:val="0"/>
      <w:marBottom w:val="0"/>
      <w:divBdr>
        <w:top w:val="none" w:sz="0" w:space="0" w:color="auto"/>
        <w:left w:val="none" w:sz="0" w:space="0" w:color="auto"/>
        <w:bottom w:val="none" w:sz="0" w:space="0" w:color="auto"/>
        <w:right w:val="none" w:sz="0" w:space="0" w:color="auto"/>
      </w:divBdr>
    </w:div>
    <w:div w:id="305404397">
      <w:bodyDiv w:val="1"/>
      <w:marLeft w:val="0"/>
      <w:marRight w:val="0"/>
      <w:marTop w:val="0"/>
      <w:marBottom w:val="0"/>
      <w:divBdr>
        <w:top w:val="none" w:sz="0" w:space="0" w:color="auto"/>
        <w:left w:val="none" w:sz="0" w:space="0" w:color="auto"/>
        <w:bottom w:val="none" w:sz="0" w:space="0" w:color="auto"/>
        <w:right w:val="none" w:sz="0" w:space="0" w:color="auto"/>
      </w:divBdr>
      <w:divsChild>
        <w:div w:id="1864048503">
          <w:marLeft w:val="0"/>
          <w:marRight w:val="0"/>
          <w:marTop w:val="0"/>
          <w:marBottom w:val="0"/>
          <w:divBdr>
            <w:top w:val="none" w:sz="0" w:space="0" w:color="auto"/>
            <w:left w:val="none" w:sz="0" w:space="0" w:color="auto"/>
            <w:bottom w:val="none" w:sz="0" w:space="0" w:color="auto"/>
            <w:right w:val="none" w:sz="0" w:space="0" w:color="auto"/>
          </w:divBdr>
          <w:divsChild>
            <w:div w:id="419907772">
              <w:marLeft w:val="210"/>
              <w:marRight w:val="0"/>
              <w:marTop w:val="120"/>
              <w:marBottom w:val="0"/>
              <w:divBdr>
                <w:top w:val="none" w:sz="0" w:space="0" w:color="auto"/>
                <w:left w:val="none" w:sz="0" w:space="0" w:color="auto"/>
                <w:bottom w:val="none" w:sz="0" w:space="0" w:color="auto"/>
                <w:right w:val="none" w:sz="0" w:space="0" w:color="auto"/>
              </w:divBdr>
              <w:divsChild>
                <w:div w:id="135417819">
                  <w:marLeft w:val="0"/>
                  <w:marRight w:val="0"/>
                  <w:marTop w:val="0"/>
                  <w:marBottom w:val="0"/>
                  <w:divBdr>
                    <w:top w:val="none" w:sz="0" w:space="0" w:color="auto"/>
                    <w:left w:val="none" w:sz="0" w:space="0" w:color="auto"/>
                    <w:bottom w:val="none" w:sz="0" w:space="0" w:color="auto"/>
                    <w:right w:val="none" w:sz="0" w:space="0" w:color="auto"/>
                  </w:divBdr>
                  <w:divsChild>
                    <w:div w:id="162072262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22513336">
          <w:marLeft w:val="0"/>
          <w:marRight w:val="0"/>
          <w:marTop w:val="0"/>
          <w:marBottom w:val="0"/>
          <w:divBdr>
            <w:top w:val="none" w:sz="0" w:space="0" w:color="auto"/>
            <w:left w:val="none" w:sz="0" w:space="0" w:color="auto"/>
            <w:bottom w:val="none" w:sz="0" w:space="0" w:color="auto"/>
            <w:right w:val="none" w:sz="0" w:space="0" w:color="auto"/>
          </w:divBdr>
          <w:divsChild>
            <w:div w:id="58327623">
              <w:marLeft w:val="0"/>
              <w:marRight w:val="0"/>
              <w:marTop w:val="0"/>
              <w:marBottom w:val="0"/>
              <w:divBdr>
                <w:top w:val="none" w:sz="0" w:space="0" w:color="auto"/>
                <w:left w:val="none" w:sz="0" w:space="0" w:color="auto"/>
                <w:bottom w:val="none" w:sz="0" w:space="0" w:color="auto"/>
                <w:right w:val="none" w:sz="0" w:space="0" w:color="auto"/>
              </w:divBdr>
              <w:divsChild>
                <w:div w:id="2128893861">
                  <w:marLeft w:val="0"/>
                  <w:marRight w:val="0"/>
                  <w:marTop w:val="0"/>
                  <w:marBottom w:val="0"/>
                  <w:divBdr>
                    <w:top w:val="none" w:sz="0" w:space="0" w:color="auto"/>
                    <w:left w:val="none" w:sz="0" w:space="0" w:color="auto"/>
                    <w:bottom w:val="none" w:sz="0" w:space="0" w:color="auto"/>
                    <w:right w:val="none" w:sz="0" w:space="0" w:color="auto"/>
                  </w:divBdr>
                  <w:divsChild>
                    <w:div w:id="506288793">
                      <w:marLeft w:val="30"/>
                      <w:marRight w:val="30"/>
                      <w:marTop w:val="0"/>
                      <w:marBottom w:val="0"/>
                      <w:divBdr>
                        <w:top w:val="none" w:sz="0" w:space="0" w:color="auto"/>
                        <w:left w:val="none" w:sz="0" w:space="0" w:color="auto"/>
                        <w:bottom w:val="none" w:sz="0" w:space="0" w:color="auto"/>
                        <w:right w:val="none" w:sz="0" w:space="0" w:color="auto"/>
                      </w:divBdr>
                      <w:divsChild>
                        <w:div w:id="1151676089">
                          <w:marLeft w:val="135"/>
                          <w:marRight w:val="45"/>
                          <w:marTop w:val="60"/>
                          <w:marBottom w:val="60"/>
                          <w:divBdr>
                            <w:top w:val="none" w:sz="0" w:space="0" w:color="auto"/>
                            <w:left w:val="none" w:sz="0" w:space="0" w:color="auto"/>
                            <w:bottom w:val="none" w:sz="0" w:space="0" w:color="auto"/>
                            <w:right w:val="none" w:sz="0" w:space="0" w:color="auto"/>
                          </w:divBdr>
                          <w:divsChild>
                            <w:div w:id="1325547426">
                              <w:marLeft w:val="0"/>
                              <w:marRight w:val="0"/>
                              <w:marTop w:val="0"/>
                              <w:marBottom w:val="0"/>
                              <w:divBdr>
                                <w:top w:val="none" w:sz="0" w:space="0" w:color="auto"/>
                                <w:left w:val="none" w:sz="0" w:space="0" w:color="auto"/>
                                <w:bottom w:val="none" w:sz="0" w:space="0" w:color="auto"/>
                                <w:right w:val="none" w:sz="0" w:space="0" w:color="auto"/>
                              </w:divBdr>
                              <w:divsChild>
                                <w:div w:id="1032070258">
                                  <w:marLeft w:val="0"/>
                                  <w:marRight w:val="150"/>
                                  <w:marTop w:val="0"/>
                                  <w:marBottom w:val="0"/>
                                  <w:divBdr>
                                    <w:top w:val="none" w:sz="0" w:space="0" w:color="auto"/>
                                    <w:left w:val="none" w:sz="0" w:space="0" w:color="auto"/>
                                    <w:bottom w:val="none" w:sz="0" w:space="0" w:color="auto"/>
                                    <w:right w:val="none" w:sz="0" w:space="0" w:color="auto"/>
                                  </w:divBdr>
                                </w:div>
                                <w:div w:id="12514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11605">
                          <w:marLeft w:val="0"/>
                          <w:marRight w:val="90"/>
                          <w:marTop w:val="90"/>
                          <w:marBottom w:val="30"/>
                          <w:divBdr>
                            <w:top w:val="none" w:sz="0" w:space="0" w:color="auto"/>
                            <w:left w:val="none" w:sz="0" w:space="0" w:color="auto"/>
                            <w:bottom w:val="none" w:sz="0" w:space="0" w:color="auto"/>
                            <w:right w:val="none" w:sz="0" w:space="0" w:color="auto"/>
                          </w:divBdr>
                          <w:divsChild>
                            <w:div w:id="43262424">
                              <w:marLeft w:val="0"/>
                              <w:marRight w:val="30"/>
                              <w:marTop w:val="0"/>
                              <w:marBottom w:val="0"/>
                              <w:divBdr>
                                <w:top w:val="none" w:sz="0" w:space="0" w:color="auto"/>
                                <w:left w:val="none" w:sz="0" w:space="0" w:color="auto"/>
                                <w:bottom w:val="none" w:sz="0" w:space="0" w:color="auto"/>
                                <w:right w:val="none" w:sz="0" w:space="0" w:color="auto"/>
                              </w:divBdr>
                              <w:divsChild>
                                <w:div w:id="1463423291">
                                  <w:marLeft w:val="0"/>
                                  <w:marRight w:val="0"/>
                                  <w:marTop w:val="0"/>
                                  <w:marBottom w:val="0"/>
                                  <w:divBdr>
                                    <w:top w:val="none" w:sz="0" w:space="0" w:color="auto"/>
                                    <w:left w:val="none" w:sz="0" w:space="0" w:color="auto"/>
                                    <w:bottom w:val="none" w:sz="0" w:space="0" w:color="auto"/>
                                    <w:right w:val="none" w:sz="0" w:space="0" w:color="auto"/>
                                  </w:divBdr>
                                  <w:divsChild>
                                    <w:div w:id="708915326">
                                      <w:marLeft w:val="0"/>
                                      <w:marRight w:val="0"/>
                                      <w:marTop w:val="0"/>
                                      <w:marBottom w:val="0"/>
                                      <w:divBdr>
                                        <w:top w:val="none" w:sz="0" w:space="0" w:color="auto"/>
                                        <w:left w:val="none" w:sz="0" w:space="0" w:color="auto"/>
                                        <w:bottom w:val="none" w:sz="0" w:space="0" w:color="auto"/>
                                        <w:right w:val="none" w:sz="0" w:space="0" w:color="auto"/>
                                      </w:divBdr>
                                      <w:divsChild>
                                        <w:div w:id="9363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4684">
                              <w:marLeft w:val="0"/>
                              <w:marRight w:val="0"/>
                              <w:marTop w:val="0"/>
                              <w:marBottom w:val="0"/>
                              <w:divBdr>
                                <w:top w:val="none" w:sz="0" w:space="0" w:color="auto"/>
                                <w:left w:val="none" w:sz="0" w:space="0" w:color="auto"/>
                                <w:bottom w:val="none" w:sz="0" w:space="0" w:color="auto"/>
                                <w:right w:val="none" w:sz="0" w:space="0" w:color="auto"/>
                              </w:divBdr>
                              <w:divsChild>
                                <w:div w:id="1212036049">
                                  <w:marLeft w:val="0"/>
                                  <w:marRight w:val="0"/>
                                  <w:marTop w:val="0"/>
                                  <w:marBottom w:val="0"/>
                                  <w:divBdr>
                                    <w:top w:val="none" w:sz="0" w:space="0" w:color="auto"/>
                                    <w:left w:val="none" w:sz="0" w:space="0" w:color="auto"/>
                                    <w:bottom w:val="none" w:sz="0" w:space="0" w:color="auto"/>
                                    <w:right w:val="none" w:sz="0" w:space="0" w:color="auto"/>
                                  </w:divBdr>
                                  <w:divsChild>
                                    <w:div w:id="22422544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804322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18063099">
                      <w:marLeft w:val="30"/>
                      <w:marRight w:val="30"/>
                      <w:marTop w:val="0"/>
                      <w:marBottom w:val="0"/>
                      <w:divBdr>
                        <w:top w:val="none" w:sz="0" w:space="0" w:color="auto"/>
                        <w:left w:val="none" w:sz="0" w:space="0" w:color="auto"/>
                        <w:bottom w:val="none" w:sz="0" w:space="0" w:color="auto"/>
                        <w:right w:val="none" w:sz="0" w:space="0" w:color="auto"/>
                      </w:divBdr>
                      <w:divsChild>
                        <w:div w:id="1961377001">
                          <w:marLeft w:val="180"/>
                          <w:marRight w:val="210"/>
                          <w:marTop w:val="0"/>
                          <w:marBottom w:val="30"/>
                          <w:divBdr>
                            <w:top w:val="none" w:sz="0" w:space="0" w:color="auto"/>
                            <w:left w:val="none" w:sz="0" w:space="0" w:color="auto"/>
                            <w:bottom w:val="none" w:sz="0" w:space="0" w:color="auto"/>
                            <w:right w:val="none" w:sz="0" w:space="0" w:color="auto"/>
                          </w:divBdr>
                          <w:divsChild>
                            <w:div w:id="398208139">
                              <w:marLeft w:val="0"/>
                              <w:marRight w:val="30"/>
                              <w:marTop w:val="0"/>
                              <w:marBottom w:val="0"/>
                              <w:divBdr>
                                <w:top w:val="none" w:sz="0" w:space="0" w:color="auto"/>
                                <w:left w:val="none" w:sz="0" w:space="0" w:color="auto"/>
                                <w:bottom w:val="none" w:sz="0" w:space="0" w:color="auto"/>
                                <w:right w:val="none" w:sz="0" w:space="0" w:color="auto"/>
                              </w:divBdr>
                              <w:divsChild>
                                <w:div w:id="1498303180">
                                  <w:marLeft w:val="0"/>
                                  <w:marRight w:val="0"/>
                                  <w:marTop w:val="0"/>
                                  <w:marBottom w:val="0"/>
                                  <w:divBdr>
                                    <w:top w:val="none" w:sz="0" w:space="0" w:color="auto"/>
                                    <w:left w:val="none" w:sz="0" w:space="0" w:color="auto"/>
                                    <w:bottom w:val="none" w:sz="0" w:space="0" w:color="auto"/>
                                    <w:right w:val="none" w:sz="0" w:space="0" w:color="auto"/>
                                  </w:divBdr>
                                  <w:divsChild>
                                    <w:div w:id="1221984578">
                                      <w:marLeft w:val="0"/>
                                      <w:marRight w:val="0"/>
                                      <w:marTop w:val="0"/>
                                      <w:marBottom w:val="0"/>
                                      <w:divBdr>
                                        <w:top w:val="none" w:sz="0" w:space="0" w:color="auto"/>
                                        <w:left w:val="none" w:sz="0" w:space="0" w:color="auto"/>
                                        <w:bottom w:val="none" w:sz="0" w:space="0" w:color="auto"/>
                                        <w:right w:val="none" w:sz="0" w:space="0" w:color="auto"/>
                                      </w:divBdr>
                                      <w:divsChild>
                                        <w:div w:id="4147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315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3510855">
                      <w:marLeft w:val="30"/>
                      <w:marRight w:val="30"/>
                      <w:marTop w:val="0"/>
                      <w:marBottom w:val="0"/>
                      <w:divBdr>
                        <w:top w:val="none" w:sz="0" w:space="0" w:color="auto"/>
                        <w:left w:val="none" w:sz="0" w:space="0" w:color="auto"/>
                        <w:bottom w:val="none" w:sz="0" w:space="0" w:color="auto"/>
                        <w:right w:val="none" w:sz="0" w:space="0" w:color="auto"/>
                      </w:divBdr>
                      <w:divsChild>
                        <w:div w:id="1089228488">
                          <w:marLeft w:val="0"/>
                          <w:marRight w:val="90"/>
                          <w:marTop w:val="90"/>
                          <w:marBottom w:val="30"/>
                          <w:divBdr>
                            <w:top w:val="none" w:sz="0" w:space="0" w:color="auto"/>
                            <w:left w:val="none" w:sz="0" w:space="0" w:color="auto"/>
                            <w:bottom w:val="none" w:sz="0" w:space="0" w:color="auto"/>
                            <w:right w:val="none" w:sz="0" w:space="0" w:color="auto"/>
                          </w:divBdr>
                          <w:divsChild>
                            <w:div w:id="985360579">
                              <w:marLeft w:val="0"/>
                              <w:marRight w:val="0"/>
                              <w:marTop w:val="0"/>
                              <w:marBottom w:val="0"/>
                              <w:divBdr>
                                <w:top w:val="none" w:sz="0" w:space="0" w:color="auto"/>
                                <w:left w:val="none" w:sz="0" w:space="0" w:color="auto"/>
                                <w:bottom w:val="none" w:sz="0" w:space="0" w:color="auto"/>
                                <w:right w:val="none" w:sz="0" w:space="0" w:color="auto"/>
                              </w:divBdr>
                              <w:divsChild>
                                <w:div w:id="921913227">
                                  <w:marLeft w:val="0"/>
                                  <w:marRight w:val="0"/>
                                  <w:marTop w:val="0"/>
                                  <w:marBottom w:val="0"/>
                                  <w:divBdr>
                                    <w:top w:val="none" w:sz="0" w:space="0" w:color="auto"/>
                                    <w:left w:val="none" w:sz="0" w:space="0" w:color="auto"/>
                                    <w:bottom w:val="none" w:sz="0" w:space="0" w:color="auto"/>
                                    <w:right w:val="none" w:sz="0" w:space="0" w:color="auto"/>
                                  </w:divBdr>
                                  <w:divsChild>
                                    <w:div w:id="176314200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24549399">
                              <w:marLeft w:val="0"/>
                              <w:marRight w:val="30"/>
                              <w:marTop w:val="0"/>
                              <w:marBottom w:val="0"/>
                              <w:divBdr>
                                <w:top w:val="none" w:sz="0" w:space="0" w:color="auto"/>
                                <w:left w:val="none" w:sz="0" w:space="0" w:color="auto"/>
                                <w:bottom w:val="none" w:sz="0" w:space="0" w:color="auto"/>
                                <w:right w:val="none" w:sz="0" w:space="0" w:color="auto"/>
                              </w:divBdr>
                              <w:divsChild>
                                <w:div w:id="936719436">
                                  <w:marLeft w:val="0"/>
                                  <w:marRight w:val="0"/>
                                  <w:marTop w:val="0"/>
                                  <w:marBottom w:val="0"/>
                                  <w:divBdr>
                                    <w:top w:val="none" w:sz="0" w:space="0" w:color="auto"/>
                                    <w:left w:val="none" w:sz="0" w:space="0" w:color="auto"/>
                                    <w:bottom w:val="none" w:sz="0" w:space="0" w:color="auto"/>
                                    <w:right w:val="none" w:sz="0" w:space="0" w:color="auto"/>
                                  </w:divBdr>
                                  <w:divsChild>
                                    <w:div w:id="1694841268">
                                      <w:marLeft w:val="0"/>
                                      <w:marRight w:val="0"/>
                                      <w:marTop w:val="0"/>
                                      <w:marBottom w:val="0"/>
                                      <w:divBdr>
                                        <w:top w:val="none" w:sz="0" w:space="0" w:color="auto"/>
                                        <w:left w:val="none" w:sz="0" w:space="0" w:color="auto"/>
                                        <w:bottom w:val="none" w:sz="0" w:space="0" w:color="auto"/>
                                        <w:right w:val="none" w:sz="0" w:space="0" w:color="auto"/>
                                      </w:divBdr>
                                      <w:divsChild>
                                        <w:div w:id="5944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75557">
                          <w:marLeft w:val="135"/>
                          <w:marRight w:val="45"/>
                          <w:marTop w:val="60"/>
                          <w:marBottom w:val="60"/>
                          <w:divBdr>
                            <w:top w:val="none" w:sz="0" w:space="0" w:color="auto"/>
                            <w:left w:val="none" w:sz="0" w:space="0" w:color="auto"/>
                            <w:bottom w:val="none" w:sz="0" w:space="0" w:color="auto"/>
                            <w:right w:val="none" w:sz="0" w:space="0" w:color="auto"/>
                          </w:divBdr>
                          <w:divsChild>
                            <w:div w:id="812451239">
                              <w:marLeft w:val="0"/>
                              <w:marRight w:val="0"/>
                              <w:marTop w:val="0"/>
                              <w:marBottom w:val="0"/>
                              <w:divBdr>
                                <w:top w:val="none" w:sz="0" w:space="0" w:color="auto"/>
                                <w:left w:val="none" w:sz="0" w:space="0" w:color="auto"/>
                                <w:bottom w:val="none" w:sz="0" w:space="0" w:color="auto"/>
                                <w:right w:val="none" w:sz="0" w:space="0" w:color="auto"/>
                              </w:divBdr>
                              <w:divsChild>
                                <w:div w:id="974330466">
                                  <w:marLeft w:val="0"/>
                                  <w:marRight w:val="0"/>
                                  <w:marTop w:val="0"/>
                                  <w:marBottom w:val="0"/>
                                  <w:divBdr>
                                    <w:top w:val="none" w:sz="0" w:space="0" w:color="auto"/>
                                    <w:left w:val="none" w:sz="0" w:space="0" w:color="auto"/>
                                    <w:bottom w:val="none" w:sz="0" w:space="0" w:color="auto"/>
                                    <w:right w:val="none" w:sz="0" w:space="0" w:color="auto"/>
                                  </w:divBdr>
                                </w:div>
                                <w:div w:id="1105078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934433">
      <w:bodyDiv w:val="1"/>
      <w:marLeft w:val="0"/>
      <w:marRight w:val="0"/>
      <w:marTop w:val="0"/>
      <w:marBottom w:val="0"/>
      <w:divBdr>
        <w:top w:val="none" w:sz="0" w:space="0" w:color="auto"/>
        <w:left w:val="none" w:sz="0" w:space="0" w:color="auto"/>
        <w:bottom w:val="none" w:sz="0" w:space="0" w:color="auto"/>
        <w:right w:val="none" w:sz="0" w:space="0" w:color="auto"/>
      </w:divBdr>
    </w:div>
    <w:div w:id="316425636">
      <w:bodyDiv w:val="1"/>
      <w:marLeft w:val="0"/>
      <w:marRight w:val="0"/>
      <w:marTop w:val="0"/>
      <w:marBottom w:val="0"/>
      <w:divBdr>
        <w:top w:val="none" w:sz="0" w:space="0" w:color="auto"/>
        <w:left w:val="none" w:sz="0" w:space="0" w:color="auto"/>
        <w:bottom w:val="none" w:sz="0" w:space="0" w:color="auto"/>
        <w:right w:val="none" w:sz="0" w:space="0" w:color="auto"/>
      </w:divBdr>
      <w:divsChild>
        <w:div w:id="1230920634">
          <w:marLeft w:val="547"/>
          <w:marRight w:val="0"/>
          <w:marTop w:val="0"/>
          <w:marBottom w:val="0"/>
          <w:divBdr>
            <w:top w:val="none" w:sz="0" w:space="0" w:color="auto"/>
            <w:left w:val="none" w:sz="0" w:space="0" w:color="auto"/>
            <w:bottom w:val="none" w:sz="0" w:space="0" w:color="auto"/>
            <w:right w:val="none" w:sz="0" w:space="0" w:color="auto"/>
          </w:divBdr>
        </w:div>
        <w:div w:id="1790977284">
          <w:marLeft w:val="547"/>
          <w:marRight w:val="0"/>
          <w:marTop w:val="0"/>
          <w:marBottom w:val="0"/>
          <w:divBdr>
            <w:top w:val="none" w:sz="0" w:space="0" w:color="auto"/>
            <w:left w:val="none" w:sz="0" w:space="0" w:color="auto"/>
            <w:bottom w:val="none" w:sz="0" w:space="0" w:color="auto"/>
            <w:right w:val="none" w:sz="0" w:space="0" w:color="auto"/>
          </w:divBdr>
        </w:div>
      </w:divsChild>
    </w:div>
    <w:div w:id="321206175">
      <w:bodyDiv w:val="1"/>
      <w:marLeft w:val="0"/>
      <w:marRight w:val="0"/>
      <w:marTop w:val="0"/>
      <w:marBottom w:val="0"/>
      <w:divBdr>
        <w:top w:val="none" w:sz="0" w:space="0" w:color="auto"/>
        <w:left w:val="none" w:sz="0" w:space="0" w:color="auto"/>
        <w:bottom w:val="none" w:sz="0" w:space="0" w:color="auto"/>
        <w:right w:val="none" w:sz="0" w:space="0" w:color="auto"/>
      </w:divBdr>
      <w:divsChild>
        <w:div w:id="916942690">
          <w:marLeft w:val="0"/>
          <w:marRight w:val="0"/>
          <w:marTop w:val="0"/>
          <w:marBottom w:val="0"/>
          <w:divBdr>
            <w:top w:val="none" w:sz="0" w:space="0" w:color="auto"/>
            <w:left w:val="none" w:sz="0" w:space="0" w:color="auto"/>
            <w:bottom w:val="none" w:sz="0" w:space="0" w:color="auto"/>
            <w:right w:val="none" w:sz="0" w:space="0" w:color="auto"/>
          </w:divBdr>
          <w:divsChild>
            <w:div w:id="176769768">
              <w:marLeft w:val="210"/>
              <w:marRight w:val="0"/>
              <w:marTop w:val="120"/>
              <w:marBottom w:val="0"/>
              <w:divBdr>
                <w:top w:val="none" w:sz="0" w:space="0" w:color="auto"/>
                <w:left w:val="none" w:sz="0" w:space="0" w:color="auto"/>
                <w:bottom w:val="none" w:sz="0" w:space="0" w:color="auto"/>
                <w:right w:val="none" w:sz="0" w:space="0" w:color="auto"/>
              </w:divBdr>
              <w:divsChild>
                <w:div w:id="1069496748">
                  <w:marLeft w:val="0"/>
                  <w:marRight w:val="0"/>
                  <w:marTop w:val="0"/>
                  <w:marBottom w:val="0"/>
                  <w:divBdr>
                    <w:top w:val="none" w:sz="0" w:space="0" w:color="auto"/>
                    <w:left w:val="none" w:sz="0" w:space="0" w:color="auto"/>
                    <w:bottom w:val="none" w:sz="0" w:space="0" w:color="auto"/>
                    <w:right w:val="none" w:sz="0" w:space="0" w:color="auto"/>
                  </w:divBdr>
                  <w:divsChild>
                    <w:div w:id="58087582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295285571">
          <w:marLeft w:val="0"/>
          <w:marRight w:val="0"/>
          <w:marTop w:val="0"/>
          <w:marBottom w:val="0"/>
          <w:divBdr>
            <w:top w:val="none" w:sz="0" w:space="0" w:color="auto"/>
            <w:left w:val="none" w:sz="0" w:space="0" w:color="auto"/>
            <w:bottom w:val="none" w:sz="0" w:space="0" w:color="auto"/>
            <w:right w:val="none" w:sz="0" w:space="0" w:color="auto"/>
          </w:divBdr>
          <w:divsChild>
            <w:div w:id="1021787339">
              <w:marLeft w:val="0"/>
              <w:marRight w:val="0"/>
              <w:marTop w:val="0"/>
              <w:marBottom w:val="0"/>
              <w:divBdr>
                <w:top w:val="none" w:sz="0" w:space="0" w:color="auto"/>
                <w:left w:val="none" w:sz="0" w:space="0" w:color="auto"/>
                <w:bottom w:val="none" w:sz="0" w:space="0" w:color="auto"/>
                <w:right w:val="none" w:sz="0" w:space="0" w:color="auto"/>
              </w:divBdr>
              <w:divsChild>
                <w:div w:id="193543868">
                  <w:marLeft w:val="0"/>
                  <w:marRight w:val="0"/>
                  <w:marTop w:val="0"/>
                  <w:marBottom w:val="0"/>
                  <w:divBdr>
                    <w:top w:val="none" w:sz="0" w:space="0" w:color="auto"/>
                    <w:left w:val="none" w:sz="0" w:space="0" w:color="auto"/>
                    <w:bottom w:val="none" w:sz="0" w:space="0" w:color="auto"/>
                    <w:right w:val="none" w:sz="0" w:space="0" w:color="auto"/>
                  </w:divBdr>
                  <w:divsChild>
                    <w:div w:id="59866500">
                      <w:marLeft w:val="30"/>
                      <w:marRight w:val="30"/>
                      <w:marTop w:val="0"/>
                      <w:marBottom w:val="0"/>
                      <w:divBdr>
                        <w:top w:val="none" w:sz="0" w:space="0" w:color="auto"/>
                        <w:left w:val="none" w:sz="0" w:space="0" w:color="auto"/>
                        <w:bottom w:val="none" w:sz="0" w:space="0" w:color="auto"/>
                        <w:right w:val="none" w:sz="0" w:space="0" w:color="auto"/>
                      </w:divBdr>
                      <w:divsChild>
                        <w:div w:id="340204609">
                          <w:marLeft w:val="180"/>
                          <w:marRight w:val="210"/>
                          <w:marTop w:val="0"/>
                          <w:marBottom w:val="30"/>
                          <w:divBdr>
                            <w:top w:val="none" w:sz="0" w:space="0" w:color="auto"/>
                            <w:left w:val="none" w:sz="0" w:space="0" w:color="auto"/>
                            <w:bottom w:val="none" w:sz="0" w:space="0" w:color="auto"/>
                            <w:right w:val="none" w:sz="0" w:space="0" w:color="auto"/>
                          </w:divBdr>
                          <w:divsChild>
                            <w:div w:id="1540628773">
                              <w:marLeft w:val="45"/>
                              <w:marRight w:val="0"/>
                              <w:marTop w:val="0"/>
                              <w:marBottom w:val="0"/>
                              <w:divBdr>
                                <w:top w:val="none" w:sz="0" w:space="0" w:color="auto"/>
                                <w:left w:val="none" w:sz="0" w:space="0" w:color="auto"/>
                                <w:bottom w:val="none" w:sz="0" w:space="0" w:color="auto"/>
                                <w:right w:val="none" w:sz="0" w:space="0" w:color="auto"/>
                              </w:divBdr>
                            </w:div>
                            <w:div w:id="1598437559">
                              <w:marLeft w:val="0"/>
                              <w:marRight w:val="30"/>
                              <w:marTop w:val="0"/>
                              <w:marBottom w:val="0"/>
                              <w:divBdr>
                                <w:top w:val="none" w:sz="0" w:space="0" w:color="auto"/>
                                <w:left w:val="none" w:sz="0" w:space="0" w:color="auto"/>
                                <w:bottom w:val="none" w:sz="0" w:space="0" w:color="auto"/>
                                <w:right w:val="none" w:sz="0" w:space="0" w:color="auto"/>
                              </w:divBdr>
                              <w:divsChild>
                                <w:div w:id="689718269">
                                  <w:marLeft w:val="0"/>
                                  <w:marRight w:val="0"/>
                                  <w:marTop w:val="0"/>
                                  <w:marBottom w:val="0"/>
                                  <w:divBdr>
                                    <w:top w:val="none" w:sz="0" w:space="0" w:color="auto"/>
                                    <w:left w:val="none" w:sz="0" w:space="0" w:color="auto"/>
                                    <w:bottom w:val="none" w:sz="0" w:space="0" w:color="auto"/>
                                    <w:right w:val="none" w:sz="0" w:space="0" w:color="auto"/>
                                  </w:divBdr>
                                  <w:divsChild>
                                    <w:div w:id="484710546">
                                      <w:marLeft w:val="0"/>
                                      <w:marRight w:val="0"/>
                                      <w:marTop w:val="0"/>
                                      <w:marBottom w:val="0"/>
                                      <w:divBdr>
                                        <w:top w:val="none" w:sz="0" w:space="0" w:color="auto"/>
                                        <w:left w:val="none" w:sz="0" w:space="0" w:color="auto"/>
                                        <w:bottom w:val="none" w:sz="0" w:space="0" w:color="auto"/>
                                        <w:right w:val="none" w:sz="0" w:space="0" w:color="auto"/>
                                      </w:divBdr>
                                      <w:divsChild>
                                        <w:div w:id="6355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05704">
                      <w:marLeft w:val="30"/>
                      <w:marRight w:val="30"/>
                      <w:marTop w:val="0"/>
                      <w:marBottom w:val="0"/>
                      <w:divBdr>
                        <w:top w:val="none" w:sz="0" w:space="0" w:color="auto"/>
                        <w:left w:val="none" w:sz="0" w:space="0" w:color="auto"/>
                        <w:bottom w:val="none" w:sz="0" w:space="0" w:color="auto"/>
                        <w:right w:val="none" w:sz="0" w:space="0" w:color="auto"/>
                      </w:divBdr>
                      <w:divsChild>
                        <w:div w:id="626159273">
                          <w:marLeft w:val="135"/>
                          <w:marRight w:val="45"/>
                          <w:marTop w:val="60"/>
                          <w:marBottom w:val="60"/>
                          <w:divBdr>
                            <w:top w:val="none" w:sz="0" w:space="0" w:color="auto"/>
                            <w:left w:val="none" w:sz="0" w:space="0" w:color="auto"/>
                            <w:bottom w:val="none" w:sz="0" w:space="0" w:color="auto"/>
                            <w:right w:val="none" w:sz="0" w:space="0" w:color="auto"/>
                          </w:divBdr>
                          <w:divsChild>
                            <w:div w:id="1808158273">
                              <w:marLeft w:val="0"/>
                              <w:marRight w:val="0"/>
                              <w:marTop w:val="0"/>
                              <w:marBottom w:val="0"/>
                              <w:divBdr>
                                <w:top w:val="none" w:sz="0" w:space="0" w:color="auto"/>
                                <w:left w:val="none" w:sz="0" w:space="0" w:color="auto"/>
                                <w:bottom w:val="none" w:sz="0" w:space="0" w:color="auto"/>
                                <w:right w:val="none" w:sz="0" w:space="0" w:color="auto"/>
                              </w:divBdr>
                              <w:divsChild>
                                <w:div w:id="7034033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85759923">
                          <w:marLeft w:val="0"/>
                          <w:marRight w:val="90"/>
                          <w:marTop w:val="90"/>
                          <w:marBottom w:val="30"/>
                          <w:divBdr>
                            <w:top w:val="none" w:sz="0" w:space="0" w:color="auto"/>
                            <w:left w:val="none" w:sz="0" w:space="0" w:color="auto"/>
                            <w:bottom w:val="none" w:sz="0" w:space="0" w:color="auto"/>
                            <w:right w:val="none" w:sz="0" w:space="0" w:color="auto"/>
                          </w:divBdr>
                          <w:divsChild>
                            <w:div w:id="286814476">
                              <w:marLeft w:val="45"/>
                              <w:marRight w:val="0"/>
                              <w:marTop w:val="0"/>
                              <w:marBottom w:val="0"/>
                              <w:divBdr>
                                <w:top w:val="none" w:sz="0" w:space="0" w:color="auto"/>
                                <w:left w:val="none" w:sz="0" w:space="0" w:color="auto"/>
                                <w:bottom w:val="none" w:sz="0" w:space="0" w:color="auto"/>
                                <w:right w:val="none" w:sz="0" w:space="0" w:color="auto"/>
                              </w:divBdr>
                            </w:div>
                            <w:div w:id="846410219">
                              <w:marLeft w:val="0"/>
                              <w:marRight w:val="30"/>
                              <w:marTop w:val="0"/>
                              <w:marBottom w:val="0"/>
                              <w:divBdr>
                                <w:top w:val="none" w:sz="0" w:space="0" w:color="auto"/>
                                <w:left w:val="none" w:sz="0" w:space="0" w:color="auto"/>
                                <w:bottom w:val="none" w:sz="0" w:space="0" w:color="auto"/>
                                <w:right w:val="none" w:sz="0" w:space="0" w:color="auto"/>
                              </w:divBdr>
                              <w:divsChild>
                                <w:div w:id="1503550188">
                                  <w:marLeft w:val="0"/>
                                  <w:marRight w:val="0"/>
                                  <w:marTop w:val="0"/>
                                  <w:marBottom w:val="0"/>
                                  <w:divBdr>
                                    <w:top w:val="none" w:sz="0" w:space="0" w:color="auto"/>
                                    <w:left w:val="none" w:sz="0" w:space="0" w:color="auto"/>
                                    <w:bottom w:val="none" w:sz="0" w:space="0" w:color="auto"/>
                                    <w:right w:val="none" w:sz="0" w:space="0" w:color="auto"/>
                                  </w:divBdr>
                                  <w:divsChild>
                                    <w:div w:id="1376391728">
                                      <w:marLeft w:val="0"/>
                                      <w:marRight w:val="0"/>
                                      <w:marTop w:val="0"/>
                                      <w:marBottom w:val="0"/>
                                      <w:divBdr>
                                        <w:top w:val="none" w:sz="0" w:space="0" w:color="auto"/>
                                        <w:left w:val="none" w:sz="0" w:space="0" w:color="auto"/>
                                        <w:bottom w:val="none" w:sz="0" w:space="0" w:color="auto"/>
                                        <w:right w:val="none" w:sz="0" w:space="0" w:color="auto"/>
                                      </w:divBdr>
                                      <w:divsChild>
                                        <w:div w:id="2484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9046">
                              <w:marLeft w:val="0"/>
                              <w:marRight w:val="0"/>
                              <w:marTop w:val="0"/>
                              <w:marBottom w:val="0"/>
                              <w:divBdr>
                                <w:top w:val="none" w:sz="0" w:space="0" w:color="auto"/>
                                <w:left w:val="none" w:sz="0" w:space="0" w:color="auto"/>
                                <w:bottom w:val="none" w:sz="0" w:space="0" w:color="auto"/>
                                <w:right w:val="none" w:sz="0" w:space="0" w:color="auto"/>
                              </w:divBdr>
                              <w:divsChild>
                                <w:div w:id="205639319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326779851">
                      <w:marLeft w:val="30"/>
                      <w:marRight w:val="30"/>
                      <w:marTop w:val="0"/>
                      <w:marBottom w:val="0"/>
                      <w:divBdr>
                        <w:top w:val="none" w:sz="0" w:space="0" w:color="auto"/>
                        <w:left w:val="none" w:sz="0" w:space="0" w:color="auto"/>
                        <w:bottom w:val="none" w:sz="0" w:space="0" w:color="auto"/>
                        <w:right w:val="none" w:sz="0" w:space="0" w:color="auto"/>
                      </w:divBdr>
                      <w:divsChild>
                        <w:div w:id="194932321">
                          <w:marLeft w:val="135"/>
                          <w:marRight w:val="45"/>
                          <w:marTop w:val="60"/>
                          <w:marBottom w:val="60"/>
                          <w:divBdr>
                            <w:top w:val="none" w:sz="0" w:space="0" w:color="auto"/>
                            <w:left w:val="none" w:sz="0" w:space="0" w:color="auto"/>
                            <w:bottom w:val="none" w:sz="0" w:space="0" w:color="auto"/>
                            <w:right w:val="none" w:sz="0" w:space="0" w:color="auto"/>
                          </w:divBdr>
                          <w:divsChild>
                            <w:div w:id="1742945014">
                              <w:marLeft w:val="0"/>
                              <w:marRight w:val="0"/>
                              <w:marTop w:val="0"/>
                              <w:marBottom w:val="0"/>
                              <w:divBdr>
                                <w:top w:val="none" w:sz="0" w:space="0" w:color="auto"/>
                                <w:left w:val="none" w:sz="0" w:space="0" w:color="auto"/>
                                <w:bottom w:val="none" w:sz="0" w:space="0" w:color="auto"/>
                                <w:right w:val="none" w:sz="0" w:space="0" w:color="auto"/>
                              </w:divBdr>
                              <w:divsChild>
                                <w:div w:id="1008021213">
                                  <w:marLeft w:val="0"/>
                                  <w:marRight w:val="150"/>
                                  <w:marTop w:val="0"/>
                                  <w:marBottom w:val="0"/>
                                  <w:divBdr>
                                    <w:top w:val="none" w:sz="0" w:space="0" w:color="auto"/>
                                    <w:left w:val="none" w:sz="0" w:space="0" w:color="auto"/>
                                    <w:bottom w:val="none" w:sz="0" w:space="0" w:color="auto"/>
                                    <w:right w:val="none" w:sz="0" w:space="0" w:color="auto"/>
                                  </w:divBdr>
                                </w:div>
                                <w:div w:id="15082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2506">
                          <w:marLeft w:val="0"/>
                          <w:marRight w:val="90"/>
                          <w:marTop w:val="90"/>
                          <w:marBottom w:val="30"/>
                          <w:divBdr>
                            <w:top w:val="none" w:sz="0" w:space="0" w:color="auto"/>
                            <w:left w:val="none" w:sz="0" w:space="0" w:color="auto"/>
                            <w:bottom w:val="none" w:sz="0" w:space="0" w:color="auto"/>
                            <w:right w:val="none" w:sz="0" w:space="0" w:color="auto"/>
                          </w:divBdr>
                          <w:divsChild>
                            <w:div w:id="625043690">
                              <w:marLeft w:val="0"/>
                              <w:marRight w:val="0"/>
                              <w:marTop w:val="0"/>
                              <w:marBottom w:val="0"/>
                              <w:divBdr>
                                <w:top w:val="none" w:sz="0" w:space="0" w:color="auto"/>
                                <w:left w:val="none" w:sz="0" w:space="0" w:color="auto"/>
                                <w:bottom w:val="none" w:sz="0" w:space="0" w:color="auto"/>
                                <w:right w:val="none" w:sz="0" w:space="0" w:color="auto"/>
                              </w:divBdr>
                              <w:divsChild>
                                <w:div w:id="991757270">
                                  <w:marLeft w:val="45"/>
                                  <w:marRight w:val="0"/>
                                  <w:marTop w:val="0"/>
                                  <w:marBottom w:val="15"/>
                                  <w:divBdr>
                                    <w:top w:val="none" w:sz="0" w:space="0" w:color="auto"/>
                                    <w:left w:val="none" w:sz="0" w:space="0" w:color="auto"/>
                                    <w:bottom w:val="none" w:sz="0" w:space="0" w:color="auto"/>
                                    <w:right w:val="none" w:sz="0" w:space="0" w:color="auto"/>
                                  </w:divBdr>
                                </w:div>
                              </w:divsChild>
                            </w:div>
                            <w:div w:id="785586094">
                              <w:marLeft w:val="45"/>
                              <w:marRight w:val="0"/>
                              <w:marTop w:val="0"/>
                              <w:marBottom w:val="0"/>
                              <w:divBdr>
                                <w:top w:val="none" w:sz="0" w:space="0" w:color="auto"/>
                                <w:left w:val="none" w:sz="0" w:space="0" w:color="auto"/>
                                <w:bottom w:val="none" w:sz="0" w:space="0" w:color="auto"/>
                                <w:right w:val="none" w:sz="0" w:space="0" w:color="auto"/>
                              </w:divBdr>
                            </w:div>
                            <w:div w:id="1597982489">
                              <w:marLeft w:val="0"/>
                              <w:marRight w:val="30"/>
                              <w:marTop w:val="0"/>
                              <w:marBottom w:val="0"/>
                              <w:divBdr>
                                <w:top w:val="none" w:sz="0" w:space="0" w:color="auto"/>
                                <w:left w:val="none" w:sz="0" w:space="0" w:color="auto"/>
                                <w:bottom w:val="none" w:sz="0" w:space="0" w:color="auto"/>
                                <w:right w:val="none" w:sz="0" w:space="0" w:color="auto"/>
                              </w:divBdr>
                              <w:divsChild>
                                <w:div w:id="692416285">
                                  <w:marLeft w:val="0"/>
                                  <w:marRight w:val="0"/>
                                  <w:marTop w:val="0"/>
                                  <w:marBottom w:val="0"/>
                                  <w:divBdr>
                                    <w:top w:val="none" w:sz="0" w:space="0" w:color="auto"/>
                                    <w:left w:val="none" w:sz="0" w:space="0" w:color="auto"/>
                                    <w:bottom w:val="none" w:sz="0" w:space="0" w:color="auto"/>
                                    <w:right w:val="none" w:sz="0" w:space="0" w:color="auto"/>
                                  </w:divBdr>
                                  <w:divsChild>
                                    <w:div w:id="1151824962">
                                      <w:marLeft w:val="0"/>
                                      <w:marRight w:val="0"/>
                                      <w:marTop w:val="0"/>
                                      <w:marBottom w:val="0"/>
                                      <w:divBdr>
                                        <w:top w:val="none" w:sz="0" w:space="0" w:color="auto"/>
                                        <w:left w:val="none" w:sz="0" w:space="0" w:color="auto"/>
                                        <w:bottom w:val="none" w:sz="0" w:space="0" w:color="auto"/>
                                        <w:right w:val="none" w:sz="0" w:space="0" w:color="auto"/>
                                      </w:divBdr>
                                      <w:divsChild>
                                        <w:div w:id="2052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633113">
      <w:bodyDiv w:val="1"/>
      <w:marLeft w:val="0"/>
      <w:marRight w:val="0"/>
      <w:marTop w:val="0"/>
      <w:marBottom w:val="0"/>
      <w:divBdr>
        <w:top w:val="none" w:sz="0" w:space="0" w:color="auto"/>
        <w:left w:val="none" w:sz="0" w:space="0" w:color="auto"/>
        <w:bottom w:val="none" w:sz="0" w:space="0" w:color="auto"/>
        <w:right w:val="none" w:sz="0" w:space="0" w:color="auto"/>
      </w:divBdr>
      <w:divsChild>
        <w:div w:id="597641971">
          <w:marLeft w:val="0"/>
          <w:marRight w:val="30"/>
          <w:marTop w:val="0"/>
          <w:marBottom w:val="0"/>
          <w:divBdr>
            <w:top w:val="none" w:sz="0" w:space="0" w:color="auto"/>
            <w:left w:val="none" w:sz="0" w:space="0" w:color="auto"/>
            <w:bottom w:val="none" w:sz="0" w:space="0" w:color="auto"/>
            <w:right w:val="none" w:sz="0" w:space="0" w:color="auto"/>
          </w:divBdr>
          <w:divsChild>
            <w:div w:id="766582994">
              <w:marLeft w:val="0"/>
              <w:marRight w:val="0"/>
              <w:marTop w:val="0"/>
              <w:marBottom w:val="0"/>
              <w:divBdr>
                <w:top w:val="none" w:sz="0" w:space="0" w:color="auto"/>
                <w:left w:val="none" w:sz="0" w:space="0" w:color="auto"/>
                <w:bottom w:val="none" w:sz="0" w:space="0" w:color="auto"/>
                <w:right w:val="none" w:sz="0" w:space="0" w:color="auto"/>
              </w:divBdr>
              <w:divsChild>
                <w:div w:id="442501455">
                  <w:marLeft w:val="0"/>
                  <w:marRight w:val="0"/>
                  <w:marTop w:val="0"/>
                  <w:marBottom w:val="0"/>
                  <w:divBdr>
                    <w:top w:val="none" w:sz="0" w:space="0" w:color="auto"/>
                    <w:left w:val="none" w:sz="0" w:space="0" w:color="auto"/>
                    <w:bottom w:val="none" w:sz="0" w:space="0" w:color="auto"/>
                    <w:right w:val="none" w:sz="0" w:space="0" w:color="auto"/>
                  </w:divBdr>
                  <w:divsChild>
                    <w:div w:id="17922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636">
          <w:marLeft w:val="45"/>
          <w:marRight w:val="0"/>
          <w:marTop w:val="0"/>
          <w:marBottom w:val="0"/>
          <w:divBdr>
            <w:top w:val="none" w:sz="0" w:space="0" w:color="auto"/>
            <w:left w:val="none" w:sz="0" w:space="0" w:color="auto"/>
            <w:bottom w:val="none" w:sz="0" w:space="0" w:color="auto"/>
            <w:right w:val="none" w:sz="0" w:space="0" w:color="auto"/>
          </w:divBdr>
        </w:div>
      </w:divsChild>
    </w:div>
    <w:div w:id="328946850">
      <w:bodyDiv w:val="1"/>
      <w:marLeft w:val="0"/>
      <w:marRight w:val="0"/>
      <w:marTop w:val="0"/>
      <w:marBottom w:val="0"/>
      <w:divBdr>
        <w:top w:val="none" w:sz="0" w:space="0" w:color="auto"/>
        <w:left w:val="none" w:sz="0" w:space="0" w:color="auto"/>
        <w:bottom w:val="none" w:sz="0" w:space="0" w:color="auto"/>
        <w:right w:val="none" w:sz="0" w:space="0" w:color="auto"/>
      </w:divBdr>
      <w:divsChild>
        <w:div w:id="137692246">
          <w:marLeft w:val="0"/>
          <w:marRight w:val="0"/>
          <w:marTop w:val="0"/>
          <w:marBottom w:val="0"/>
          <w:divBdr>
            <w:top w:val="none" w:sz="0" w:space="0" w:color="auto"/>
            <w:left w:val="none" w:sz="0" w:space="0" w:color="auto"/>
            <w:bottom w:val="none" w:sz="0" w:space="0" w:color="auto"/>
            <w:right w:val="none" w:sz="0" w:space="0" w:color="auto"/>
          </w:divBdr>
          <w:divsChild>
            <w:div w:id="419954695">
              <w:marLeft w:val="210"/>
              <w:marRight w:val="0"/>
              <w:marTop w:val="120"/>
              <w:marBottom w:val="0"/>
              <w:divBdr>
                <w:top w:val="none" w:sz="0" w:space="0" w:color="auto"/>
                <w:left w:val="none" w:sz="0" w:space="0" w:color="auto"/>
                <w:bottom w:val="none" w:sz="0" w:space="0" w:color="auto"/>
                <w:right w:val="none" w:sz="0" w:space="0" w:color="auto"/>
              </w:divBdr>
              <w:divsChild>
                <w:div w:id="203176488">
                  <w:marLeft w:val="0"/>
                  <w:marRight w:val="0"/>
                  <w:marTop w:val="0"/>
                  <w:marBottom w:val="0"/>
                  <w:divBdr>
                    <w:top w:val="none" w:sz="0" w:space="0" w:color="auto"/>
                    <w:left w:val="none" w:sz="0" w:space="0" w:color="auto"/>
                    <w:bottom w:val="none" w:sz="0" w:space="0" w:color="auto"/>
                    <w:right w:val="none" w:sz="0" w:space="0" w:color="auto"/>
                  </w:divBdr>
                  <w:divsChild>
                    <w:div w:id="157778040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846704350">
          <w:marLeft w:val="0"/>
          <w:marRight w:val="0"/>
          <w:marTop w:val="0"/>
          <w:marBottom w:val="0"/>
          <w:divBdr>
            <w:top w:val="none" w:sz="0" w:space="0" w:color="auto"/>
            <w:left w:val="none" w:sz="0" w:space="0" w:color="auto"/>
            <w:bottom w:val="none" w:sz="0" w:space="0" w:color="auto"/>
            <w:right w:val="none" w:sz="0" w:space="0" w:color="auto"/>
          </w:divBdr>
          <w:divsChild>
            <w:div w:id="1991985383">
              <w:marLeft w:val="0"/>
              <w:marRight w:val="0"/>
              <w:marTop w:val="0"/>
              <w:marBottom w:val="0"/>
              <w:divBdr>
                <w:top w:val="none" w:sz="0" w:space="0" w:color="auto"/>
                <w:left w:val="none" w:sz="0" w:space="0" w:color="auto"/>
                <w:bottom w:val="none" w:sz="0" w:space="0" w:color="auto"/>
                <w:right w:val="none" w:sz="0" w:space="0" w:color="auto"/>
              </w:divBdr>
              <w:divsChild>
                <w:div w:id="1936937849">
                  <w:marLeft w:val="0"/>
                  <w:marRight w:val="0"/>
                  <w:marTop w:val="0"/>
                  <w:marBottom w:val="0"/>
                  <w:divBdr>
                    <w:top w:val="none" w:sz="0" w:space="0" w:color="auto"/>
                    <w:left w:val="none" w:sz="0" w:space="0" w:color="auto"/>
                    <w:bottom w:val="none" w:sz="0" w:space="0" w:color="auto"/>
                    <w:right w:val="none" w:sz="0" w:space="0" w:color="auto"/>
                  </w:divBdr>
                  <w:divsChild>
                    <w:div w:id="425880659">
                      <w:marLeft w:val="30"/>
                      <w:marRight w:val="30"/>
                      <w:marTop w:val="0"/>
                      <w:marBottom w:val="0"/>
                      <w:divBdr>
                        <w:top w:val="none" w:sz="0" w:space="0" w:color="auto"/>
                        <w:left w:val="none" w:sz="0" w:space="0" w:color="auto"/>
                        <w:bottom w:val="none" w:sz="0" w:space="0" w:color="auto"/>
                        <w:right w:val="none" w:sz="0" w:space="0" w:color="auto"/>
                      </w:divBdr>
                      <w:divsChild>
                        <w:div w:id="457454460">
                          <w:marLeft w:val="135"/>
                          <w:marRight w:val="45"/>
                          <w:marTop w:val="60"/>
                          <w:marBottom w:val="60"/>
                          <w:divBdr>
                            <w:top w:val="none" w:sz="0" w:space="0" w:color="auto"/>
                            <w:left w:val="none" w:sz="0" w:space="0" w:color="auto"/>
                            <w:bottom w:val="none" w:sz="0" w:space="0" w:color="auto"/>
                            <w:right w:val="none" w:sz="0" w:space="0" w:color="auto"/>
                          </w:divBdr>
                          <w:divsChild>
                            <w:div w:id="1268347325">
                              <w:marLeft w:val="0"/>
                              <w:marRight w:val="0"/>
                              <w:marTop w:val="0"/>
                              <w:marBottom w:val="0"/>
                              <w:divBdr>
                                <w:top w:val="none" w:sz="0" w:space="0" w:color="auto"/>
                                <w:left w:val="none" w:sz="0" w:space="0" w:color="auto"/>
                                <w:bottom w:val="none" w:sz="0" w:space="0" w:color="auto"/>
                                <w:right w:val="none" w:sz="0" w:space="0" w:color="auto"/>
                              </w:divBdr>
                              <w:divsChild>
                                <w:div w:id="923999850">
                                  <w:marLeft w:val="0"/>
                                  <w:marRight w:val="150"/>
                                  <w:marTop w:val="0"/>
                                  <w:marBottom w:val="0"/>
                                  <w:divBdr>
                                    <w:top w:val="none" w:sz="0" w:space="0" w:color="auto"/>
                                    <w:left w:val="none" w:sz="0" w:space="0" w:color="auto"/>
                                    <w:bottom w:val="none" w:sz="0" w:space="0" w:color="auto"/>
                                    <w:right w:val="none" w:sz="0" w:space="0" w:color="auto"/>
                                  </w:divBdr>
                                </w:div>
                                <w:div w:id="16368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6632">
                          <w:marLeft w:val="0"/>
                          <w:marRight w:val="90"/>
                          <w:marTop w:val="90"/>
                          <w:marBottom w:val="30"/>
                          <w:divBdr>
                            <w:top w:val="none" w:sz="0" w:space="0" w:color="auto"/>
                            <w:left w:val="none" w:sz="0" w:space="0" w:color="auto"/>
                            <w:bottom w:val="none" w:sz="0" w:space="0" w:color="auto"/>
                            <w:right w:val="none" w:sz="0" w:space="0" w:color="auto"/>
                          </w:divBdr>
                          <w:divsChild>
                            <w:div w:id="642193675">
                              <w:marLeft w:val="0"/>
                              <w:marRight w:val="0"/>
                              <w:marTop w:val="0"/>
                              <w:marBottom w:val="0"/>
                              <w:divBdr>
                                <w:top w:val="none" w:sz="0" w:space="0" w:color="auto"/>
                                <w:left w:val="none" w:sz="0" w:space="0" w:color="auto"/>
                                <w:bottom w:val="none" w:sz="0" w:space="0" w:color="auto"/>
                                <w:right w:val="none" w:sz="0" w:space="0" w:color="auto"/>
                              </w:divBdr>
                              <w:divsChild>
                                <w:div w:id="719011191">
                                  <w:marLeft w:val="45"/>
                                  <w:marRight w:val="0"/>
                                  <w:marTop w:val="0"/>
                                  <w:marBottom w:val="15"/>
                                  <w:divBdr>
                                    <w:top w:val="none" w:sz="0" w:space="0" w:color="auto"/>
                                    <w:left w:val="none" w:sz="0" w:space="0" w:color="auto"/>
                                    <w:bottom w:val="none" w:sz="0" w:space="0" w:color="auto"/>
                                    <w:right w:val="none" w:sz="0" w:space="0" w:color="auto"/>
                                  </w:divBdr>
                                </w:div>
                              </w:divsChild>
                            </w:div>
                            <w:div w:id="737750871">
                              <w:marLeft w:val="45"/>
                              <w:marRight w:val="0"/>
                              <w:marTop w:val="0"/>
                              <w:marBottom w:val="0"/>
                              <w:divBdr>
                                <w:top w:val="none" w:sz="0" w:space="0" w:color="auto"/>
                                <w:left w:val="none" w:sz="0" w:space="0" w:color="auto"/>
                                <w:bottom w:val="none" w:sz="0" w:space="0" w:color="auto"/>
                                <w:right w:val="none" w:sz="0" w:space="0" w:color="auto"/>
                              </w:divBdr>
                            </w:div>
                            <w:div w:id="1775402491">
                              <w:marLeft w:val="0"/>
                              <w:marRight w:val="30"/>
                              <w:marTop w:val="0"/>
                              <w:marBottom w:val="0"/>
                              <w:divBdr>
                                <w:top w:val="none" w:sz="0" w:space="0" w:color="auto"/>
                                <w:left w:val="none" w:sz="0" w:space="0" w:color="auto"/>
                                <w:bottom w:val="none" w:sz="0" w:space="0" w:color="auto"/>
                                <w:right w:val="none" w:sz="0" w:space="0" w:color="auto"/>
                              </w:divBdr>
                              <w:divsChild>
                                <w:div w:id="866913831">
                                  <w:marLeft w:val="0"/>
                                  <w:marRight w:val="0"/>
                                  <w:marTop w:val="0"/>
                                  <w:marBottom w:val="0"/>
                                  <w:divBdr>
                                    <w:top w:val="none" w:sz="0" w:space="0" w:color="auto"/>
                                    <w:left w:val="none" w:sz="0" w:space="0" w:color="auto"/>
                                    <w:bottom w:val="none" w:sz="0" w:space="0" w:color="auto"/>
                                    <w:right w:val="none" w:sz="0" w:space="0" w:color="auto"/>
                                  </w:divBdr>
                                  <w:divsChild>
                                    <w:div w:id="91358">
                                      <w:marLeft w:val="0"/>
                                      <w:marRight w:val="0"/>
                                      <w:marTop w:val="0"/>
                                      <w:marBottom w:val="0"/>
                                      <w:divBdr>
                                        <w:top w:val="none" w:sz="0" w:space="0" w:color="auto"/>
                                        <w:left w:val="none" w:sz="0" w:space="0" w:color="auto"/>
                                        <w:bottom w:val="none" w:sz="0" w:space="0" w:color="auto"/>
                                        <w:right w:val="none" w:sz="0" w:space="0" w:color="auto"/>
                                      </w:divBdr>
                                      <w:divsChild>
                                        <w:div w:id="11556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256435">
                      <w:marLeft w:val="30"/>
                      <w:marRight w:val="30"/>
                      <w:marTop w:val="0"/>
                      <w:marBottom w:val="0"/>
                      <w:divBdr>
                        <w:top w:val="none" w:sz="0" w:space="0" w:color="auto"/>
                        <w:left w:val="none" w:sz="0" w:space="0" w:color="auto"/>
                        <w:bottom w:val="none" w:sz="0" w:space="0" w:color="auto"/>
                        <w:right w:val="none" w:sz="0" w:space="0" w:color="auto"/>
                      </w:divBdr>
                      <w:divsChild>
                        <w:div w:id="1513491558">
                          <w:marLeft w:val="135"/>
                          <w:marRight w:val="45"/>
                          <w:marTop w:val="60"/>
                          <w:marBottom w:val="60"/>
                          <w:divBdr>
                            <w:top w:val="none" w:sz="0" w:space="0" w:color="auto"/>
                            <w:left w:val="none" w:sz="0" w:space="0" w:color="auto"/>
                            <w:bottom w:val="none" w:sz="0" w:space="0" w:color="auto"/>
                            <w:right w:val="none" w:sz="0" w:space="0" w:color="auto"/>
                          </w:divBdr>
                          <w:divsChild>
                            <w:div w:id="251667464">
                              <w:marLeft w:val="0"/>
                              <w:marRight w:val="0"/>
                              <w:marTop w:val="0"/>
                              <w:marBottom w:val="0"/>
                              <w:divBdr>
                                <w:top w:val="none" w:sz="0" w:space="0" w:color="auto"/>
                                <w:left w:val="none" w:sz="0" w:space="0" w:color="auto"/>
                                <w:bottom w:val="none" w:sz="0" w:space="0" w:color="auto"/>
                                <w:right w:val="none" w:sz="0" w:space="0" w:color="auto"/>
                              </w:divBdr>
                              <w:divsChild>
                                <w:div w:id="125312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73444312">
                          <w:marLeft w:val="0"/>
                          <w:marRight w:val="90"/>
                          <w:marTop w:val="90"/>
                          <w:marBottom w:val="30"/>
                          <w:divBdr>
                            <w:top w:val="none" w:sz="0" w:space="0" w:color="auto"/>
                            <w:left w:val="none" w:sz="0" w:space="0" w:color="auto"/>
                            <w:bottom w:val="none" w:sz="0" w:space="0" w:color="auto"/>
                            <w:right w:val="none" w:sz="0" w:space="0" w:color="auto"/>
                          </w:divBdr>
                          <w:divsChild>
                            <w:div w:id="257833391">
                              <w:marLeft w:val="0"/>
                              <w:marRight w:val="30"/>
                              <w:marTop w:val="0"/>
                              <w:marBottom w:val="0"/>
                              <w:divBdr>
                                <w:top w:val="none" w:sz="0" w:space="0" w:color="auto"/>
                                <w:left w:val="none" w:sz="0" w:space="0" w:color="auto"/>
                                <w:bottom w:val="none" w:sz="0" w:space="0" w:color="auto"/>
                                <w:right w:val="none" w:sz="0" w:space="0" w:color="auto"/>
                              </w:divBdr>
                              <w:divsChild>
                                <w:div w:id="2084176730">
                                  <w:marLeft w:val="0"/>
                                  <w:marRight w:val="0"/>
                                  <w:marTop w:val="0"/>
                                  <w:marBottom w:val="0"/>
                                  <w:divBdr>
                                    <w:top w:val="none" w:sz="0" w:space="0" w:color="auto"/>
                                    <w:left w:val="none" w:sz="0" w:space="0" w:color="auto"/>
                                    <w:bottom w:val="none" w:sz="0" w:space="0" w:color="auto"/>
                                    <w:right w:val="none" w:sz="0" w:space="0" w:color="auto"/>
                                  </w:divBdr>
                                  <w:divsChild>
                                    <w:div w:id="1973052876">
                                      <w:marLeft w:val="0"/>
                                      <w:marRight w:val="0"/>
                                      <w:marTop w:val="0"/>
                                      <w:marBottom w:val="0"/>
                                      <w:divBdr>
                                        <w:top w:val="none" w:sz="0" w:space="0" w:color="auto"/>
                                        <w:left w:val="none" w:sz="0" w:space="0" w:color="auto"/>
                                        <w:bottom w:val="none" w:sz="0" w:space="0" w:color="auto"/>
                                        <w:right w:val="none" w:sz="0" w:space="0" w:color="auto"/>
                                      </w:divBdr>
                                      <w:divsChild>
                                        <w:div w:id="1047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1778">
                              <w:marLeft w:val="0"/>
                              <w:marRight w:val="0"/>
                              <w:marTop w:val="0"/>
                              <w:marBottom w:val="0"/>
                              <w:divBdr>
                                <w:top w:val="none" w:sz="0" w:space="0" w:color="auto"/>
                                <w:left w:val="none" w:sz="0" w:space="0" w:color="auto"/>
                                <w:bottom w:val="none" w:sz="0" w:space="0" w:color="auto"/>
                                <w:right w:val="none" w:sz="0" w:space="0" w:color="auto"/>
                              </w:divBdr>
                              <w:divsChild>
                                <w:div w:id="656612668">
                                  <w:marLeft w:val="45"/>
                                  <w:marRight w:val="0"/>
                                  <w:marTop w:val="0"/>
                                  <w:marBottom w:val="15"/>
                                  <w:divBdr>
                                    <w:top w:val="none" w:sz="0" w:space="0" w:color="auto"/>
                                    <w:left w:val="none" w:sz="0" w:space="0" w:color="auto"/>
                                    <w:bottom w:val="none" w:sz="0" w:space="0" w:color="auto"/>
                                    <w:right w:val="none" w:sz="0" w:space="0" w:color="auto"/>
                                  </w:divBdr>
                                </w:div>
                              </w:divsChild>
                            </w:div>
                            <w:div w:id="20300571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2603542">
                      <w:marLeft w:val="30"/>
                      <w:marRight w:val="30"/>
                      <w:marTop w:val="0"/>
                      <w:marBottom w:val="0"/>
                      <w:divBdr>
                        <w:top w:val="none" w:sz="0" w:space="0" w:color="auto"/>
                        <w:left w:val="none" w:sz="0" w:space="0" w:color="auto"/>
                        <w:bottom w:val="none" w:sz="0" w:space="0" w:color="auto"/>
                        <w:right w:val="none" w:sz="0" w:space="0" w:color="auto"/>
                      </w:divBdr>
                      <w:divsChild>
                        <w:div w:id="1508791068">
                          <w:marLeft w:val="180"/>
                          <w:marRight w:val="210"/>
                          <w:marTop w:val="0"/>
                          <w:marBottom w:val="30"/>
                          <w:divBdr>
                            <w:top w:val="none" w:sz="0" w:space="0" w:color="auto"/>
                            <w:left w:val="none" w:sz="0" w:space="0" w:color="auto"/>
                            <w:bottom w:val="none" w:sz="0" w:space="0" w:color="auto"/>
                            <w:right w:val="none" w:sz="0" w:space="0" w:color="auto"/>
                          </w:divBdr>
                          <w:divsChild>
                            <w:div w:id="947156158">
                              <w:marLeft w:val="45"/>
                              <w:marRight w:val="0"/>
                              <w:marTop w:val="0"/>
                              <w:marBottom w:val="0"/>
                              <w:divBdr>
                                <w:top w:val="none" w:sz="0" w:space="0" w:color="auto"/>
                                <w:left w:val="none" w:sz="0" w:space="0" w:color="auto"/>
                                <w:bottom w:val="none" w:sz="0" w:space="0" w:color="auto"/>
                                <w:right w:val="none" w:sz="0" w:space="0" w:color="auto"/>
                              </w:divBdr>
                            </w:div>
                            <w:div w:id="1939175150">
                              <w:marLeft w:val="0"/>
                              <w:marRight w:val="30"/>
                              <w:marTop w:val="0"/>
                              <w:marBottom w:val="0"/>
                              <w:divBdr>
                                <w:top w:val="none" w:sz="0" w:space="0" w:color="auto"/>
                                <w:left w:val="none" w:sz="0" w:space="0" w:color="auto"/>
                                <w:bottom w:val="none" w:sz="0" w:space="0" w:color="auto"/>
                                <w:right w:val="none" w:sz="0" w:space="0" w:color="auto"/>
                              </w:divBdr>
                              <w:divsChild>
                                <w:div w:id="917405134">
                                  <w:marLeft w:val="0"/>
                                  <w:marRight w:val="0"/>
                                  <w:marTop w:val="0"/>
                                  <w:marBottom w:val="0"/>
                                  <w:divBdr>
                                    <w:top w:val="none" w:sz="0" w:space="0" w:color="auto"/>
                                    <w:left w:val="none" w:sz="0" w:space="0" w:color="auto"/>
                                    <w:bottom w:val="none" w:sz="0" w:space="0" w:color="auto"/>
                                    <w:right w:val="none" w:sz="0" w:space="0" w:color="auto"/>
                                  </w:divBdr>
                                  <w:divsChild>
                                    <w:div w:id="1862086958">
                                      <w:marLeft w:val="0"/>
                                      <w:marRight w:val="0"/>
                                      <w:marTop w:val="0"/>
                                      <w:marBottom w:val="0"/>
                                      <w:divBdr>
                                        <w:top w:val="none" w:sz="0" w:space="0" w:color="auto"/>
                                        <w:left w:val="none" w:sz="0" w:space="0" w:color="auto"/>
                                        <w:bottom w:val="none" w:sz="0" w:space="0" w:color="auto"/>
                                        <w:right w:val="none" w:sz="0" w:space="0" w:color="auto"/>
                                      </w:divBdr>
                                      <w:divsChild>
                                        <w:div w:id="13634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882436">
      <w:bodyDiv w:val="1"/>
      <w:marLeft w:val="0"/>
      <w:marRight w:val="0"/>
      <w:marTop w:val="0"/>
      <w:marBottom w:val="0"/>
      <w:divBdr>
        <w:top w:val="none" w:sz="0" w:space="0" w:color="auto"/>
        <w:left w:val="none" w:sz="0" w:space="0" w:color="auto"/>
        <w:bottom w:val="none" w:sz="0" w:space="0" w:color="auto"/>
        <w:right w:val="none" w:sz="0" w:space="0" w:color="auto"/>
      </w:divBdr>
    </w:div>
    <w:div w:id="344013436">
      <w:bodyDiv w:val="1"/>
      <w:marLeft w:val="0"/>
      <w:marRight w:val="0"/>
      <w:marTop w:val="0"/>
      <w:marBottom w:val="0"/>
      <w:divBdr>
        <w:top w:val="none" w:sz="0" w:space="0" w:color="auto"/>
        <w:left w:val="none" w:sz="0" w:space="0" w:color="auto"/>
        <w:bottom w:val="none" w:sz="0" w:space="0" w:color="auto"/>
        <w:right w:val="none" w:sz="0" w:space="0" w:color="auto"/>
      </w:divBdr>
    </w:div>
    <w:div w:id="352535183">
      <w:bodyDiv w:val="1"/>
      <w:marLeft w:val="0"/>
      <w:marRight w:val="0"/>
      <w:marTop w:val="0"/>
      <w:marBottom w:val="0"/>
      <w:divBdr>
        <w:top w:val="none" w:sz="0" w:space="0" w:color="auto"/>
        <w:left w:val="none" w:sz="0" w:space="0" w:color="auto"/>
        <w:bottom w:val="none" w:sz="0" w:space="0" w:color="auto"/>
        <w:right w:val="none" w:sz="0" w:space="0" w:color="auto"/>
      </w:divBdr>
      <w:divsChild>
        <w:div w:id="235208839">
          <w:marLeft w:val="0"/>
          <w:marRight w:val="0"/>
          <w:marTop w:val="0"/>
          <w:marBottom w:val="0"/>
          <w:divBdr>
            <w:top w:val="none" w:sz="0" w:space="0" w:color="auto"/>
            <w:left w:val="none" w:sz="0" w:space="0" w:color="auto"/>
            <w:bottom w:val="none" w:sz="0" w:space="0" w:color="auto"/>
            <w:right w:val="none" w:sz="0" w:space="0" w:color="auto"/>
          </w:divBdr>
          <w:divsChild>
            <w:div w:id="1936589237">
              <w:marLeft w:val="210"/>
              <w:marRight w:val="0"/>
              <w:marTop w:val="120"/>
              <w:marBottom w:val="0"/>
              <w:divBdr>
                <w:top w:val="none" w:sz="0" w:space="0" w:color="auto"/>
                <w:left w:val="none" w:sz="0" w:space="0" w:color="auto"/>
                <w:bottom w:val="none" w:sz="0" w:space="0" w:color="auto"/>
                <w:right w:val="none" w:sz="0" w:space="0" w:color="auto"/>
              </w:divBdr>
              <w:divsChild>
                <w:div w:id="1156848091">
                  <w:marLeft w:val="0"/>
                  <w:marRight w:val="0"/>
                  <w:marTop w:val="0"/>
                  <w:marBottom w:val="0"/>
                  <w:divBdr>
                    <w:top w:val="none" w:sz="0" w:space="0" w:color="auto"/>
                    <w:left w:val="none" w:sz="0" w:space="0" w:color="auto"/>
                    <w:bottom w:val="none" w:sz="0" w:space="0" w:color="auto"/>
                    <w:right w:val="none" w:sz="0" w:space="0" w:color="auto"/>
                  </w:divBdr>
                  <w:divsChild>
                    <w:div w:id="61252097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349603824">
          <w:marLeft w:val="0"/>
          <w:marRight w:val="0"/>
          <w:marTop w:val="0"/>
          <w:marBottom w:val="0"/>
          <w:divBdr>
            <w:top w:val="none" w:sz="0" w:space="0" w:color="auto"/>
            <w:left w:val="none" w:sz="0" w:space="0" w:color="auto"/>
            <w:bottom w:val="none" w:sz="0" w:space="0" w:color="auto"/>
            <w:right w:val="none" w:sz="0" w:space="0" w:color="auto"/>
          </w:divBdr>
          <w:divsChild>
            <w:div w:id="256594158">
              <w:marLeft w:val="0"/>
              <w:marRight w:val="0"/>
              <w:marTop w:val="0"/>
              <w:marBottom w:val="0"/>
              <w:divBdr>
                <w:top w:val="none" w:sz="0" w:space="0" w:color="auto"/>
                <w:left w:val="none" w:sz="0" w:space="0" w:color="auto"/>
                <w:bottom w:val="none" w:sz="0" w:space="0" w:color="auto"/>
                <w:right w:val="none" w:sz="0" w:space="0" w:color="auto"/>
              </w:divBdr>
              <w:divsChild>
                <w:div w:id="1605573154">
                  <w:marLeft w:val="0"/>
                  <w:marRight w:val="0"/>
                  <w:marTop w:val="0"/>
                  <w:marBottom w:val="0"/>
                  <w:divBdr>
                    <w:top w:val="none" w:sz="0" w:space="0" w:color="auto"/>
                    <w:left w:val="none" w:sz="0" w:space="0" w:color="auto"/>
                    <w:bottom w:val="none" w:sz="0" w:space="0" w:color="auto"/>
                    <w:right w:val="none" w:sz="0" w:space="0" w:color="auto"/>
                  </w:divBdr>
                  <w:divsChild>
                    <w:div w:id="1231312154">
                      <w:marLeft w:val="30"/>
                      <w:marRight w:val="30"/>
                      <w:marTop w:val="0"/>
                      <w:marBottom w:val="0"/>
                      <w:divBdr>
                        <w:top w:val="none" w:sz="0" w:space="0" w:color="auto"/>
                        <w:left w:val="none" w:sz="0" w:space="0" w:color="auto"/>
                        <w:bottom w:val="none" w:sz="0" w:space="0" w:color="auto"/>
                        <w:right w:val="none" w:sz="0" w:space="0" w:color="auto"/>
                      </w:divBdr>
                      <w:divsChild>
                        <w:div w:id="1715232750">
                          <w:marLeft w:val="180"/>
                          <w:marRight w:val="210"/>
                          <w:marTop w:val="0"/>
                          <w:marBottom w:val="30"/>
                          <w:divBdr>
                            <w:top w:val="none" w:sz="0" w:space="0" w:color="auto"/>
                            <w:left w:val="none" w:sz="0" w:space="0" w:color="auto"/>
                            <w:bottom w:val="none" w:sz="0" w:space="0" w:color="auto"/>
                            <w:right w:val="none" w:sz="0" w:space="0" w:color="auto"/>
                          </w:divBdr>
                          <w:divsChild>
                            <w:div w:id="112944842">
                              <w:marLeft w:val="0"/>
                              <w:marRight w:val="30"/>
                              <w:marTop w:val="0"/>
                              <w:marBottom w:val="0"/>
                              <w:divBdr>
                                <w:top w:val="none" w:sz="0" w:space="0" w:color="auto"/>
                                <w:left w:val="none" w:sz="0" w:space="0" w:color="auto"/>
                                <w:bottom w:val="none" w:sz="0" w:space="0" w:color="auto"/>
                                <w:right w:val="none" w:sz="0" w:space="0" w:color="auto"/>
                              </w:divBdr>
                              <w:divsChild>
                                <w:div w:id="2019850288">
                                  <w:marLeft w:val="0"/>
                                  <w:marRight w:val="0"/>
                                  <w:marTop w:val="0"/>
                                  <w:marBottom w:val="0"/>
                                  <w:divBdr>
                                    <w:top w:val="none" w:sz="0" w:space="0" w:color="auto"/>
                                    <w:left w:val="none" w:sz="0" w:space="0" w:color="auto"/>
                                    <w:bottom w:val="none" w:sz="0" w:space="0" w:color="auto"/>
                                    <w:right w:val="none" w:sz="0" w:space="0" w:color="auto"/>
                                  </w:divBdr>
                                  <w:divsChild>
                                    <w:div w:id="306788986">
                                      <w:marLeft w:val="0"/>
                                      <w:marRight w:val="0"/>
                                      <w:marTop w:val="0"/>
                                      <w:marBottom w:val="0"/>
                                      <w:divBdr>
                                        <w:top w:val="none" w:sz="0" w:space="0" w:color="auto"/>
                                        <w:left w:val="none" w:sz="0" w:space="0" w:color="auto"/>
                                        <w:bottom w:val="none" w:sz="0" w:space="0" w:color="auto"/>
                                        <w:right w:val="none" w:sz="0" w:space="0" w:color="auto"/>
                                      </w:divBdr>
                                      <w:divsChild>
                                        <w:div w:id="11397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011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84097480">
                      <w:marLeft w:val="30"/>
                      <w:marRight w:val="30"/>
                      <w:marTop w:val="0"/>
                      <w:marBottom w:val="0"/>
                      <w:divBdr>
                        <w:top w:val="none" w:sz="0" w:space="0" w:color="auto"/>
                        <w:left w:val="none" w:sz="0" w:space="0" w:color="auto"/>
                        <w:bottom w:val="none" w:sz="0" w:space="0" w:color="auto"/>
                        <w:right w:val="none" w:sz="0" w:space="0" w:color="auto"/>
                      </w:divBdr>
                      <w:divsChild>
                        <w:div w:id="109514167">
                          <w:marLeft w:val="135"/>
                          <w:marRight w:val="45"/>
                          <w:marTop w:val="60"/>
                          <w:marBottom w:val="60"/>
                          <w:divBdr>
                            <w:top w:val="none" w:sz="0" w:space="0" w:color="auto"/>
                            <w:left w:val="none" w:sz="0" w:space="0" w:color="auto"/>
                            <w:bottom w:val="none" w:sz="0" w:space="0" w:color="auto"/>
                            <w:right w:val="none" w:sz="0" w:space="0" w:color="auto"/>
                          </w:divBdr>
                          <w:divsChild>
                            <w:div w:id="1148208219">
                              <w:marLeft w:val="0"/>
                              <w:marRight w:val="0"/>
                              <w:marTop w:val="0"/>
                              <w:marBottom w:val="0"/>
                              <w:divBdr>
                                <w:top w:val="none" w:sz="0" w:space="0" w:color="auto"/>
                                <w:left w:val="none" w:sz="0" w:space="0" w:color="auto"/>
                                <w:bottom w:val="none" w:sz="0" w:space="0" w:color="auto"/>
                                <w:right w:val="none" w:sz="0" w:space="0" w:color="auto"/>
                              </w:divBdr>
                              <w:divsChild>
                                <w:div w:id="649670824">
                                  <w:marLeft w:val="0"/>
                                  <w:marRight w:val="150"/>
                                  <w:marTop w:val="0"/>
                                  <w:marBottom w:val="0"/>
                                  <w:divBdr>
                                    <w:top w:val="none" w:sz="0" w:space="0" w:color="auto"/>
                                    <w:left w:val="none" w:sz="0" w:space="0" w:color="auto"/>
                                    <w:bottom w:val="none" w:sz="0" w:space="0" w:color="auto"/>
                                    <w:right w:val="none" w:sz="0" w:space="0" w:color="auto"/>
                                  </w:divBdr>
                                </w:div>
                                <w:div w:id="14502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8863">
                          <w:marLeft w:val="0"/>
                          <w:marRight w:val="90"/>
                          <w:marTop w:val="90"/>
                          <w:marBottom w:val="30"/>
                          <w:divBdr>
                            <w:top w:val="none" w:sz="0" w:space="0" w:color="auto"/>
                            <w:left w:val="none" w:sz="0" w:space="0" w:color="auto"/>
                            <w:bottom w:val="none" w:sz="0" w:space="0" w:color="auto"/>
                            <w:right w:val="none" w:sz="0" w:space="0" w:color="auto"/>
                          </w:divBdr>
                          <w:divsChild>
                            <w:div w:id="479419807">
                              <w:marLeft w:val="0"/>
                              <w:marRight w:val="30"/>
                              <w:marTop w:val="0"/>
                              <w:marBottom w:val="0"/>
                              <w:divBdr>
                                <w:top w:val="none" w:sz="0" w:space="0" w:color="auto"/>
                                <w:left w:val="none" w:sz="0" w:space="0" w:color="auto"/>
                                <w:bottom w:val="none" w:sz="0" w:space="0" w:color="auto"/>
                                <w:right w:val="none" w:sz="0" w:space="0" w:color="auto"/>
                              </w:divBdr>
                              <w:divsChild>
                                <w:div w:id="401952527">
                                  <w:marLeft w:val="0"/>
                                  <w:marRight w:val="0"/>
                                  <w:marTop w:val="0"/>
                                  <w:marBottom w:val="0"/>
                                  <w:divBdr>
                                    <w:top w:val="none" w:sz="0" w:space="0" w:color="auto"/>
                                    <w:left w:val="none" w:sz="0" w:space="0" w:color="auto"/>
                                    <w:bottom w:val="none" w:sz="0" w:space="0" w:color="auto"/>
                                    <w:right w:val="none" w:sz="0" w:space="0" w:color="auto"/>
                                  </w:divBdr>
                                  <w:divsChild>
                                    <w:div w:id="89743050">
                                      <w:marLeft w:val="0"/>
                                      <w:marRight w:val="0"/>
                                      <w:marTop w:val="0"/>
                                      <w:marBottom w:val="0"/>
                                      <w:divBdr>
                                        <w:top w:val="none" w:sz="0" w:space="0" w:color="auto"/>
                                        <w:left w:val="none" w:sz="0" w:space="0" w:color="auto"/>
                                        <w:bottom w:val="none" w:sz="0" w:space="0" w:color="auto"/>
                                        <w:right w:val="none" w:sz="0" w:space="0" w:color="auto"/>
                                      </w:divBdr>
                                      <w:divsChild>
                                        <w:div w:id="1989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04297">
                              <w:marLeft w:val="0"/>
                              <w:marRight w:val="0"/>
                              <w:marTop w:val="0"/>
                              <w:marBottom w:val="0"/>
                              <w:divBdr>
                                <w:top w:val="none" w:sz="0" w:space="0" w:color="auto"/>
                                <w:left w:val="none" w:sz="0" w:space="0" w:color="auto"/>
                                <w:bottom w:val="none" w:sz="0" w:space="0" w:color="auto"/>
                                <w:right w:val="none" w:sz="0" w:space="0" w:color="auto"/>
                              </w:divBdr>
                              <w:divsChild>
                                <w:div w:id="698092686">
                                  <w:marLeft w:val="45"/>
                                  <w:marRight w:val="0"/>
                                  <w:marTop w:val="0"/>
                                  <w:marBottom w:val="15"/>
                                  <w:divBdr>
                                    <w:top w:val="none" w:sz="0" w:space="0" w:color="auto"/>
                                    <w:left w:val="none" w:sz="0" w:space="0" w:color="auto"/>
                                    <w:bottom w:val="none" w:sz="0" w:space="0" w:color="auto"/>
                                    <w:right w:val="none" w:sz="0" w:space="0" w:color="auto"/>
                                  </w:divBdr>
                                </w:div>
                              </w:divsChild>
                            </w:div>
                            <w:div w:id="10582868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594070">
      <w:bodyDiv w:val="1"/>
      <w:marLeft w:val="0"/>
      <w:marRight w:val="0"/>
      <w:marTop w:val="0"/>
      <w:marBottom w:val="0"/>
      <w:divBdr>
        <w:top w:val="none" w:sz="0" w:space="0" w:color="auto"/>
        <w:left w:val="none" w:sz="0" w:space="0" w:color="auto"/>
        <w:bottom w:val="none" w:sz="0" w:space="0" w:color="auto"/>
        <w:right w:val="none" w:sz="0" w:space="0" w:color="auto"/>
      </w:divBdr>
      <w:divsChild>
        <w:div w:id="115952272">
          <w:marLeft w:val="0"/>
          <w:marRight w:val="0"/>
          <w:marTop w:val="0"/>
          <w:marBottom w:val="0"/>
          <w:divBdr>
            <w:top w:val="none" w:sz="0" w:space="0" w:color="auto"/>
            <w:left w:val="none" w:sz="0" w:space="0" w:color="auto"/>
            <w:bottom w:val="none" w:sz="0" w:space="0" w:color="auto"/>
            <w:right w:val="none" w:sz="0" w:space="0" w:color="auto"/>
          </w:divBdr>
          <w:divsChild>
            <w:div w:id="704260025">
              <w:marLeft w:val="0"/>
              <w:marRight w:val="0"/>
              <w:marTop w:val="0"/>
              <w:marBottom w:val="0"/>
              <w:divBdr>
                <w:top w:val="none" w:sz="0" w:space="0" w:color="auto"/>
                <w:left w:val="none" w:sz="0" w:space="0" w:color="auto"/>
                <w:bottom w:val="none" w:sz="0" w:space="0" w:color="auto"/>
                <w:right w:val="none" w:sz="0" w:space="0" w:color="auto"/>
              </w:divBdr>
              <w:divsChild>
                <w:div w:id="619533179">
                  <w:marLeft w:val="0"/>
                  <w:marRight w:val="0"/>
                  <w:marTop w:val="0"/>
                  <w:marBottom w:val="0"/>
                  <w:divBdr>
                    <w:top w:val="none" w:sz="0" w:space="0" w:color="auto"/>
                    <w:left w:val="none" w:sz="0" w:space="0" w:color="auto"/>
                    <w:bottom w:val="none" w:sz="0" w:space="0" w:color="auto"/>
                    <w:right w:val="none" w:sz="0" w:space="0" w:color="auto"/>
                  </w:divBdr>
                  <w:divsChild>
                    <w:div w:id="694354281">
                      <w:marLeft w:val="30"/>
                      <w:marRight w:val="30"/>
                      <w:marTop w:val="0"/>
                      <w:marBottom w:val="0"/>
                      <w:divBdr>
                        <w:top w:val="none" w:sz="0" w:space="0" w:color="auto"/>
                        <w:left w:val="none" w:sz="0" w:space="0" w:color="auto"/>
                        <w:bottom w:val="none" w:sz="0" w:space="0" w:color="auto"/>
                        <w:right w:val="none" w:sz="0" w:space="0" w:color="auto"/>
                      </w:divBdr>
                      <w:divsChild>
                        <w:div w:id="2140417952">
                          <w:marLeft w:val="180"/>
                          <w:marRight w:val="210"/>
                          <w:marTop w:val="0"/>
                          <w:marBottom w:val="30"/>
                          <w:divBdr>
                            <w:top w:val="none" w:sz="0" w:space="0" w:color="auto"/>
                            <w:left w:val="none" w:sz="0" w:space="0" w:color="auto"/>
                            <w:bottom w:val="none" w:sz="0" w:space="0" w:color="auto"/>
                            <w:right w:val="none" w:sz="0" w:space="0" w:color="auto"/>
                          </w:divBdr>
                          <w:divsChild>
                            <w:div w:id="523254132">
                              <w:marLeft w:val="0"/>
                              <w:marRight w:val="30"/>
                              <w:marTop w:val="0"/>
                              <w:marBottom w:val="0"/>
                              <w:divBdr>
                                <w:top w:val="none" w:sz="0" w:space="0" w:color="auto"/>
                                <w:left w:val="none" w:sz="0" w:space="0" w:color="auto"/>
                                <w:bottom w:val="none" w:sz="0" w:space="0" w:color="auto"/>
                                <w:right w:val="none" w:sz="0" w:space="0" w:color="auto"/>
                              </w:divBdr>
                              <w:divsChild>
                                <w:div w:id="1863392249">
                                  <w:marLeft w:val="0"/>
                                  <w:marRight w:val="0"/>
                                  <w:marTop w:val="0"/>
                                  <w:marBottom w:val="0"/>
                                  <w:divBdr>
                                    <w:top w:val="none" w:sz="0" w:space="0" w:color="auto"/>
                                    <w:left w:val="none" w:sz="0" w:space="0" w:color="auto"/>
                                    <w:bottom w:val="none" w:sz="0" w:space="0" w:color="auto"/>
                                    <w:right w:val="none" w:sz="0" w:space="0" w:color="auto"/>
                                  </w:divBdr>
                                  <w:divsChild>
                                    <w:div w:id="1881278854">
                                      <w:marLeft w:val="0"/>
                                      <w:marRight w:val="0"/>
                                      <w:marTop w:val="0"/>
                                      <w:marBottom w:val="0"/>
                                      <w:divBdr>
                                        <w:top w:val="none" w:sz="0" w:space="0" w:color="auto"/>
                                        <w:left w:val="none" w:sz="0" w:space="0" w:color="auto"/>
                                        <w:bottom w:val="none" w:sz="0" w:space="0" w:color="auto"/>
                                        <w:right w:val="none" w:sz="0" w:space="0" w:color="auto"/>
                                      </w:divBdr>
                                      <w:divsChild>
                                        <w:div w:id="13621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73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2622">
          <w:marLeft w:val="0"/>
          <w:marRight w:val="0"/>
          <w:marTop w:val="0"/>
          <w:marBottom w:val="0"/>
          <w:divBdr>
            <w:top w:val="none" w:sz="0" w:space="0" w:color="auto"/>
            <w:left w:val="none" w:sz="0" w:space="0" w:color="auto"/>
            <w:bottom w:val="none" w:sz="0" w:space="0" w:color="auto"/>
            <w:right w:val="none" w:sz="0" w:space="0" w:color="auto"/>
          </w:divBdr>
          <w:divsChild>
            <w:div w:id="1910655566">
              <w:marLeft w:val="210"/>
              <w:marRight w:val="0"/>
              <w:marTop w:val="120"/>
              <w:marBottom w:val="0"/>
              <w:divBdr>
                <w:top w:val="none" w:sz="0" w:space="0" w:color="auto"/>
                <w:left w:val="none" w:sz="0" w:space="0" w:color="auto"/>
                <w:bottom w:val="none" w:sz="0" w:space="0" w:color="auto"/>
                <w:right w:val="none" w:sz="0" w:space="0" w:color="auto"/>
              </w:divBdr>
              <w:divsChild>
                <w:div w:id="1947032208">
                  <w:marLeft w:val="0"/>
                  <w:marRight w:val="0"/>
                  <w:marTop w:val="0"/>
                  <w:marBottom w:val="0"/>
                  <w:divBdr>
                    <w:top w:val="none" w:sz="0" w:space="0" w:color="auto"/>
                    <w:left w:val="none" w:sz="0" w:space="0" w:color="auto"/>
                    <w:bottom w:val="none" w:sz="0" w:space="0" w:color="auto"/>
                    <w:right w:val="none" w:sz="0" w:space="0" w:color="auto"/>
                  </w:divBdr>
                  <w:divsChild>
                    <w:div w:id="6064168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368796115">
      <w:bodyDiv w:val="1"/>
      <w:marLeft w:val="0"/>
      <w:marRight w:val="0"/>
      <w:marTop w:val="0"/>
      <w:marBottom w:val="0"/>
      <w:divBdr>
        <w:top w:val="none" w:sz="0" w:space="0" w:color="auto"/>
        <w:left w:val="none" w:sz="0" w:space="0" w:color="auto"/>
        <w:bottom w:val="none" w:sz="0" w:space="0" w:color="auto"/>
        <w:right w:val="none" w:sz="0" w:space="0" w:color="auto"/>
      </w:divBdr>
    </w:div>
    <w:div w:id="378746004">
      <w:bodyDiv w:val="1"/>
      <w:marLeft w:val="0"/>
      <w:marRight w:val="0"/>
      <w:marTop w:val="0"/>
      <w:marBottom w:val="0"/>
      <w:divBdr>
        <w:top w:val="none" w:sz="0" w:space="0" w:color="auto"/>
        <w:left w:val="none" w:sz="0" w:space="0" w:color="auto"/>
        <w:bottom w:val="none" w:sz="0" w:space="0" w:color="auto"/>
        <w:right w:val="none" w:sz="0" w:space="0" w:color="auto"/>
      </w:divBdr>
    </w:div>
    <w:div w:id="385951121">
      <w:bodyDiv w:val="1"/>
      <w:marLeft w:val="0"/>
      <w:marRight w:val="0"/>
      <w:marTop w:val="0"/>
      <w:marBottom w:val="0"/>
      <w:divBdr>
        <w:top w:val="none" w:sz="0" w:space="0" w:color="auto"/>
        <w:left w:val="none" w:sz="0" w:space="0" w:color="auto"/>
        <w:bottom w:val="none" w:sz="0" w:space="0" w:color="auto"/>
        <w:right w:val="none" w:sz="0" w:space="0" w:color="auto"/>
      </w:divBdr>
      <w:divsChild>
        <w:div w:id="925842337">
          <w:marLeft w:val="30"/>
          <w:marRight w:val="30"/>
          <w:marTop w:val="0"/>
          <w:marBottom w:val="0"/>
          <w:divBdr>
            <w:top w:val="none" w:sz="0" w:space="0" w:color="auto"/>
            <w:left w:val="none" w:sz="0" w:space="0" w:color="auto"/>
            <w:bottom w:val="none" w:sz="0" w:space="0" w:color="auto"/>
            <w:right w:val="none" w:sz="0" w:space="0" w:color="auto"/>
          </w:divBdr>
          <w:divsChild>
            <w:div w:id="776220024">
              <w:marLeft w:val="135"/>
              <w:marRight w:val="45"/>
              <w:marTop w:val="60"/>
              <w:marBottom w:val="60"/>
              <w:divBdr>
                <w:top w:val="none" w:sz="0" w:space="0" w:color="auto"/>
                <w:left w:val="none" w:sz="0" w:space="0" w:color="auto"/>
                <w:bottom w:val="none" w:sz="0" w:space="0" w:color="auto"/>
                <w:right w:val="none" w:sz="0" w:space="0" w:color="auto"/>
              </w:divBdr>
              <w:divsChild>
                <w:div w:id="1450123828">
                  <w:marLeft w:val="0"/>
                  <w:marRight w:val="0"/>
                  <w:marTop w:val="0"/>
                  <w:marBottom w:val="0"/>
                  <w:divBdr>
                    <w:top w:val="none" w:sz="0" w:space="0" w:color="auto"/>
                    <w:left w:val="none" w:sz="0" w:space="0" w:color="auto"/>
                    <w:bottom w:val="none" w:sz="0" w:space="0" w:color="auto"/>
                    <w:right w:val="none" w:sz="0" w:space="0" w:color="auto"/>
                  </w:divBdr>
                  <w:divsChild>
                    <w:div w:id="1805612553">
                      <w:marLeft w:val="0"/>
                      <w:marRight w:val="0"/>
                      <w:marTop w:val="0"/>
                      <w:marBottom w:val="0"/>
                      <w:divBdr>
                        <w:top w:val="none" w:sz="0" w:space="0" w:color="auto"/>
                        <w:left w:val="none" w:sz="0" w:space="0" w:color="auto"/>
                        <w:bottom w:val="none" w:sz="0" w:space="0" w:color="auto"/>
                        <w:right w:val="none" w:sz="0" w:space="0" w:color="auto"/>
                      </w:divBdr>
                    </w:div>
                    <w:div w:id="18787339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5038283">
              <w:marLeft w:val="0"/>
              <w:marRight w:val="90"/>
              <w:marTop w:val="90"/>
              <w:marBottom w:val="30"/>
              <w:divBdr>
                <w:top w:val="none" w:sz="0" w:space="0" w:color="auto"/>
                <w:left w:val="none" w:sz="0" w:space="0" w:color="auto"/>
                <w:bottom w:val="none" w:sz="0" w:space="0" w:color="auto"/>
                <w:right w:val="none" w:sz="0" w:space="0" w:color="auto"/>
              </w:divBdr>
              <w:divsChild>
                <w:div w:id="689187714">
                  <w:marLeft w:val="0"/>
                  <w:marRight w:val="0"/>
                  <w:marTop w:val="0"/>
                  <w:marBottom w:val="0"/>
                  <w:divBdr>
                    <w:top w:val="none" w:sz="0" w:space="0" w:color="auto"/>
                    <w:left w:val="none" w:sz="0" w:space="0" w:color="auto"/>
                    <w:bottom w:val="none" w:sz="0" w:space="0" w:color="auto"/>
                    <w:right w:val="none" w:sz="0" w:space="0" w:color="auto"/>
                  </w:divBdr>
                  <w:divsChild>
                    <w:div w:id="1889032326">
                      <w:marLeft w:val="45"/>
                      <w:marRight w:val="0"/>
                      <w:marTop w:val="0"/>
                      <w:marBottom w:val="15"/>
                      <w:divBdr>
                        <w:top w:val="none" w:sz="0" w:space="0" w:color="auto"/>
                        <w:left w:val="none" w:sz="0" w:space="0" w:color="auto"/>
                        <w:bottom w:val="none" w:sz="0" w:space="0" w:color="auto"/>
                        <w:right w:val="none" w:sz="0" w:space="0" w:color="auto"/>
                      </w:divBdr>
                    </w:div>
                  </w:divsChild>
                </w:div>
                <w:div w:id="986588930">
                  <w:marLeft w:val="0"/>
                  <w:marRight w:val="30"/>
                  <w:marTop w:val="0"/>
                  <w:marBottom w:val="0"/>
                  <w:divBdr>
                    <w:top w:val="none" w:sz="0" w:space="0" w:color="auto"/>
                    <w:left w:val="none" w:sz="0" w:space="0" w:color="auto"/>
                    <w:bottom w:val="none" w:sz="0" w:space="0" w:color="auto"/>
                    <w:right w:val="none" w:sz="0" w:space="0" w:color="auto"/>
                  </w:divBdr>
                  <w:divsChild>
                    <w:div w:id="724569194">
                      <w:marLeft w:val="0"/>
                      <w:marRight w:val="0"/>
                      <w:marTop w:val="0"/>
                      <w:marBottom w:val="0"/>
                      <w:divBdr>
                        <w:top w:val="none" w:sz="0" w:space="0" w:color="auto"/>
                        <w:left w:val="none" w:sz="0" w:space="0" w:color="auto"/>
                        <w:bottom w:val="none" w:sz="0" w:space="0" w:color="auto"/>
                        <w:right w:val="none" w:sz="0" w:space="0" w:color="auto"/>
                      </w:divBdr>
                      <w:divsChild>
                        <w:div w:id="1855805557">
                          <w:marLeft w:val="0"/>
                          <w:marRight w:val="0"/>
                          <w:marTop w:val="0"/>
                          <w:marBottom w:val="0"/>
                          <w:divBdr>
                            <w:top w:val="none" w:sz="0" w:space="0" w:color="auto"/>
                            <w:left w:val="none" w:sz="0" w:space="0" w:color="auto"/>
                            <w:bottom w:val="none" w:sz="0" w:space="0" w:color="auto"/>
                            <w:right w:val="none" w:sz="0" w:space="0" w:color="auto"/>
                          </w:divBdr>
                          <w:divsChild>
                            <w:div w:id="6726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91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9200945">
          <w:marLeft w:val="30"/>
          <w:marRight w:val="30"/>
          <w:marTop w:val="0"/>
          <w:marBottom w:val="0"/>
          <w:divBdr>
            <w:top w:val="none" w:sz="0" w:space="0" w:color="auto"/>
            <w:left w:val="none" w:sz="0" w:space="0" w:color="auto"/>
            <w:bottom w:val="none" w:sz="0" w:space="0" w:color="auto"/>
            <w:right w:val="none" w:sz="0" w:space="0" w:color="auto"/>
          </w:divBdr>
          <w:divsChild>
            <w:div w:id="55399697">
              <w:marLeft w:val="180"/>
              <w:marRight w:val="210"/>
              <w:marTop w:val="0"/>
              <w:marBottom w:val="30"/>
              <w:divBdr>
                <w:top w:val="none" w:sz="0" w:space="0" w:color="auto"/>
                <w:left w:val="none" w:sz="0" w:space="0" w:color="auto"/>
                <w:bottom w:val="none" w:sz="0" w:space="0" w:color="auto"/>
                <w:right w:val="none" w:sz="0" w:space="0" w:color="auto"/>
              </w:divBdr>
              <w:divsChild>
                <w:div w:id="86926203">
                  <w:marLeft w:val="45"/>
                  <w:marRight w:val="0"/>
                  <w:marTop w:val="0"/>
                  <w:marBottom w:val="0"/>
                  <w:divBdr>
                    <w:top w:val="none" w:sz="0" w:space="0" w:color="auto"/>
                    <w:left w:val="none" w:sz="0" w:space="0" w:color="auto"/>
                    <w:bottom w:val="none" w:sz="0" w:space="0" w:color="auto"/>
                    <w:right w:val="none" w:sz="0" w:space="0" w:color="auto"/>
                  </w:divBdr>
                </w:div>
                <w:div w:id="647251976">
                  <w:marLeft w:val="0"/>
                  <w:marRight w:val="30"/>
                  <w:marTop w:val="0"/>
                  <w:marBottom w:val="0"/>
                  <w:divBdr>
                    <w:top w:val="none" w:sz="0" w:space="0" w:color="auto"/>
                    <w:left w:val="none" w:sz="0" w:space="0" w:color="auto"/>
                    <w:bottom w:val="none" w:sz="0" w:space="0" w:color="auto"/>
                    <w:right w:val="none" w:sz="0" w:space="0" w:color="auto"/>
                  </w:divBdr>
                  <w:divsChild>
                    <w:div w:id="1159074738">
                      <w:marLeft w:val="0"/>
                      <w:marRight w:val="0"/>
                      <w:marTop w:val="0"/>
                      <w:marBottom w:val="0"/>
                      <w:divBdr>
                        <w:top w:val="none" w:sz="0" w:space="0" w:color="auto"/>
                        <w:left w:val="none" w:sz="0" w:space="0" w:color="auto"/>
                        <w:bottom w:val="none" w:sz="0" w:space="0" w:color="auto"/>
                        <w:right w:val="none" w:sz="0" w:space="0" w:color="auto"/>
                      </w:divBdr>
                      <w:divsChild>
                        <w:div w:id="1818105446">
                          <w:marLeft w:val="0"/>
                          <w:marRight w:val="0"/>
                          <w:marTop w:val="0"/>
                          <w:marBottom w:val="0"/>
                          <w:divBdr>
                            <w:top w:val="none" w:sz="0" w:space="0" w:color="auto"/>
                            <w:left w:val="none" w:sz="0" w:space="0" w:color="auto"/>
                            <w:bottom w:val="none" w:sz="0" w:space="0" w:color="auto"/>
                            <w:right w:val="none" w:sz="0" w:space="0" w:color="auto"/>
                          </w:divBdr>
                          <w:divsChild>
                            <w:div w:id="10672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746094">
      <w:bodyDiv w:val="1"/>
      <w:marLeft w:val="0"/>
      <w:marRight w:val="0"/>
      <w:marTop w:val="0"/>
      <w:marBottom w:val="0"/>
      <w:divBdr>
        <w:top w:val="none" w:sz="0" w:space="0" w:color="auto"/>
        <w:left w:val="none" w:sz="0" w:space="0" w:color="auto"/>
        <w:bottom w:val="none" w:sz="0" w:space="0" w:color="auto"/>
        <w:right w:val="none" w:sz="0" w:space="0" w:color="auto"/>
      </w:divBdr>
    </w:div>
    <w:div w:id="395397004">
      <w:bodyDiv w:val="1"/>
      <w:marLeft w:val="0"/>
      <w:marRight w:val="0"/>
      <w:marTop w:val="0"/>
      <w:marBottom w:val="0"/>
      <w:divBdr>
        <w:top w:val="none" w:sz="0" w:space="0" w:color="auto"/>
        <w:left w:val="none" w:sz="0" w:space="0" w:color="auto"/>
        <w:bottom w:val="none" w:sz="0" w:space="0" w:color="auto"/>
        <w:right w:val="none" w:sz="0" w:space="0" w:color="auto"/>
      </w:divBdr>
      <w:divsChild>
        <w:div w:id="872959532">
          <w:marLeft w:val="0"/>
          <w:marRight w:val="0"/>
          <w:marTop w:val="0"/>
          <w:marBottom w:val="0"/>
          <w:divBdr>
            <w:top w:val="none" w:sz="0" w:space="0" w:color="auto"/>
            <w:left w:val="none" w:sz="0" w:space="0" w:color="auto"/>
            <w:bottom w:val="none" w:sz="0" w:space="0" w:color="auto"/>
            <w:right w:val="none" w:sz="0" w:space="0" w:color="auto"/>
          </w:divBdr>
          <w:divsChild>
            <w:div w:id="2115206301">
              <w:marLeft w:val="0"/>
              <w:marRight w:val="0"/>
              <w:marTop w:val="0"/>
              <w:marBottom w:val="0"/>
              <w:divBdr>
                <w:top w:val="none" w:sz="0" w:space="0" w:color="auto"/>
                <w:left w:val="none" w:sz="0" w:space="0" w:color="auto"/>
                <w:bottom w:val="none" w:sz="0" w:space="0" w:color="auto"/>
                <w:right w:val="none" w:sz="0" w:space="0" w:color="auto"/>
              </w:divBdr>
              <w:divsChild>
                <w:div w:id="1157266327">
                  <w:marLeft w:val="0"/>
                  <w:marRight w:val="0"/>
                  <w:marTop w:val="0"/>
                  <w:marBottom w:val="0"/>
                  <w:divBdr>
                    <w:top w:val="none" w:sz="0" w:space="0" w:color="auto"/>
                    <w:left w:val="none" w:sz="0" w:space="0" w:color="auto"/>
                    <w:bottom w:val="none" w:sz="0" w:space="0" w:color="auto"/>
                    <w:right w:val="none" w:sz="0" w:space="0" w:color="auto"/>
                  </w:divBdr>
                  <w:divsChild>
                    <w:div w:id="973171144">
                      <w:marLeft w:val="30"/>
                      <w:marRight w:val="30"/>
                      <w:marTop w:val="0"/>
                      <w:marBottom w:val="0"/>
                      <w:divBdr>
                        <w:top w:val="none" w:sz="0" w:space="0" w:color="auto"/>
                        <w:left w:val="none" w:sz="0" w:space="0" w:color="auto"/>
                        <w:bottom w:val="none" w:sz="0" w:space="0" w:color="auto"/>
                        <w:right w:val="none" w:sz="0" w:space="0" w:color="auto"/>
                      </w:divBdr>
                      <w:divsChild>
                        <w:div w:id="265967387">
                          <w:marLeft w:val="180"/>
                          <w:marRight w:val="210"/>
                          <w:marTop w:val="0"/>
                          <w:marBottom w:val="30"/>
                          <w:divBdr>
                            <w:top w:val="none" w:sz="0" w:space="0" w:color="auto"/>
                            <w:left w:val="none" w:sz="0" w:space="0" w:color="auto"/>
                            <w:bottom w:val="none" w:sz="0" w:space="0" w:color="auto"/>
                            <w:right w:val="none" w:sz="0" w:space="0" w:color="auto"/>
                          </w:divBdr>
                          <w:divsChild>
                            <w:div w:id="74598831">
                              <w:marLeft w:val="0"/>
                              <w:marRight w:val="30"/>
                              <w:marTop w:val="0"/>
                              <w:marBottom w:val="0"/>
                              <w:divBdr>
                                <w:top w:val="none" w:sz="0" w:space="0" w:color="auto"/>
                                <w:left w:val="none" w:sz="0" w:space="0" w:color="auto"/>
                                <w:bottom w:val="none" w:sz="0" w:space="0" w:color="auto"/>
                                <w:right w:val="none" w:sz="0" w:space="0" w:color="auto"/>
                              </w:divBdr>
                              <w:divsChild>
                                <w:div w:id="105734745">
                                  <w:marLeft w:val="0"/>
                                  <w:marRight w:val="0"/>
                                  <w:marTop w:val="0"/>
                                  <w:marBottom w:val="0"/>
                                  <w:divBdr>
                                    <w:top w:val="none" w:sz="0" w:space="0" w:color="auto"/>
                                    <w:left w:val="none" w:sz="0" w:space="0" w:color="auto"/>
                                    <w:bottom w:val="none" w:sz="0" w:space="0" w:color="auto"/>
                                    <w:right w:val="none" w:sz="0" w:space="0" w:color="auto"/>
                                  </w:divBdr>
                                  <w:divsChild>
                                    <w:div w:id="1584876503">
                                      <w:marLeft w:val="0"/>
                                      <w:marRight w:val="0"/>
                                      <w:marTop w:val="0"/>
                                      <w:marBottom w:val="0"/>
                                      <w:divBdr>
                                        <w:top w:val="none" w:sz="0" w:space="0" w:color="auto"/>
                                        <w:left w:val="none" w:sz="0" w:space="0" w:color="auto"/>
                                        <w:bottom w:val="none" w:sz="0" w:space="0" w:color="auto"/>
                                        <w:right w:val="none" w:sz="0" w:space="0" w:color="auto"/>
                                      </w:divBdr>
                                      <w:divsChild>
                                        <w:div w:id="2571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0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78264143">
                      <w:marLeft w:val="30"/>
                      <w:marRight w:val="30"/>
                      <w:marTop w:val="0"/>
                      <w:marBottom w:val="0"/>
                      <w:divBdr>
                        <w:top w:val="none" w:sz="0" w:space="0" w:color="auto"/>
                        <w:left w:val="none" w:sz="0" w:space="0" w:color="auto"/>
                        <w:bottom w:val="none" w:sz="0" w:space="0" w:color="auto"/>
                        <w:right w:val="none" w:sz="0" w:space="0" w:color="auto"/>
                      </w:divBdr>
                      <w:divsChild>
                        <w:div w:id="419913713">
                          <w:marLeft w:val="135"/>
                          <w:marRight w:val="45"/>
                          <w:marTop w:val="60"/>
                          <w:marBottom w:val="60"/>
                          <w:divBdr>
                            <w:top w:val="none" w:sz="0" w:space="0" w:color="auto"/>
                            <w:left w:val="none" w:sz="0" w:space="0" w:color="auto"/>
                            <w:bottom w:val="none" w:sz="0" w:space="0" w:color="auto"/>
                            <w:right w:val="none" w:sz="0" w:space="0" w:color="auto"/>
                          </w:divBdr>
                          <w:divsChild>
                            <w:div w:id="1213879930">
                              <w:marLeft w:val="0"/>
                              <w:marRight w:val="0"/>
                              <w:marTop w:val="0"/>
                              <w:marBottom w:val="0"/>
                              <w:divBdr>
                                <w:top w:val="none" w:sz="0" w:space="0" w:color="auto"/>
                                <w:left w:val="none" w:sz="0" w:space="0" w:color="auto"/>
                                <w:bottom w:val="none" w:sz="0" w:space="0" w:color="auto"/>
                                <w:right w:val="none" w:sz="0" w:space="0" w:color="auto"/>
                              </w:divBdr>
                              <w:divsChild>
                                <w:div w:id="336661700">
                                  <w:marLeft w:val="0"/>
                                  <w:marRight w:val="150"/>
                                  <w:marTop w:val="0"/>
                                  <w:marBottom w:val="0"/>
                                  <w:divBdr>
                                    <w:top w:val="none" w:sz="0" w:space="0" w:color="auto"/>
                                    <w:left w:val="none" w:sz="0" w:space="0" w:color="auto"/>
                                    <w:bottom w:val="none" w:sz="0" w:space="0" w:color="auto"/>
                                    <w:right w:val="none" w:sz="0" w:space="0" w:color="auto"/>
                                  </w:divBdr>
                                </w:div>
                                <w:div w:id="387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2147">
                          <w:marLeft w:val="0"/>
                          <w:marRight w:val="90"/>
                          <w:marTop w:val="90"/>
                          <w:marBottom w:val="30"/>
                          <w:divBdr>
                            <w:top w:val="none" w:sz="0" w:space="0" w:color="auto"/>
                            <w:left w:val="none" w:sz="0" w:space="0" w:color="auto"/>
                            <w:bottom w:val="none" w:sz="0" w:space="0" w:color="auto"/>
                            <w:right w:val="none" w:sz="0" w:space="0" w:color="auto"/>
                          </w:divBdr>
                          <w:divsChild>
                            <w:div w:id="1114785622">
                              <w:marLeft w:val="0"/>
                              <w:marRight w:val="0"/>
                              <w:marTop w:val="0"/>
                              <w:marBottom w:val="0"/>
                              <w:divBdr>
                                <w:top w:val="none" w:sz="0" w:space="0" w:color="auto"/>
                                <w:left w:val="none" w:sz="0" w:space="0" w:color="auto"/>
                                <w:bottom w:val="none" w:sz="0" w:space="0" w:color="auto"/>
                                <w:right w:val="none" w:sz="0" w:space="0" w:color="auto"/>
                              </w:divBdr>
                              <w:divsChild>
                                <w:div w:id="918557666">
                                  <w:marLeft w:val="45"/>
                                  <w:marRight w:val="0"/>
                                  <w:marTop w:val="0"/>
                                  <w:marBottom w:val="15"/>
                                  <w:divBdr>
                                    <w:top w:val="none" w:sz="0" w:space="0" w:color="auto"/>
                                    <w:left w:val="none" w:sz="0" w:space="0" w:color="auto"/>
                                    <w:bottom w:val="none" w:sz="0" w:space="0" w:color="auto"/>
                                    <w:right w:val="none" w:sz="0" w:space="0" w:color="auto"/>
                                  </w:divBdr>
                                </w:div>
                              </w:divsChild>
                            </w:div>
                            <w:div w:id="1722902236">
                              <w:marLeft w:val="45"/>
                              <w:marRight w:val="0"/>
                              <w:marTop w:val="0"/>
                              <w:marBottom w:val="0"/>
                              <w:divBdr>
                                <w:top w:val="none" w:sz="0" w:space="0" w:color="auto"/>
                                <w:left w:val="none" w:sz="0" w:space="0" w:color="auto"/>
                                <w:bottom w:val="none" w:sz="0" w:space="0" w:color="auto"/>
                                <w:right w:val="none" w:sz="0" w:space="0" w:color="auto"/>
                              </w:divBdr>
                            </w:div>
                            <w:div w:id="1936472397">
                              <w:marLeft w:val="0"/>
                              <w:marRight w:val="30"/>
                              <w:marTop w:val="0"/>
                              <w:marBottom w:val="0"/>
                              <w:divBdr>
                                <w:top w:val="none" w:sz="0" w:space="0" w:color="auto"/>
                                <w:left w:val="none" w:sz="0" w:space="0" w:color="auto"/>
                                <w:bottom w:val="none" w:sz="0" w:space="0" w:color="auto"/>
                                <w:right w:val="none" w:sz="0" w:space="0" w:color="auto"/>
                              </w:divBdr>
                              <w:divsChild>
                                <w:div w:id="653030237">
                                  <w:marLeft w:val="0"/>
                                  <w:marRight w:val="0"/>
                                  <w:marTop w:val="0"/>
                                  <w:marBottom w:val="0"/>
                                  <w:divBdr>
                                    <w:top w:val="none" w:sz="0" w:space="0" w:color="auto"/>
                                    <w:left w:val="none" w:sz="0" w:space="0" w:color="auto"/>
                                    <w:bottom w:val="none" w:sz="0" w:space="0" w:color="auto"/>
                                    <w:right w:val="none" w:sz="0" w:space="0" w:color="auto"/>
                                  </w:divBdr>
                                  <w:divsChild>
                                    <w:div w:id="1293556992">
                                      <w:marLeft w:val="0"/>
                                      <w:marRight w:val="0"/>
                                      <w:marTop w:val="0"/>
                                      <w:marBottom w:val="0"/>
                                      <w:divBdr>
                                        <w:top w:val="none" w:sz="0" w:space="0" w:color="auto"/>
                                        <w:left w:val="none" w:sz="0" w:space="0" w:color="auto"/>
                                        <w:bottom w:val="none" w:sz="0" w:space="0" w:color="auto"/>
                                        <w:right w:val="none" w:sz="0" w:space="0" w:color="auto"/>
                                      </w:divBdr>
                                      <w:divsChild>
                                        <w:div w:id="13153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582843">
                      <w:marLeft w:val="30"/>
                      <w:marRight w:val="30"/>
                      <w:marTop w:val="0"/>
                      <w:marBottom w:val="0"/>
                      <w:divBdr>
                        <w:top w:val="none" w:sz="0" w:space="0" w:color="auto"/>
                        <w:left w:val="none" w:sz="0" w:space="0" w:color="auto"/>
                        <w:bottom w:val="none" w:sz="0" w:space="0" w:color="auto"/>
                        <w:right w:val="none" w:sz="0" w:space="0" w:color="auto"/>
                      </w:divBdr>
                      <w:divsChild>
                        <w:div w:id="1507014296">
                          <w:marLeft w:val="135"/>
                          <w:marRight w:val="45"/>
                          <w:marTop w:val="60"/>
                          <w:marBottom w:val="60"/>
                          <w:divBdr>
                            <w:top w:val="none" w:sz="0" w:space="0" w:color="auto"/>
                            <w:left w:val="none" w:sz="0" w:space="0" w:color="auto"/>
                            <w:bottom w:val="none" w:sz="0" w:space="0" w:color="auto"/>
                            <w:right w:val="none" w:sz="0" w:space="0" w:color="auto"/>
                          </w:divBdr>
                          <w:divsChild>
                            <w:div w:id="727262379">
                              <w:marLeft w:val="0"/>
                              <w:marRight w:val="0"/>
                              <w:marTop w:val="0"/>
                              <w:marBottom w:val="0"/>
                              <w:divBdr>
                                <w:top w:val="none" w:sz="0" w:space="0" w:color="auto"/>
                                <w:left w:val="none" w:sz="0" w:space="0" w:color="auto"/>
                                <w:bottom w:val="none" w:sz="0" w:space="0" w:color="auto"/>
                                <w:right w:val="none" w:sz="0" w:space="0" w:color="auto"/>
                              </w:divBdr>
                              <w:divsChild>
                                <w:div w:id="843977028">
                                  <w:marLeft w:val="0"/>
                                  <w:marRight w:val="0"/>
                                  <w:marTop w:val="0"/>
                                  <w:marBottom w:val="0"/>
                                  <w:divBdr>
                                    <w:top w:val="none" w:sz="0" w:space="0" w:color="auto"/>
                                    <w:left w:val="none" w:sz="0" w:space="0" w:color="auto"/>
                                    <w:bottom w:val="none" w:sz="0" w:space="0" w:color="auto"/>
                                    <w:right w:val="none" w:sz="0" w:space="0" w:color="auto"/>
                                  </w:divBdr>
                                </w:div>
                                <w:div w:id="15528407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49920930">
                          <w:marLeft w:val="0"/>
                          <w:marRight w:val="90"/>
                          <w:marTop w:val="90"/>
                          <w:marBottom w:val="30"/>
                          <w:divBdr>
                            <w:top w:val="none" w:sz="0" w:space="0" w:color="auto"/>
                            <w:left w:val="none" w:sz="0" w:space="0" w:color="auto"/>
                            <w:bottom w:val="none" w:sz="0" w:space="0" w:color="auto"/>
                            <w:right w:val="none" w:sz="0" w:space="0" w:color="auto"/>
                          </w:divBdr>
                          <w:divsChild>
                            <w:div w:id="180824130">
                              <w:marLeft w:val="0"/>
                              <w:marRight w:val="0"/>
                              <w:marTop w:val="0"/>
                              <w:marBottom w:val="0"/>
                              <w:divBdr>
                                <w:top w:val="none" w:sz="0" w:space="0" w:color="auto"/>
                                <w:left w:val="none" w:sz="0" w:space="0" w:color="auto"/>
                                <w:bottom w:val="none" w:sz="0" w:space="0" w:color="auto"/>
                                <w:right w:val="none" w:sz="0" w:space="0" w:color="auto"/>
                              </w:divBdr>
                              <w:divsChild>
                                <w:div w:id="1929264990">
                                  <w:marLeft w:val="45"/>
                                  <w:marRight w:val="0"/>
                                  <w:marTop w:val="0"/>
                                  <w:marBottom w:val="15"/>
                                  <w:divBdr>
                                    <w:top w:val="none" w:sz="0" w:space="0" w:color="auto"/>
                                    <w:left w:val="none" w:sz="0" w:space="0" w:color="auto"/>
                                    <w:bottom w:val="none" w:sz="0" w:space="0" w:color="auto"/>
                                    <w:right w:val="none" w:sz="0" w:space="0" w:color="auto"/>
                                  </w:divBdr>
                                </w:div>
                              </w:divsChild>
                            </w:div>
                            <w:div w:id="1017735265">
                              <w:marLeft w:val="0"/>
                              <w:marRight w:val="30"/>
                              <w:marTop w:val="0"/>
                              <w:marBottom w:val="0"/>
                              <w:divBdr>
                                <w:top w:val="none" w:sz="0" w:space="0" w:color="auto"/>
                                <w:left w:val="none" w:sz="0" w:space="0" w:color="auto"/>
                                <w:bottom w:val="none" w:sz="0" w:space="0" w:color="auto"/>
                                <w:right w:val="none" w:sz="0" w:space="0" w:color="auto"/>
                              </w:divBdr>
                              <w:divsChild>
                                <w:div w:id="695809766">
                                  <w:marLeft w:val="0"/>
                                  <w:marRight w:val="0"/>
                                  <w:marTop w:val="0"/>
                                  <w:marBottom w:val="0"/>
                                  <w:divBdr>
                                    <w:top w:val="none" w:sz="0" w:space="0" w:color="auto"/>
                                    <w:left w:val="none" w:sz="0" w:space="0" w:color="auto"/>
                                    <w:bottom w:val="none" w:sz="0" w:space="0" w:color="auto"/>
                                    <w:right w:val="none" w:sz="0" w:space="0" w:color="auto"/>
                                  </w:divBdr>
                                  <w:divsChild>
                                    <w:div w:id="1295216746">
                                      <w:marLeft w:val="0"/>
                                      <w:marRight w:val="0"/>
                                      <w:marTop w:val="0"/>
                                      <w:marBottom w:val="0"/>
                                      <w:divBdr>
                                        <w:top w:val="none" w:sz="0" w:space="0" w:color="auto"/>
                                        <w:left w:val="none" w:sz="0" w:space="0" w:color="auto"/>
                                        <w:bottom w:val="none" w:sz="0" w:space="0" w:color="auto"/>
                                        <w:right w:val="none" w:sz="0" w:space="0" w:color="auto"/>
                                      </w:divBdr>
                                      <w:divsChild>
                                        <w:div w:id="20031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29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02487">
          <w:marLeft w:val="0"/>
          <w:marRight w:val="0"/>
          <w:marTop w:val="0"/>
          <w:marBottom w:val="0"/>
          <w:divBdr>
            <w:top w:val="none" w:sz="0" w:space="0" w:color="auto"/>
            <w:left w:val="none" w:sz="0" w:space="0" w:color="auto"/>
            <w:bottom w:val="none" w:sz="0" w:space="0" w:color="auto"/>
            <w:right w:val="none" w:sz="0" w:space="0" w:color="auto"/>
          </w:divBdr>
          <w:divsChild>
            <w:div w:id="755252331">
              <w:marLeft w:val="210"/>
              <w:marRight w:val="0"/>
              <w:marTop w:val="120"/>
              <w:marBottom w:val="0"/>
              <w:divBdr>
                <w:top w:val="none" w:sz="0" w:space="0" w:color="auto"/>
                <w:left w:val="none" w:sz="0" w:space="0" w:color="auto"/>
                <w:bottom w:val="none" w:sz="0" w:space="0" w:color="auto"/>
                <w:right w:val="none" w:sz="0" w:space="0" w:color="auto"/>
              </w:divBdr>
              <w:divsChild>
                <w:div w:id="2143569849">
                  <w:marLeft w:val="0"/>
                  <w:marRight w:val="0"/>
                  <w:marTop w:val="0"/>
                  <w:marBottom w:val="0"/>
                  <w:divBdr>
                    <w:top w:val="none" w:sz="0" w:space="0" w:color="auto"/>
                    <w:left w:val="none" w:sz="0" w:space="0" w:color="auto"/>
                    <w:bottom w:val="none" w:sz="0" w:space="0" w:color="auto"/>
                    <w:right w:val="none" w:sz="0" w:space="0" w:color="auto"/>
                  </w:divBdr>
                  <w:divsChild>
                    <w:div w:id="86980278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398334467">
      <w:bodyDiv w:val="1"/>
      <w:marLeft w:val="0"/>
      <w:marRight w:val="0"/>
      <w:marTop w:val="0"/>
      <w:marBottom w:val="0"/>
      <w:divBdr>
        <w:top w:val="none" w:sz="0" w:space="0" w:color="auto"/>
        <w:left w:val="none" w:sz="0" w:space="0" w:color="auto"/>
        <w:bottom w:val="none" w:sz="0" w:space="0" w:color="auto"/>
        <w:right w:val="none" w:sz="0" w:space="0" w:color="auto"/>
      </w:divBdr>
    </w:div>
    <w:div w:id="429735654">
      <w:bodyDiv w:val="1"/>
      <w:marLeft w:val="0"/>
      <w:marRight w:val="0"/>
      <w:marTop w:val="0"/>
      <w:marBottom w:val="0"/>
      <w:divBdr>
        <w:top w:val="none" w:sz="0" w:space="0" w:color="auto"/>
        <w:left w:val="none" w:sz="0" w:space="0" w:color="auto"/>
        <w:bottom w:val="none" w:sz="0" w:space="0" w:color="auto"/>
        <w:right w:val="none" w:sz="0" w:space="0" w:color="auto"/>
      </w:divBdr>
      <w:divsChild>
        <w:div w:id="1261178344">
          <w:marLeft w:val="0"/>
          <w:marRight w:val="0"/>
          <w:marTop w:val="0"/>
          <w:marBottom w:val="0"/>
          <w:divBdr>
            <w:top w:val="none" w:sz="0" w:space="0" w:color="auto"/>
            <w:left w:val="none" w:sz="0" w:space="0" w:color="auto"/>
            <w:bottom w:val="none" w:sz="0" w:space="0" w:color="auto"/>
            <w:right w:val="none" w:sz="0" w:space="0" w:color="auto"/>
          </w:divBdr>
          <w:divsChild>
            <w:div w:id="2016762581">
              <w:marLeft w:val="0"/>
              <w:marRight w:val="0"/>
              <w:marTop w:val="0"/>
              <w:marBottom w:val="0"/>
              <w:divBdr>
                <w:top w:val="none" w:sz="0" w:space="0" w:color="auto"/>
                <w:left w:val="none" w:sz="0" w:space="0" w:color="auto"/>
                <w:bottom w:val="none" w:sz="0" w:space="0" w:color="auto"/>
                <w:right w:val="none" w:sz="0" w:space="0" w:color="auto"/>
              </w:divBdr>
              <w:divsChild>
                <w:div w:id="1895697886">
                  <w:marLeft w:val="0"/>
                  <w:marRight w:val="0"/>
                  <w:marTop w:val="0"/>
                  <w:marBottom w:val="0"/>
                  <w:divBdr>
                    <w:top w:val="none" w:sz="0" w:space="0" w:color="auto"/>
                    <w:left w:val="none" w:sz="0" w:space="0" w:color="auto"/>
                    <w:bottom w:val="none" w:sz="0" w:space="0" w:color="auto"/>
                    <w:right w:val="none" w:sz="0" w:space="0" w:color="auto"/>
                  </w:divBdr>
                  <w:divsChild>
                    <w:div w:id="366025005">
                      <w:marLeft w:val="30"/>
                      <w:marRight w:val="30"/>
                      <w:marTop w:val="0"/>
                      <w:marBottom w:val="0"/>
                      <w:divBdr>
                        <w:top w:val="none" w:sz="0" w:space="0" w:color="auto"/>
                        <w:left w:val="none" w:sz="0" w:space="0" w:color="auto"/>
                        <w:bottom w:val="none" w:sz="0" w:space="0" w:color="auto"/>
                        <w:right w:val="none" w:sz="0" w:space="0" w:color="auto"/>
                      </w:divBdr>
                      <w:divsChild>
                        <w:div w:id="1794209905">
                          <w:marLeft w:val="135"/>
                          <w:marRight w:val="45"/>
                          <w:marTop w:val="60"/>
                          <w:marBottom w:val="60"/>
                          <w:divBdr>
                            <w:top w:val="none" w:sz="0" w:space="0" w:color="auto"/>
                            <w:left w:val="none" w:sz="0" w:space="0" w:color="auto"/>
                            <w:bottom w:val="none" w:sz="0" w:space="0" w:color="auto"/>
                            <w:right w:val="none" w:sz="0" w:space="0" w:color="auto"/>
                          </w:divBdr>
                          <w:divsChild>
                            <w:div w:id="155194729">
                              <w:marLeft w:val="0"/>
                              <w:marRight w:val="0"/>
                              <w:marTop w:val="0"/>
                              <w:marBottom w:val="0"/>
                              <w:divBdr>
                                <w:top w:val="none" w:sz="0" w:space="0" w:color="auto"/>
                                <w:left w:val="none" w:sz="0" w:space="0" w:color="auto"/>
                                <w:bottom w:val="none" w:sz="0" w:space="0" w:color="auto"/>
                                <w:right w:val="none" w:sz="0" w:space="0" w:color="auto"/>
                              </w:divBdr>
                              <w:divsChild>
                                <w:div w:id="478419720">
                                  <w:marLeft w:val="0"/>
                                  <w:marRight w:val="150"/>
                                  <w:marTop w:val="0"/>
                                  <w:marBottom w:val="0"/>
                                  <w:divBdr>
                                    <w:top w:val="none" w:sz="0" w:space="0" w:color="auto"/>
                                    <w:left w:val="none" w:sz="0" w:space="0" w:color="auto"/>
                                    <w:bottom w:val="none" w:sz="0" w:space="0" w:color="auto"/>
                                    <w:right w:val="none" w:sz="0" w:space="0" w:color="auto"/>
                                  </w:divBdr>
                                </w:div>
                                <w:div w:id="15684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2920">
                          <w:marLeft w:val="0"/>
                          <w:marRight w:val="90"/>
                          <w:marTop w:val="90"/>
                          <w:marBottom w:val="30"/>
                          <w:divBdr>
                            <w:top w:val="none" w:sz="0" w:space="0" w:color="auto"/>
                            <w:left w:val="none" w:sz="0" w:space="0" w:color="auto"/>
                            <w:bottom w:val="none" w:sz="0" w:space="0" w:color="auto"/>
                            <w:right w:val="none" w:sz="0" w:space="0" w:color="auto"/>
                          </w:divBdr>
                          <w:divsChild>
                            <w:div w:id="152796873">
                              <w:marLeft w:val="0"/>
                              <w:marRight w:val="30"/>
                              <w:marTop w:val="0"/>
                              <w:marBottom w:val="0"/>
                              <w:divBdr>
                                <w:top w:val="none" w:sz="0" w:space="0" w:color="auto"/>
                                <w:left w:val="none" w:sz="0" w:space="0" w:color="auto"/>
                                <w:bottom w:val="none" w:sz="0" w:space="0" w:color="auto"/>
                                <w:right w:val="none" w:sz="0" w:space="0" w:color="auto"/>
                              </w:divBdr>
                              <w:divsChild>
                                <w:div w:id="1787122007">
                                  <w:marLeft w:val="0"/>
                                  <w:marRight w:val="0"/>
                                  <w:marTop w:val="0"/>
                                  <w:marBottom w:val="0"/>
                                  <w:divBdr>
                                    <w:top w:val="none" w:sz="0" w:space="0" w:color="auto"/>
                                    <w:left w:val="none" w:sz="0" w:space="0" w:color="auto"/>
                                    <w:bottom w:val="none" w:sz="0" w:space="0" w:color="auto"/>
                                    <w:right w:val="none" w:sz="0" w:space="0" w:color="auto"/>
                                  </w:divBdr>
                                  <w:divsChild>
                                    <w:div w:id="242106569">
                                      <w:marLeft w:val="0"/>
                                      <w:marRight w:val="0"/>
                                      <w:marTop w:val="0"/>
                                      <w:marBottom w:val="0"/>
                                      <w:divBdr>
                                        <w:top w:val="none" w:sz="0" w:space="0" w:color="auto"/>
                                        <w:left w:val="none" w:sz="0" w:space="0" w:color="auto"/>
                                        <w:bottom w:val="none" w:sz="0" w:space="0" w:color="auto"/>
                                        <w:right w:val="none" w:sz="0" w:space="0" w:color="auto"/>
                                      </w:divBdr>
                                      <w:divsChild>
                                        <w:div w:id="14574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6810">
                              <w:marLeft w:val="0"/>
                              <w:marRight w:val="0"/>
                              <w:marTop w:val="0"/>
                              <w:marBottom w:val="0"/>
                              <w:divBdr>
                                <w:top w:val="none" w:sz="0" w:space="0" w:color="auto"/>
                                <w:left w:val="none" w:sz="0" w:space="0" w:color="auto"/>
                                <w:bottom w:val="none" w:sz="0" w:space="0" w:color="auto"/>
                                <w:right w:val="none" w:sz="0" w:space="0" w:color="auto"/>
                              </w:divBdr>
                              <w:divsChild>
                                <w:div w:id="979270008">
                                  <w:marLeft w:val="45"/>
                                  <w:marRight w:val="0"/>
                                  <w:marTop w:val="0"/>
                                  <w:marBottom w:val="15"/>
                                  <w:divBdr>
                                    <w:top w:val="none" w:sz="0" w:space="0" w:color="auto"/>
                                    <w:left w:val="none" w:sz="0" w:space="0" w:color="auto"/>
                                    <w:bottom w:val="none" w:sz="0" w:space="0" w:color="auto"/>
                                    <w:right w:val="none" w:sz="0" w:space="0" w:color="auto"/>
                                  </w:divBdr>
                                </w:div>
                              </w:divsChild>
                            </w:div>
                            <w:div w:id="5417911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19442643">
                      <w:marLeft w:val="30"/>
                      <w:marRight w:val="30"/>
                      <w:marTop w:val="0"/>
                      <w:marBottom w:val="0"/>
                      <w:divBdr>
                        <w:top w:val="none" w:sz="0" w:space="0" w:color="auto"/>
                        <w:left w:val="none" w:sz="0" w:space="0" w:color="auto"/>
                        <w:bottom w:val="none" w:sz="0" w:space="0" w:color="auto"/>
                        <w:right w:val="none" w:sz="0" w:space="0" w:color="auto"/>
                      </w:divBdr>
                      <w:divsChild>
                        <w:div w:id="882328313">
                          <w:marLeft w:val="180"/>
                          <w:marRight w:val="210"/>
                          <w:marTop w:val="0"/>
                          <w:marBottom w:val="30"/>
                          <w:divBdr>
                            <w:top w:val="none" w:sz="0" w:space="0" w:color="auto"/>
                            <w:left w:val="none" w:sz="0" w:space="0" w:color="auto"/>
                            <w:bottom w:val="none" w:sz="0" w:space="0" w:color="auto"/>
                            <w:right w:val="none" w:sz="0" w:space="0" w:color="auto"/>
                          </w:divBdr>
                          <w:divsChild>
                            <w:div w:id="328336350">
                              <w:marLeft w:val="0"/>
                              <w:marRight w:val="30"/>
                              <w:marTop w:val="0"/>
                              <w:marBottom w:val="0"/>
                              <w:divBdr>
                                <w:top w:val="none" w:sz="0" w:space="0" w:color="auto"/>
                                <w:left w:val="none" w:sz="0" w:space="0" w:color="auto"/>
                                <w:bottom w:val="none" w:sz="0" w:space="0" w:color="auto"/>
                                <w:right w:val="none" w:sz="0" w:space="0" w:color="auto"/>
                              </w:divBdr>
                              <w:divsChild>
                                <w:div w:id="2110923479">
                                  <w:marLeft w:val="0"/>
                                  <w:marRight w:val="0"/>
                                  <w:marTop w:val="0"/>
                                  <w:marBottom w:val="0"/>
                                  <w:divBdr>
                                    <w:top w:val="none" w:sz="0" w:space="0" w:color="auto"/>
                                    <w:left w:val="none" w:sz="0" w:space="0" w:color="auto"/>
                                    <w:bottom w:val="none" w:sz="0" w:space="0" w:color="auto"/>
                                    <w:right w:val="none" w:sz="0" w:space="0" w:color="auto"/>
                                  </w:divBdr>
                                  <w:divsChild>
                                    <w:div w:id="271481334">
                                      <w:marLeft w:val="0"/>
                                      <w:marRight w:val="0"/>
                                      <w:marTop w:val="0"/>
                                      <w:marBottom w:val="0"/>
                                      <w:divBdr>
                                        <w:top w:val="none" w:sz="0" w:space="0" w:color="auto"/>
                                        <w:left w:val="none" w:sz="0" w:space="0" w:color="auto"/>
                                        <w:bottom w:val="none" w:sz="0" w:space="0" w:color="auto"/>
                                        <w:right w:val="none" w:sz="0" w:space="0" w:color="auto"/>
                                      </w:divBdr>
                                      <w:divsChild>
                                        <w:div w:id="15678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20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71150">
          <w:marLeft w:val="0"/>
          <w:marRight w:val="0"/>
          <w:marTop w:val="0"/>
          <w:marBottom w:val="0"/>
          <w:divBdr>
            <w:top w:val="none" w:sz="0" w:space="0" w:color="auto"/>
            <w:left w:val="none" w:sz="0" w:space="0" w:color="auto"/>
            <w:bottom w:val="none" w:sz="0" w:space="0" w:color="auto"/>
            <w:right w:val="none" w:sz="0" w:space="0" w:color="auto"/>
          </w:divBdr>
          <w:divsChild>
            <w:div w:id="523136083">
              <w:marLeft w:val="210"/>
              <w:marRight w:val="0"/>
              <w:marTop w:val="120"/>
              <w:marBottom w:val="0"/>
              <w:divBdr>
                <w:top w:val="none" w:sz="0" w:space="0" w:color="auto"/>
                <w:left w:val="none" w:sz="0" w:space="0" w:color="auto"/>
                <w:bottom w:val="none" w:sz="0" w:space="0" w:color="auto"/>
                <w:right w:val="none" w:sz="0" w:space="0" w:color="auto"/>
              </w:divBdr>
              <w:divsChild>
                <w:div w:id="43333583">
                  <w:marLeft w:val="0"/>
                  <w:marRight w:val="0"/>
                  <w:marTop w:val="0"/>
                  <w:marBottom w:val="0"/>
                  <w:divBdr>
                    <w:top w:val="none" w:sz="0" w:space="0" w:color="auto"/>
                    <w:left w:val="none" w:sz="0" w:space="0" w:color="auto"/>
                    <w:bottom w:val="none" w:sz="0" w:space="0" w:color="auto"/>
                    <w:right w:val="none" w:sz="0" w:space="0" w:color="auto"/>
                  </w:divBdr>
                  <w:divsChild>
                    <w:div w:id="153121349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437943511">
      <w:bodyDiv w:val="1"/>
      <w:marLeft w:val="0"/>
      <w:marRight w:val="0"/>
      <w:marTop w:val="0"/>
      <w:marBottom w:val="0"/>
      <w:divBdr>
        <w:top w:val="none" w:sz="0" w:space="0" w:color="auto"/>
        <w:left w:val="none" w:sz="0" w:space="0" w:color="auto"/>
        <w:bottom w:val="none" w:sz="0" w:space="0" w:color="auto"/>
        <w:right w:val="none" w:sz="0" w:space="0" w:color="auto"/>
      </w:divBdr>
    </w:div>
    <w:div w:id="459149403">
      <w:bodyDiv w:val="1"/>
      <w:marLeft w:val="0"/>
      <w:marRight w:val="0"/>
      <w:marTop w:val="0"/>
      <w:marBottom w:val="0"/>
      <w:divBdr>
        <w:top w:val="none" w:sz="0" w:space="0" w:color="auto"/>
        <w:left w:val="none" w:sz="0" w:space="0" w:color="auto"/>
        <w:bottom w:val="none" w:sz="0" w:space="0" w:color="auto"/>
        <w:right w:val="none" w:sz="0" w:space="0" w:color="auto"/>
      </w:divBdr>
      <w:divsChild>
        <w:div w:id="723912706">
          <w:marLeft w:val="446"/>
          <w:marRight w:val="0"/>
          <w:marTop w:val="0"/>
          <w:marBottom w:val="120"/>
          <w:divBdr>
            <w:top w:val="none" w:sz="0" w:space="0" w:color="auto"/>
            <w:left w:val="none" w:sz="0" w:space="0" w:color="auto"/>
            <w:bottom w:val="none" w:sz="0" w:space="0" w:color="auto"/>
            <w:right w:val="none" w:sz="0" w:space="0" w:color="auto"/>
          </w:divBdr>
        </w:div>
        <w:div w:id="2081751674">
          <w:marLeft w:val="446"/>
          <w:marRight w:val="0"/>
          <w:marTop w:val="0"/>
          <w:marBottom w:val="120"/>
          <w:divBdr>
            <w:top w:val="none" w:sz="0" w:space="0" w:color="auto"/>
            <w:left w:val="none" w:sz="0" w:space="0" w:color="auto"/>
            <w:bottom w:val="none" w:sz="0" w:space="0" w:color="auto"/>
            <w:right w:val="none" w:sz="0" w:space="0" w:color="auto"/>
          </w:divBdr>
        </w:div>
      </w:divsChild>
    </w:div>
    <w:div w:id="489054803">
      <w:bodyDiv w:val="1"/>
      <w:marLeft w:val="0"/>
      <w:marRight w:val="0"/>
      <w:marTop w:val="0"/>
      <w:marBottom w:val="0"/>
      <w:divBdr>
        <w:top w:val="none" w:sz="0" w:space="0" w:color="auto"/>
        <w:left w:val="none" w:sz="0" w:space="0" w:color="auto"/>
        <w:bottom w:val="none" w:sz="0" w:space="0" w:color="auto"/>
        <w:right w:val="none" w:sz="0" w:space="0" w:color="auto"/>
      </w:divBdr>
    </w:div>
    <w:div w:id="501744143">
      <w:bodyDiv w:val="1"/>
      <w:marLeft w:val="0"/>
      <w:marRight w:val="0"/>
      <w:marTop w:val="0"/>
      <w:marBottom w:val="0"/>
      <w:divBdr>
        <w:top w:val="none" w:sz="0" w:space="0" w:color="auto"/>
        <w:left w:val="none" w:sz="0" w:space="0" w:color="auto"/>
        <w:bottom w:val="none" w:sz="0" w:space="0" w:color="auto"/>
        <w:right w:val="none" w:sz="0" w:space="0" w:color="auto"/>
      </w:divBdr>
      <w:divsChild>
        <w:div w:id="871455764">
          <w:marLeft w:val="0"/>
          <w:marRight w:val="0"/>
          <w:marTop w:val="0"/>
          <w:marBottom w:val="0"/>
          <w:divBdr>
            <w:top w:val="none" w:sz="0" w:space="0" w:color="auto"/>
            <w:left w:val="none" w:sz="0" w:space="0" w:color="auto"/>
            <w:bottom w:val="none" w:sz="0" w:space="0" w:color="auto"/>
            <w:right w:val="none" w:sz="0" w:space="0" w:color="auto"/>
          </w:divBdr>
          <w:divsChild>
            <w:div w:id="390272827">
              <w:marLeft w:val="0"/>
              <w:marRight w:val="0"/>
              <w:marTop w:val="0"/>
              <w:marBottom w:val="0"/>
              <w:divBdr>
                <w:top w:val="none" w:sz="0" w:space="0" w:color="auto"/>
                <w:left w:val="none" w:sz="0" w:space="0" w:color="auto"/>
                <w:bottom w:val="none" w:sz="0" w:space="0" w:color="auto"/>
                <w:right w:val="none" w:sz="0" w:space="0" w:color="auto"/>
              </w:divBdr>
              <w:divsChild>
                <w:div w:id="2134324175">
                  <w:marLeft w:val="0"/>
                  <w:marRight w:val="0"/>
                  <w:marTop w:val="0"/>
                  <w:marBottom w:val="0"/>
                  <w:divBdr>
                    <w:top w:val="none" w:sz="0" w:space="0" w:color="auto"/>
                    <w:left w:val="none" w:sz="0" w:space="0" w:color="auto"/>
                    <w:bottom w:val="none" w:sz="0" w:space="0" w:color="auto"/>
                    <w:right w:val="none" w:sz="0" w:space="0" w:color="auto"/>
                  </w:divBdr>
                  <w:divsChild>
                    <w:div w:id="1159688200">
                      <w:marLeft w:val="0"/>
                      <w:marRight w:val="0"/>
                      <w:marTop w:val="0"/>
                      <w:marBottom w:val="0"/>
                      <w:divBdr>
                        <w:top w:val="none" w:sz="0" w:space="0" w:color="auto"/>
                        <w:left w:val="none" w:sz="0" w:space="0" w:color="auto"/>
                        <w:bottom w:val="none" w:sz="0" w:space="0" w:color="auto"/>
                        <w:right w:val="none" w:sz="0" w:space="0" w:color="auto"/>
                      </w:divBdr>
                      <w:divsChild>
                        <w:div w:id="118306114">
                          <w:marLeft w:val="0"/>
                          <w:marRight w:val="0"/>
                          <w:marTop w:val="0"/>
                          <w:marBottom w:val="0"/>
                          <w:divBdr>
                            <w:top w:val="none" w:sz="0" w:space="0" w:color="auto"/>
                            <w:left w:val="none" w:sz="0" w:space="0" w:color="auto"/>
                            <w:bottom w:val="none" w:sz="0" w:space="0" w:color="auto"/>
                            <w:right w:val="none" w:sz="0" w:space="0" w:color="auto"/>
                          </w:divBdr>
                          <w:divsChild>
                            <w:div w:id="208156222">
                              <w:marLeft w:val="0"/>
                              <w:marRight w:val="0"/>
                              <w:marTop w:val="0"/>
                              <w:marBottom w:val="0"/>
                              <w:divBdr>
                                <w:top w:val="none" w:sz="0" w:space="0" w:color="auto"/>
                                <w:left w:val="none" w:sz="0" w:space="0" w:color="auto"/>
                                <w:bottom w:val="none" w:sz="0" w:space="0" w:color="auto"/>
                                <w:right w:val="none" w:sz="0" w:space="0" w:color="auto"/>
                              </w:divBdr>
                              <w:divsChild>
                                <w:div w:id="9383042">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505636667">
      <w:bodyDiv w:val="1"/>
      <w:marLeft w:val="0"/>
      <w:marRight w:val="0"/>
      <w:marTop w:val="0"/>
      <w:marBottom w:val="0"/>
      <w:divBdr>
        <w:top w:val="none" w:sz="0" w:space="0" w:color="auto"/>
        <w:left w:val="none" w:sz="0" w:space="0" w:color="auto"/>
        <w:bottom w:val="none" w:sz="0" w:space="0" w:color="auto"/>
        <w:right w:val="none" w:sz="0" w:space="0" w:color="auto"/>
      </w:divBdr>
      <w:divsChild>
        <w:div w:id="1660841739">
          <w:marLeft w:val="547"/>
          <w:marRight w:val="0"/>
          <w:marTop w:val="0"/>
          <w:marBottom w:val="0"/>
          <w:divBdr>
            <w:top w:val="none" w:sz="0" w:space="0" w:color="auto"/>
            <w:left w:val="none" w:sz="0" w:space="0" w:color="auto"/>
            <w:bottom w:val="none" w:sz="0" w:space="0" w:color="auto"/>
            <w:right w:val="none" w:sz="0" w:space="0" w:color="auto"/>
          </w:divBdr>
        </w:div>
      </w:divsChild>
    </w:div>
    <w:div w:id="524712669">
      <w:bodyDiv w:val="1"/>
      <w:marLeft w:val="0"/>
      <w:marRight w:val="0"/>
      <w:marTop w:val="0"/>
      <w:marBottom w:val="0"/>
      <w:divBdr>
        <w:top w:val="none" w:sz="0" w:space="0" w:color="auto"/>
        <w:left w:val="none" w:sz="0" w:space="0" w:color="auto"/>
        <w:bottom w:val="none" w:sz="0" w:space="0" w:color="auto"/>
        <w:right w:val="none" w:sz="0" w:space="0" w:color="auto"/>
      </w:divBdr>
    </w:div>
    <w:div w:id="533233374">
      <w:bodyDiv w:val="1"/>
      <w:marLeft w:val="0"/>
      <w:marRight w:val="0"/>
      <w:marTop w:val="0"/>
      <w:marBottom w:val="0"/>
      <w:divBdr>
        <w:top w:val="none" w:sz="0" w:space="0" w:color="auto"/>
        <w:left w:val="none" w:sz="0" w:space="0" w:color="auto"/>
        <w:bottom w:val="none" w:sz="0" w:space="0" w:color="auto"/>
        <w:right w:val="none" w:sz="0" w:space="0" w:color="auto"/>
      </w:divBdr>
      <w:divsChild>
        <w:div w:id="865219649">
          <w:marLeft w:val="0"/>
          <w:marRight w:val="0"/>
          <w:marTop w:val="0"/>
          <w:marBottom w:val="0"/>
          <w:divBdr>
            <w:top w:val="none" w:sz="0" w:space="0" w:color="auto"/>
            <w:left w:val="none" w:sz="0" w:space="0" w:color="auto"/>
            <w:bottom w:val="none" w:sz="0" w:space="0" w:color="auto"/>
            <w:right w:val="none" w:sz="0" w:space="0" w:color="auto"/>
          </w:divBdr>
          <w:divsChild>
            <w:div w:id="974868774">
              <w:marLeft w:val="210"/>
              <w:marRight w:val="0"/>
              <w:marTop w:val="120"/>
              <w:marBottom w:val="0"/>
              <w:divBdr>
                <w:top w:val="none" w:sz="0" w:space="0" w:color="auto"/>
                <w:left w:val="none" w:sz="0" w:space="0" w:color="auto"/>
                <w:bottom w:val="none" w:sz="0" w:space="0" w:color="auto"/>
                <w:right w:val="none" w:sz="0" w:space="0" w:color="auto"/>
              </w:divBdr>
              <w:divsChild>
                <w:div w:id="49034162">
                  <w:marLeft w:val="0"/>
                  <w:marRight w:val="0"/>
                  <w:marTop w:val="0"/>
                  <w:marBottom w:val="0"/>
                  <w:divBdr>
                    <w:top w:val="none" w:sz="0" w:space="0" w:color="auto"/>
                    <w:left w:val="none" w:sz="0" w:space="0" w:color="auto"/>
                    <w:bottom w:val="none" w:sz="0" w:space="0" w:color="auto"/>
                    <w:right w:val="none" w:sz="0" w:space="0" w:color="auto"/>
                  </w:divBdr>
                  <w:divsChild>
                    <w:div w:id="34983758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854418754">
          <w:marLeft w:val="0"/>
          <w:marRight w:val="0"/>
          <w:marTop w:val="0"/>
          <w:marBottom w:val="0"/>
          <w:divBdr>
            <w:top w:val="none" w:sz="0" w:space="0" w:color="auto"/>
            <w:left w:val="none" w:sz="0" w:space="0" w:color="auto"/>
            <w:bottom w:val="none" w:sz="0" w:space="0" w:color="auto"/>
            <w:right w:val="none" w:sz="0" w:space="0" w:color="auto"/>
          </w:divBdr>
          <w:divsChild>
            <w:div w:id="968556770">
              <w:marLeft w:val="0"/>
              <w:marRight w:val="0"/>
              <w:marTop w:val="0"/>
              <w:marBottom w:val="0"/>
              <w:divBdr>
                <w:top w:val="none" w:sz="0" w:space="0" w:color="auto"/>
                <w:left w:val="none" w:sz="0" w:space="0" w:color="auto"/>
                <w:bottom w:val="none" w:sz="0" w:space="0" w:color="auto"/>
                <w:right w:val="none" w:sz="0" w:space="0" w:color="auto"/>
              </w:divBdr>
              <w:divsChild>
                <w:div w:id="260644197">
                  <w:marLeft w:val="0"/>
                  <w:marRight w:val="0"/>
                  <w:marTop w:val="0"/>
                  <w:marBottom w:val="0"/>
                  <w:divBdr>
                    <w:top w:val="none" w:sz="0" w:space="0" w:color="auto"/>
                    <w:left w:val="none" w:sz="0" w:space="0" w:color="auto"/>
                    <w:bottom w:val="none" w:sz="0" w:space="0" w:color="auto"/>
                    <w:right w:val="none" w:sz="0" w:space="0" w:color="auto"/>
                  </w:divBdr>
                  <w:divsChild>
                    <w:div w:id="278489720">
                      <w:marLeft w:val="30"/>
                      <w:marRight w:val="30"/>
                      <w:marTop w:val="0"/>
                      <w:marBottom w:val="0"/>
                      <w:divBdr>
                        <w:top w:val="none" w:sz="0" w:space="0" w:color="auto"/>
                        <w:left w:val="none" w:sz="0" w:space="0" w:color="auto"/>
                        <w:bottom w:val="none" w:sz="0" w:space="0" w:color="auto"/>
                        <w:right w:val="none" w:sz="0" w:space="0" w:color="auto"/>
                      </w:divBdr>
                      <w:divsChild>
                        <w:div w:id="1466704532">
                          <w:marLeft w:val="180"/>
                          <w:marRight w:val="210"/>
                          <w:marTop w:val="0"/>
                          <w:marBottom w:val="30"/>
                          <w:divBdr>
                            <w:top w:val="none" w:sz="0" w:space="0" w:color="auto"/>
                            <w:left w:val="none" w:sz="0" w:space="0" w:color="auto"/>
                            <w:bottom w:val="none" w:sz="0" w:space="0" w:color="auto"/>
                            <w:right w:val="none" w:sz="0" w:space="0" w:color="auto"/>
                          </w:divBdr>
                          <w:divsChild>
                            <w:div w:id="591205846">
                              <w:marLeft w:val="0"/>
                              <w:marRight w:val="30"/>
                              <w:marTop w:val="0"/>
                              <w:marBottom w:val="0"/>
                              <w:divBdr>
                                <w:top w:val="none" w:sz="0" w:space="0" w:color="auto"/>
                                <w:left w:val="none" w:sz="0" w:space="0" w:color="auto"/>
                                <w:bottom w:val="none" w:sz="0" w:space="0" w:color="auto"/>
                                <w:right w:val="none" w:sz="0" w:space="0" w:color="auto"/>
                              </w:divBdr>
                              <w:divsChild>
                                <w:div w:id="1919172793">
                                  <w:marLeft w:val="0"/>
                                  <w:marRight w:val="0"/>
                                  <w:marTop w:val="0"/>
                                  <w:marBottom w:val="0"/>
                                  <w:divBdr>
                                    <w:top w:val="none" w:sz="0" w:space="0" w:color="auto"/>
                                    <w:left w:val="none" w:sz="0" w:space="0" w:color="auto"/>
                                    <w:bottom w:val="none" w:sz="0" w:space="0" w:color="auto"/>
                                    <w:right w:val="none" w:sz="0" w:space="0" w:color="auto"/>
                                  </w:divBdr>
                                  <w:divsChild>
                                    <w:div w:id="1454330345">
                                      <w:marLeft w:val="0"/>
                                      <w:marRight w:val="0"/>
                                      <w:marTop w:val="0"/>
                                      <w:marBottom w:val="0"/>
                                      <w:divBdr>
                                        <w:top w:val="none" w:sz="0" w:space="0" w:color="auto"/>
                                        <w:left w:val="none" w:sz="0" w:space="0" w:color="auto"/>
                                        <w:bottom w:val="none" w:sz="0" w:space="0" w:color="auto"/>
                                        <w:right w:val="none" w:sz="0" w:space="0" w:color="auto"/>
                                      </w:divBdr>
                                      <w:divsChild>
                                        <w:div w:id="11962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97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30492567">
                      <w:marLeft w:val="30"/>
                      <w:marRight w:val="30"/>
                      <w:marTop w:val="0"/>
                      <w:marBottom w:val="0"/>
                      <w:divBdr>
                        <w:top w:val="none" w:sz="0" w:space="0" w:color="auto"/>
                        <w:left w:val="none" w:sz="0" w:space="0" w:color="auto"/>
                        <w:bottom w:val="none" w:sz="0" w:space="0" w:color="auto"/>
                        <w:right w:val="none" w:sz="0" w:space="0" w:color="auto"/>
                      </w:divBdr>
                      <w:divsChild>
                        <w:div w:id="2053650352">
                          <w:marLeft w:val="0"/>
                          <w:marRight w:val="90"/>
                          <w:marTop w:val="90"/>
                          <w:marBottom w:val="30"/>
                          <w:divBdr>
                            <w:top w:val="none" w:sz="0" w:space="0" w:color="auto"/>
                            <w:left w:val="none" w:sz="0" w:space="0" w:color="auto"/>
                            <w:bottom w:val="none" w:sz="0" w:space="0" w:color="auto"/>
                            <w:right w:val="none" w:sz="0" w:space="0" w:color="auto"/>
                          </w:divBdr>
                          <w:divsChild>
                            <w:div w:id="732431617">
                              <w:marLeft w:val="0"/>
                              <w:marRight w:val="30"/>
                              <w:marTop w:val="0"/>
                              <w:marBottom w:val="0"/>
                              <w:divBdr>
                                <w:top w:val="none" w:sz="0" w:space="0" w:color="auto"/>
                                <w:left w:val="none" w:sz="0" w:space="0" w:color="auto"/>
                                <w:bottom w:val="none" w:sz="0" w:space="0" w:color="auto"/>
                                <w:right w:val="none" w:sz="0" w:space="0" w:color="auto"/>
                              </w:divBdr>
                              <w:divsChild>
                                <w:div w:id="1081567080">
                                  <w:marLeft w:val="0"/>
                                  <w:marRight w:val="0"/>
                                  <w:marTop w:val="0"/>
                                  <w:marBottom w:val="0"/>
                                  <w:divBdr>
                                    <w:top w:val="none" w:sz="0" w:space="0" w:color="auto"/>
                                    <w:left w:val="none" w:sz="0" w:space="0" w:color="auto"/>
                                    <w:bottom w:val="none" w:sz="0" w:space="0" w:color="auto"/>
                                    <w:right w:val="none" w:sz="0" w:space="0" w:color="auto"/>
                                  </w:divBdr>
                                  <w:divsChild>
                                    <w:div w:id="2040618569">
                                      <w:marLeft w:val="0"/>
                                      <w:marRight w:val="0"/>
                                      <w:marTop w:val="0"/>
                                      <w:marBottom w:val="0"/>
                                      <w:divBdr>
                                        <w:top w:val="none" w:sz="0" w:space="0" w:color="auto"/>
                                        <w:left w:val="none" w:sz="0" w:space="0" w:color="auto"/>
                                        <w:bottom w:val="none" w:sz="0" w:space="0" w:color="auto"/>
                                        <w:right w:val="none" w:sz="0" w:space="0" w:color="auto"/>
                                      </w:divBdr>
                                      <w:divsChild>
                                        <w:div w:id="18294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5679">
                              <w:marLeft w:val="0"/>
                              <w:marRight w:val="0"/>
                              <w:marTop w:val="0"/>
                              <w:marBottom w:val="0"/>
                              <w:divBdr>
                                <w:top w:val="none" w:sz="0" w:space="0" w:color="auto"/>
                                <w:left w:val="none" w:sz="0" w:space="0" w:color="auto"/>
                                <w:bottom w:val="none" w:sz="0" w:space="0" w:color="auto"/>
                                <w:right w:val="none" w:sz="0" w:space="0" w:color="auto"/>
                              </w:divBdr>
                              <w:divsChild>
                                <w:div w:id="959802960">
                                  <w:marLeft w:val="45"/>
                                  <w:marRight w:val="0"/>
                                  <w:marTop w:val="0"/>
                                  <w:marBottom w:val="15"/>
                                  <w:divBdr>
                                    <w:top w:val="none" w:sz="0" w:space="0" w:color="auto"/>
                                    <w:left w:val="none" w:sz="0" w:space="0" w:color="auto"/>
                                    <w:bottom w:val="none" w:sz="0" w:space="0" w:color="auto"/>
                                    <w:right w:val="none" w:sz="0" w:space="0" w:color="auto"/>
                                  </w:divBdr>
                                </w:div>
                              </w:divsChild>
                            </w:div>
                            <w:div w:id="2140799082">
                              <w:marLeft w:val="45"/>
                              <w:marRight w:val="0"/>
                              <w:marTop w:val="0"/>
                              <w:marBottom w:val="0"/>
                              <w:divBdr>
                                <w:top w:val="none" w:sz="0" w:space="0" w:color="auto"/>
                                <w:left w:val="none" w:sz="0" w:space="0" w:color="auto"/>
                                <w:bottom w:val="none" w:sz="0" w:space="0" w:color="auto"/>
                                <w:right w:val="none" w:sz="0" w:space="0" w:color="auto"/>
                              </w:divBdr>
                            </w:div>
                          </w:divsChild>
                        </w:div>
                        <w:div w:id="2094742056">
                          <w:marLeft w:val="135"/>
                          <w:marRight w:val="45"/>
                          <w:marTop w:val="60"/>
                          <w:marBottom w:val="60"/>
                          <w:divBdr>
                            <w:top w:val="none" w:sz="0" w:space="0" w:color="auto"/>
                            <w:left w:val="none" w:sz="0" w:space="0" w:color="auto"/>
                            <w:bottom w:val="none" w:sz="0" w:space="0" w:color="auto"/>
                            <w:right w:val="none" w:sz="0" w:space="0" w:color="auto"/>
                          </w:divBdr>
                          <w:divsChild>
                            <w:div w:id="1711611479">
                              <w:marLeft w:val="0"/>
                              <w:marRight w:val="0"/>
                              <w:marTop w:val="0"/>
                              <w:marBottom w:val="0"/>
                              <w:divBdr>
                                <w:top w:val="none" w:sz="0" w:space="0" w:color="auto"/>
                                <w:left w:val="none" w:sz="0" w:space="0" w:color="auto"/>
                                <w:bottom w:val="none" w:sz="0" w:space="0" w:color="auto"/>
                                <w:right w:val="none" w:sz="0" w:space="0" w:color="auto"/>
                              </w:divBdr>
                              <w:divsChild>
                                <w:div w:id="674574979">
                                  <w:marLeft w:val="0"/>
                                  <w:marRight w:val="150"/>
                                  <w:marTop w:val="0"/>
                                  <w:marBottom w:val="0"/>
                                  <w:divBdr>
                                    <w:top w:val="none" w:sz="0" w:space="0" w:color="auto"/>
                                    <w:left w:val="none" w:sz="0" w:space="0" w:color="auto"/>
                                    <w:bottom w:val="none" w:sz="0" w:space="0" w:color="auto"/>
                                    <w:right w:val="none" w:sz="0" w:space="0" w:color="auto"/>
                                  </w:divBdr>
                                </w:div>
                                <w:div w:id="801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605855">
      <w:bodyDiv w:val="1"/>
      <w:marLeft w:val="0"/>
      <w:marRight w:val="0"/>
      <w:marTop w:val="0"/>
      <w:marBottom w:val="0"/>
      <w:divBdr>
        <w:top w:val="none" w:sz="0" w:space="0" w:color="auto"/>
        <w:left w:val="none" w:sz="0" w:space="0" w:color="auto"/>
        <w:bottom w:val="none" w:sz="0" w:space="0" w:color="auto"/>
        <w:right w:val="none" w:sz="0" w:space="0" w:color="auto"/>
      </w:divBdr>
      <w:divsChild>
        <w:div w:id="1006982141">
          <w:marLeft w:val="0"/>
          <w:marRight w:val="0"/>
          <w:marTop w:val="0"/>
          <w:marBottom w:val="0"/>
          <w:divBdr>
            <w:top w:val="none" w:sz="0" w:space="0" w:color="auto"/>
            <w:left w:val="none" w:sz="0" w:space="0" w:color="auto"/>
            <w:bottom w:val="none" w:sz="0" w:space="0" w:color="auto"/>
            <w:right w:val="none" w:sz="0" w:space="0" w:color="auto"/>
          </w:divBdr>
          <w:divsChild>
            <w:div w:id="1092551268">
              <w:marLeft w:val="0"/>
              <w:marRight w:val="0"/>
              <w:marTop w:val="0"/>
              <w:marBottom w:val="0"/>
              <w:divBdr>
                <w:top w:val="none" w:sz="0" w:space="0" w:color="auto"/>
                <w:left w:val="none" w:sz="0" w:space="0" w:color="auto"/>
                <w:bottom w:val="none" w:sz="0" w:space="0" w:color="auto"/>
                <w:right w:val="none" w:sz="0" w:space="0" w:color="auto"/>
              </w:divBdr>
              <w:divsChild>
                <w:div w:id="718363162">
                  <w:marLeft w:val="0"/>
                  <w:marRight w:val="0"/>
                  <w:marTop w:val="0"/>
                  <w:marBottom w:val="0"/>
                  <w:divBdr>
                    <w:top w:val="none" w:sz="0" w:space="0" w:color="auto"/>
                    <w:left w:val="none" w:sz="0" w:space="0" w:color="auto"/>
                    <w:bottom w:val="none" w:sz="0" w:space="0" w:color="auto"/>
                    <w:right w:val="none" w:sz="0" w:space="0" w:color="auto"/>
                  </w:divBdr>
                  <w:divsChild>
                    <w:div w:id="384567374">
                      <w:marLeft w:val="30"/>
                      <w:marRight w:val="30"/>
                      <w:marTop w:val="0"/>
                      <w:marBottom w:val="0"/>
                      <w:divBdr>
                        <w:top w:val="none" w:sz="0" w:space="0" w:color="auto"/>
                        <w:left w:val="none" w:sz="0" w:space="0" w:color="auto"/>
                        <w:bottom w:val="none" w:sz="0" w:space="0" w:color="auto"/>
                        <w:right w:val="none" w:sz="0" w:space="0" w:color="auto"/>
                      </w:divBdr>
                      <w:divsChild>
                        <w:div w:id="1539900156">
                          <w:marLeft w:val="180"/>
                          <w:marRight w:val="210"/>
                          <w:marTop w:val="0"/>
                          <w:marBottom w:val="30"/>
                          <w:divBdr>
                            <w:top w:val="none" w:sz="0" w:space="0" w:color="auto"/>
                            <w:left w:val="none" w:sz="0" w:space="0" w:color="auto"/>
                            <w:bottom w:val="none" w:sz="0" w:space="0" w:color="auto"/>
                            <w:right w:val="none" w:sz="0" w:space="0" w:color="auto"/>
                          </w:divBdr>
                          <w:divsChild>
                            <w:div w:id="458378825">
                              <w:marLeft w:val="0"/>
                              <w:marRight w:val="30"/>
                              <w:marTop w:val="0"/>
                              <w:marBottom w:val="0"/>
                              <w:divBdr>
                                <w:top w:val="none" w:sz="0" w:space="0" w:color="auto"/>
                                <w:left w:val="none" w:sz="0" w:space="0" w:color="auto"/>
                                <w:bottom w:val="none" w:sz="0" w:space="0" w:color="auto"/>
                                <w:right w:val="none" w:sz="0" w:space="0" w:color="auto"/>
                              </w:divBdr>
                              <w:divsChild>
                                <w:div w:id="2010057019">
                                  <w:marLeft w:val="0"/>
                                  <w:marRight w:val="0"/>
                                  <w:marTop w:val="0"/>
                                  <w:marBottom w:val="0"/>
                                  <w:divBdr>
                                    <w:top w:val="none" w:sz="0" w:space="0" w:color="auto"/>
                                    <w:left w:val="none" w:sz="0" w:space="0" w:color="auto"/>
                                    <w:bottom w:val="none" w:sz="0" w:space="0" w:color="auto"/>
                                    <w:right w:val="none" w:sz="0" w:space="0" w:color="auto"/>
                                  </w:divBdr>
                                  <w:divsChild>
                                    <w:div w:id="115686063">
                                      <w:marLeft w:val="0"/>
                                      <w:marRight w:val="0"/>
                                      <w:marTop w:val="0"/>
                                      <w:marBottom w:val="0"/>
                                      <w:divBdr>
                                        <w:top w:val="none" w:sz="0" w:space="0" w:color="auto"/>
                                        <w:left w:val="none" w:sz="0" w:space="0" w:color="auto"/>
                                        <w:bottom w:val="none" w:sz="0" w:space="0" w:color="auto"/>
                                        <w:right w:val="none" w:sz="0" w:space="0" w:color="auto"/>
                                      </w:divBdr>
                                      <w:divsChild>
                                        <w:div w:id="1048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3810">
          <w:marLeft w:val="0"/>
          <w:marRight w:val="0"/>
          <w:marTop w:val="0"/>
          <w:marBottom w:val="0"/>
          <w:divBdr>
            <w:top w:val="none" w:sz="0" w:space="0" w:color="auto"/>
            <w:left w:val="none" w:sz="0" w:space="0" w:color="auto"/>
            <w:bottom w:val="none" w:sz="0" w:space="0" w:color="auto"/>
            <w:right w:val="none" w:sz="0" w:space="0" w:color="auto"/>
          </w:divBdr>
          <w:divsChild>
            <w:div w:id="1842810884">
              <w:marLeft w:val="210"/>
              <w:marRight w:val="0"/>
              <w:marTop w:val="120"/>
              <w:marBottom w:val="0"/>
              <w:divBdr>
                <w:top w:val="none" w:sz="0" w:space="0" w:color="auto"/>
                <w:left w:val="none" w:sz="0" w:space="0" w:color="auto"/>
                <w:bottom w:val="none" w:sz="0" w:space="0" w:color="auto"/>
                <w:right w:val="none" w:sz="0" w:space="0" w:color="auto"/>
              </w:divBdr>
              <w:divsChild>
                <w:div w:id="16585088">
                  <w:marLeft w:val="0"/>
                  <w:marRight w:val="0"/>
                  <w:marTop w:val="0"/>
                  <w:marBottom w:val="0"/>
                  <w:divBdr>
                    <w:top w:val="none" w:sz="0" w:space="0" w:color="auto"/>
                    <w:left w:val="none" w:sz="0" w:space="0" w:color="auto"/>
                    <w:bottom w:val="none" w:sz="0" w:space="0" w:color="auto"/>
                    <w:right w:val="none" w:sz="0" w:space="0" w:color="auto"/>
                  </w:divBdr>
                  <w:divsChild>
                    <w:div w:id="92511648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546259078">
      <w:bodyDiv w:val="1"/>
      <w:marLeft w:val="0"/>
      <w:marRight w:val="0"/>
      <w:marTop w:val="0"/>
      <w:marBottom w:val="0"/>
      <w:divBdr>
        <w:top w:val="none" w:sz="0" w:space="0" w:color="auto"/>
        <w:left w:val="none" w:sz="0" w:space="0" w:color="auto"/>
        <w:bottom w:val="none" w:sz="0" w:space="0" w:color="auto"/>
        <w:right w:val="none" w:sz="0" w:space="0" w:color="auto"/>
      </w:divBdr>
    </w:div>
    <w:div w:id="558446547">
      <w:bodyDiv w:val="1"/>
      <w:marLeft w:val="0"/>
      <w:marRight w:val="0"/>
      <w:marTop w:val="0"/>
      <w:marBottom w:val="0"/>
      <w:divBdr>
        <w:top w:val="none" w:sz="0" w:space="0" w:color="auto"/>
        <w:left w:val="none" w:sz="0" w:space="0" w:color="auto"/>
        <w:bottom w:val="none" w:sz="0" w:space="0" w:color="auto"/>
        <w:right w:val="none" w:sz="0" w:space="0" w:color="auto"/>
      </w:divBdr>
      <w:divsChild>
        <w:div w:id="297228649">
          <w:marLeft w:val="0"/>
          <w:marRight w:val="0"/>
          <w:marTop w:val="0"/>
          <w:marBottom w:val="0"/>
          <w:divBdr>
            <w:top w:val="none" w:sz="0" w:space="0" w:color="auto"/>
            <w:left w:val="none" w:sz="0" w:space="0" w:color="auto"/>
            <w:bottom w:val="none" w:sz="0" w:space="0" w:color="auto"/>
            <w:right w:val="none" w:sz="0" w:space="0" w:color="auto"/>
          </w:divBdr>
          <w:divsChild>
            <w:div w:id="1006714051">
              <w:marLeft w:val="0"/>
              <w:marRight w:val="0"/>
              <w:marTop w:val="0"/>
              <w:marBottom w:val="0"/>
              <w:divBdr>
                <w:top w:val="none" w:sz="0" w:space="0" w:color="auto"/>
                <w:left w:val="none" w:sz="0" w:space="0" w:color="auto"/>
                <w:bottom w:val="none" w:sz="0" w:space="0" w:color="auto"/>
                <w:right w:val="none" w:sz="0" w:space="0" w:color="auto"/>
              </w:divBdr>
              <w:divsChild>
                <w:div w:id="228882178">
                  <w:marLeft w:val="0"/>
                  <w:marRight w:val="0"/>
                  <w:marTop w:val="0"/>
                  <w:marBottom w:val="0"/>
                  <w:divBdr>
                    <w:top w:val="none" w:sz="0" w:space="0" w:color="auto"/>
                    <w:left w:val="none" w:sz="0" w:space="0" w:color="auto"/>
                    <w:bottom w:val="none" w:sz="0" w:space="0" w:color="auto"/>
                    <w:right w:val="none" w:sz="0" w:space="0" w:color="auto"/>
                  </w:divBdr>
                  <w:divsChild>
                    <w:div w:id="56781558">
                      <w:marLeft w:val="30"/>
                      <w:marRight w:val="30"/>
                      <w:marTop w:val="0"/>
                      <w:marBottom w:val="0"/>
                      <w:divBdr>
                        <w:top w:val="none" w:sz="0" w:space="0" w:color="auto"/>
                        <w:left w:val="none" w:sz="0" w:space="0" w:color="auto"/>
                        <w:bottom w:val="none" w:sz="0" w:space="0" w:color="auto"/>
                        <w:right w:val="none" w:sz="0" w:space="0" w:color="auto"/>
                      </w:divBdr>
                      <w:divsChild>
                        <w:div w:id="724959999">
                          <w:marLeft w:val="180"/>
                          <w:marRight w:val="210"/>
                          <w:marTop w:val="0"/>
                          <w:marBottom w:val="30"/>
                          <w:divBdr>
                            <w:top w:val="none" w:sz="0" w:space="0" w:color="auto"/>
                            <w:left w:val="none" w:sz="0" w:space="0" w:color="auto"/>
                            <w:bottom w:val="none" w:sz="0" w:space="0" w:color="auto"/>
                            <w:right w:val="none" w:sz="0" w:space="0" w:color="auto"/>
                          </w:divBdr>
                          <w:divsChild>
                            <w:div w:id="1847868468">
                              <w:marLeft w:val="45"/>
                              <w:marRight w:val="0"/>
                              <w:marTop w:val="0"/>
                              <w:marBottom w:val="0"/>
                              <w:divBdr>
                                <w:top w:val="none" w:sz="0" w:space="0" w:color="auto"/>
                                <w:left w:val="none" w:sz="0" w:space="0" w:color="auto"/>
                                <w:bottom w:val="none" w:sz="0" w:space="0" w:color="auto"/>
                                <w:right w:val="none" w:sz="0" w:space="0" w:color="auto"/>
                              </w:divBdr>
                            </w:div>
                            <w:div w:id="2093314536">
                              <w:marLeft w:val="0"/>
                              <w:marRight w:val="30"/>
                              <w:marTop w:val="0"/>
                              <w:marBottom w:val="0"/>
                              <w:divBdr>
                                <w:top w:val="none" w:sz="0" w:space="0" w:color="auto"/>
                                <w:left w:val="none" w:sz="0" w:space="0" w:color="auto"/>
                                <w:bottom w:val="none" w:sz="0" w:space="0" w:color="auto"/>
                                <w:right w:val="none" w:sz="0" w:space="0" w:color="auto"/>
                              </w:divBdr>
                              <w:divsChild>
                                <w:div w:id="1173375211">
                                  <w:marLeft w:val="0"/>
                                  <w:marRight w:val="0"/>
                                  <w:marTop w:val="0"/>
                                  <w:marBottom w:val="0"/>
                                  <w:divBdr>
                                    <w:top w:val="none" w:sz="0" w:space="0" w:color="auto"/>
                                    <w:left w:val="none" w:sz="0" w:space="0" w:color="auto"/>
                                    <w:bottom w:val="none" w:sz="0" w:space="0" w:color="auto"/>
                                    <w:right w:val="none" w:sz="0" w:space="0" w:color="auto"/>
                                  </w:divBdr>
                                  <w:divsChild>
                                    <w:div w:id="889658021">
                                      <w:marLeft w:val="0"/>
                                      <w:marRight w:val="0"/>
                                      <w:marTop w:val="0"/>
                                      <w:marBottom w:val="0"/>
                                      <w:divBdr>
                                        <w:top w:val="none" w:sz="0" w:space="0" w:color="auto"/>
                                        <w:left w:val="none" w:sz="0" w:space="0" w:color="auto"/>
                                        <w:bottom w:val="none" w:sz="0" w:space="0" w:color="auto"/>
                                        <w:right w:val="none" w:sz="0" w:space="0" w:color="auto"/>
                                      </w:divBdr>
                                      <w:divsChild>
                                        <w:div w:id="9791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1042">
                      <w:marLeft w:val="30"/>
                      <w:marRight w:val="30"/>
                      <w:marTop w:val="0"/>
                      <w:marBottom w:val="0"/>
                      <w:divBdr>
                        <w:top w:val="none" w:sz="0" w:space="0" w:color="auto"/>
                        <w:left w:val="none" w:sz="0" w:space="0" w:color="auto"/>
                        <w:bottom w:val="none" w:sz="0" w:space="0" w:color="auto"/>
                        <w:right w:val="none" w:sz="0" w:space="0" w:color="auto"/>
                      </w:divBdr>
                      <w:divsChild>
                        <w:div w:id="897670617">
                          <w:marLeft w:val="135"/>
                          <w:marRight w:val="45"/>
                          <w:marTop w:val="60"/>
                          <w:marBottom w:val="60"/>
                          <w:divBdr>
                            <w:top w:val="none" w:sz="0" w:space="0" w:color="auto"/>
                            <w:left w:val="none" w:sz="0" w:space="0" w:color="auto"/>
                            <w:bottom w:val="none" w:sz="0" w:space="0" w:color="auto"/>
                            <w:right w:val="none" w:sz="0" w:space="0" w:color="auto"/>
                          </w:divBdr>
                          <w:divsChild>
                            <w:div w:id="678309058">
                              <w:marLeft w:val="0"/>
                              <w:marRight w:val="0"/>
                              <w:marTop w:val="0"/>
                              <w:marBottom w:val="0"/>
                              <w:divBdr>
                                <w:top w:val="none" w:sz="0" w:space="0" w:color="auto"/>
                                <w:left w:val="none" w:sz="0" w:space="0" w:color="auto"/>
                                <w:bottom w:val="none" w:sz="0" w:space="0" w:color="auto"/>
                                <w:right w:val="none" w:sz="0" w:space="0" w:color="auto"/>
                              </w:divBdr>
                              <w:divsChild>
                                <w:div w:id="1766338865">
                                  <w:marLeft w:val="0"/>
                                  <w:marRight w:val="150"/>
                                  <w:marTop w:val="0"/>
                                  <w:marBottom w:val="0"/>
                                  <w:divBdr>
                                    <w:top w:val="none" w:sz="0" w:space="0" w:color="auto"/>
                                    <w:left w:val="none" w:sz="0" w:space="0" w:color="auto"/>
                                    <w:bottom w:val="none" w:sz="0" w:space="0" w:color="auto"/>
                                    <w:right w:val="none" w:sz="0" w:space="0" w:color="auto"/>
                                  </w:divBdr>
                                </w:div>
                                <w:div w:id="19959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650">
                          <w:marLeft w:val="0"/>
                          <w:marRight w:val="90"/>
                          <w:marTop w:val="90"/>
                          <w:marBottom w:val="30"/>
                          <w:divBdr>
                            <w:top w:val="none" w:sz="0" w:space="0" w:color="auto"/>
                            <w:left w:val="none" w:sz="0" w:space="0" w:color="auto"/>
                            <w:bottom w:val="none" w:sz="0" w:space="0" w:color="auto"/>
                            <w:right w:val="none" w:sz="0" w:space="0" w:color="auto"/>
                          </w:divBdr>
                          <w:divsChild>
                            <w:div w:id="384566724">
                              <w:marLeft w:val="0"/>
                              <w:marRight w:val="0"/>
                              <w:marTop w:val="0"/>
                              <w:marBottom w:val="0"/>
                              <w:divBdr>
                                <w:top w:val="none" w:sz="0" w:space="0" w:color="auto"/>
                                <w:left w:val="none" w:sz="0" w:space="0" w:color="auto"/>
                                <w:bottom w:val="none" w:sz="0" w:space="0" w:color="auto"/>
                                <w:right w:val="none" w:sz="0" w:space="0" w:color="auto"/>
                              </w:divBdr>
                              <w:divsChild>
                                <w:div w:id="55906909">
                                  <w:marLeft w:val="45"/>
                                  <w:marRight w:val="0"/>
                                  <w:marTop w:val="0"/>
                                  <w:marBottom w:val="15"/>
                                  <w:divBdr>
                                    <w:top w:val="none" w:sz="0" w:space="0" w:color="auto"/>
                                    <w:left w:val="none" w:sz="0" w:space="0" w:color="auto"/>
                                    <w:bottom w:val="none" w:sz="0" w:space="0" w:color="auto"/>
                                    <w:right w:val="none" w:sz="0" w:space="0" w:color="auto"/>
                                  </w:divBdr>
                                </w:div>
                              </w:divsChild>
                            </w:div>
                            <w:div w:id="1784228853">
                              <w:marLeft w:val="0"/>
                              <w:marRight w:val="30"/>
                              <w:marTop w:val="0"/>
                              <w:marBottom w:val="0"/>
                              <w:divBdr>
                                <w:top w:val="none" w:sz="0" w:space="0" w:color="auto"/>
                                <w:left w:val="none" w:sz="0" w:space="0" w:color="auto"/>
                                <w:bottom w:val="none" w:sz="0" w:space="0" w:color="auto"/>
                                <w:right w:val="none" w:sz="0" w:space="0" w:color="auto"/>
                              </w:divBdr>
                              <w:divsChild>
                                <w:div w:id="629631316">
                                  <w:marLeft w:val="0"/>
                                  <w:marRight w:val="0"/>
                                  <w:marTop w:val="0"/>
                                  <w:marBottom w:val="0"/>
                                  <w:divBdr>
                                    <w:top w:val="none" w:sz="0" w:space="0" w:color="auto"/>
                                    <w:left w:val="none" w:sz="0" w:space="0" w:color="auto"/>
                                    <w:bottom w:val="none" w:sz="0" w:space="0" w:color="auto"/>
                                    <w:right w:val="none" w:sz="0" w:space="0" w:color="auto"/>
                                  </w:divBdr>
                                  <w:divsChild>
                                    <w:div w:id="1210923146">
                                      <w:marLeft w:val="0"/>
                                      <w:marRight w:val="0"/>
                                      <w:marTop w:val="0"/>
                                      <w:marBottom w:val="0"/>
                                      <w:divBdr>
                                        <w:top w:val="none" w:sz="0" w:space="0" w:color="auto"/>
                                        <w:left w:val="none" w:sz="0" w:space="0" w:color="auto"/>
                                        <w:bottom w:val="none" w:sz="0" w:space="0" w:color="auto"/>
                                        <w:right w:val="none" w:sz="0" w:space="0" w:color="auto"/>
                                      </w:divBdr>
                                      <w:divsChild>
                                        <w:div w:id="11063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15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260324">
          <w:marLeft w:val="0"/>
          <w:marRight w:val="0"/>
          <w:marTop w:val="0"/>
          <w:marBottom w:val="0"/>
          <w:divBdr>
            <w:top w:val="none" w:sz="0" w:space="0" w:color="auto"/>
            <w:left w:val="none" w:sz="0" w:space="0" w:color="auto"/>
            <w:bottom w:val="none" w:sz="0" w:space="0" w:color="auto"/>
            <w:right w:val="none" w:sz="0" w:space="0" w:color="auto"/>
          </w:divBdr>
          <w:divsChild>
            <w:div w:id="707409930">
              <w:marLeft w:val="210"/>
              <w:marRight w:val="0"/>
              <w:marTop w:val="120"/>
              <w:marBottom w:val="0"/>
              <w:divBdr>
                <w:top w:val="none" w:sz="0" w:space="0" w:color="auto"/>
                <w:left w:val="none" w:sz="0" w:space="0" w:color="auto"/>
                <w:bottom w:val="none" w:sz="0" w:space="0" w:color="auto"/>
                <w:right w:val="none" w:sz="0" w:space="0" w:color="auto"/>
              </w:divBdr>
              <w:divsChild>
                <w:div w:id="791945683">
                  <w:marLeft w:val="0"/>
                  <w:marRight w:val="0"/>
                  <w:marTop w:val="0"/>
                  <w:marBottom w:val="0"/>
                  <w:divBdr>
                    <w:top w:val="none" w:sz="0" w:space="0" w:color="auto"/>
                    <w:left w:val="none" w:sz="0" w:space="0" w:color="auto"/>
                    <w:bottom w:val="none" w:sz="0" w:space="0" w:color="auto"/>
                    <w:right w:val="none" w:sz="0" w:space="0" w:color="auto"/>
                  </w:divBdr>
                  <w:divsChild>
                    <w:div w:id="163941441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567498299">
      <w:bodyDiv w:val="1"/>
      <w:marLeft w:val="0"/>
      <w:marRight w:val="0"/>
      <w:marTop w:val="0"/>
      <w:marBottom w:val="0"/>
      <w:divBdr>
        <w:top w:val="none" w:sz="0" w:space="0" w:color="auto"/>
        <w:left w:val="none" w:sz="0" w:space="0" w:color="auto"/>
        <w:bottom w:val="none" w:sz="0" w:space="0" w:color="auto"/>
        <w:right w:val="none" w:sz="0" w:space="0" w:color="auto"/>
      </w:divBdr>
    </w:div>
    <w:div w:id="568347215">
      <w:bodyDiv w:val="1"/>
      <w:marLeft w:val="0"/>
      <w:marRight w:val="0"/>
      <w:marTop w:val="0"/>
      <w:marBottom w:val="0"/>
      <w:divBdr>
        <w:top w:val="none" w:sz="0" w:space="0" w:color="auto"/>
        <w:left w:val="none" w:sz="0" w:space="0" w:color="auto"/>
        <w:bottom w:val="none" w:sz="0" w:space="0" w:color="auto"/>
        <w:right w:val="none" w:sz="0" w:space="0" w:color="auto"/>
      </w:divBdr>
    </w:div>
    <w:div w:id="568997730">
      <w:bodyDiv w:val="1"/>
      <w:marLeft w:val="0"/>
      <w:marRight w:val="0"/>
      <w:marTop w:val="0"/>
      <w:marBottom w:val="0"/>
      <w:divBdr>
        <w:top w:val="none" w:sz="0" w:space="0" w:color="auto"/>
        <w:left w:val="none" w:sz="0" w:space="0" w:color="auto"/>
        <w:bottom w:val="none" w:sz="0" w:space="0" w:color="auto"/>
        <w:right w:val="none" w:sz="0" w:space="0" w:color="auto"/>
      </w:divBdr>
      <w:divsChild>
        <w:div w:id="1068922502">
          <w:marLeft w:val="0"/>
          <w:marRight w:val="0"/>
          <w:marTop w:val="0"/>
          <w:marBottom w:val="0"/>
          <w:divBdr>
            <w:top w:val="none" w:sz="0" w:space="0" w:color="auto"/>
            <w:left w:val="none" w:sz="0" w:space="0" w:color="auto"/>
            <w:bottom w:val="none" w:sz="0" w:space="0" w:color="auto"/>
            <w:right w:val="none" w:sz="0" w:space="0" w:color="auto"/>
          </w:divBdr>
          <w:divsChild>
            <w:div w:id="282267390">
              <w:marLeft w:val="210"/>
              <w:marRight w:val="0"/>
              <w:marTop w:val="120"/>
              <w:marBottom w:val="0"/>
              <w:divBdr>
                <w:top w:val="none" w:sz="0" w:space="0" w:color="auto"/>
                <w:left w:val="none" w:sz="0" w:space="0" w:color="auto"/>
                <w:bottom w:val="none" w:sz="0" w:space="0" w:color="auto"/>
                <w:right w:val="none" w:sz="0" w:space="0" w:color="auto"/>
              </w:divBdr>
              <w:divsChild>
                <w:div w:id="2103140012">
                  <w:marLeft w:val="0"/>
                  <w:marRight w:val="0"/>
                  <w:marTop w:val="0"/>
                  <w:marBottom w:val="0"/>
                  <w:divBdr>
                    <w:top w:val="none" w:sz="0" w:space="0" w:color="auto"/>
                    <w:left w:val="none" w:sz="0" w:space="0" w:color="auto"/>
                    <w:bottom w:val="none" w:sz="0" w:space="0" w:color="auto"/>
                    <w:right w:val="none" w:sz="0" w:space="0" w:color="auto"/>
                  </w:divBdr>
                  <w:divsChild>
                    <w:div w:id="112755204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833252325">
          <w:marLeft w:val="0"/>
          <w:marRight w:val="0"/>
          <w:marTop w:val="0"/>
          <w:marBottom w:val="0"/>
          <w:divBdr>
            <w:top w:val="none" w:sz="0" w:space="0" w:color="auto"/>
            <w:left w:val="none" w:sz="0" w:space="0" w:color="auto"/>
            <w:bottom w:val="none" w:sz="0" w:space="0" w:color="auto"/>
            <w:right w:val="none" w:sz="0" w:space="0" w:color="auto"/>
          </w:divBdr>
          <w:divsChild>
            <w:div w:id="1895698896">
              <w:marLeft w:val="0"/>
              <w:marRight w:val="0"/>
              <w:marTop w:val="0"/>
              <w:marBottom w:val="0"/>
              <w:divBdr>
                <w:top w:val="none" w:sz="0" w:space="0" w:color="auto"/>
                <w:left w:val="none" w:sz="0" w:space="0" w:color="auto"/>
                <w:bottom w:val="none" w:sz="0" w:space="0" w:color="auto"/>
                <w:right w:val="none" w:sz="0" w:space="0" w:color="auto"/>
              </w:divBdr>
              <w:divsChild>
                <w:div w:id="738676664">
                  <w:marLeft w:val="0"/>
                  <w:marRight w:val="0"/>
                  <w:marTop w:val="0"/>
                  <w:marBottom w:val="0"/>
                  <w:divBdr>
                    <w:top w:val="none" w:sz="0" w:space="0" w:color="auto"/>
                    <w:left w:val="none" w:sz="0" w:space="0" w:color="auto"/>
                    <w:bottom w:val="none" w:sz="0" w:space="0" w:color="auto"/>
                    <w:right w:val="none" w:sz="0" w:space="0" w:color="auto"/>
                  </w:divBdr>
                  <w:divsChild>
                    <w:div w:id="724835234">
                      <w:marLeft w:val="30"/>
                      <w:marRight w:val="30"/>
                      <w:marTop w:val="0"/>
                      <w:marBottom w:val="0"/>
                      <w:divBdr>
                        <w:top w:val="none" w:sz="0" w:space="0" w:color="auto"/>
                        <w:left w:val="none" w:sz="0" w:space="0" w:color="auto"/>
                        <w:bottom w:val="none" w:sz="0" w:space="0" w:color="auto"/>
                        <w:right w:val="none" w:sz="0" w:space="0" w:color="auto"/>
                      </w:divBdr>
                      <w:divsChild>
                        <w:div w:id="1643120162">
                          <w:marLeft w:val="135"/>
                          <w:marRight w:val="45"/>
                          <w:marTop w:val="60"/>
                          <w:marBottom w:val="60"/>
                          <w:divBdr>
                            <w:top w:val="none" w:sz="0" w:space="0" w:color="auto"/>
                            <w:left w:val="none" w:sz="0" w:space="0" w:color="auto"/>
                            <w:bottom w:val="none" w:sz="0" w:space="0" w:color="auto"/>
                            <w:right w:val="none" w:sz="0" w:space="0" w:color="auto"/>
                          </w:divBdr>
                          <w:divsChild>
                            <w:div w:id="307639012">
                              <w:marLeft w:val="0"/>
                              <w:marRight w:val="0"/>
                              <w:marTop w:val="0"/>
                              <w:marBottom w:val="0"/>
                              <w:divBdr>
                                <w:top w:val="none" w:sz="0" w:space="0" w:color="auto"/>
                                <w:left w:val="none" w:sz="0" w:space="0" w:color="auto"/>
                                <w:bottom w:val="none" w:sz="0" w:space="0" w:color="auto"/>
                                <w:right w:val="none" w:sz="0" w:space="0" w:color="auto"/>
                              </w:divBdr>
                              <w:divsChild>
                                <w:div w:id="1821656842">
                                  <w:marLeft w:val="0"/>
                                  <w:marRight w:val="0"/>
                                  <w:marTop w:val="0"/>
                                  <w:marBottom w:val="0"/>
                                  <w:divBdr>
                                    <w:top w:val="none" w:sz="0" w:space="0" w:color="auto"/>
                                    <w:left w:val="none" w:sz="0" w:space="0" w:color="auto"/>
                                    <w:bottom w:val="none" w:sz="0" w:space="0" w:color="auto"/>
                                    <w:right w:val="none" w:sz="0" w:space="0" w:color="auto"/>
                                  </w:divBdr>
                                </w:div>
                                <w:div w:id="18895343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22656900">
                          <w:marLeft w:val="0"/>
                          <w:marRight w:val="90"/>
                          <w:marTop w:val="90"/>
                          <w:marBottom w:val="30"/>
                          <w:divBdr>
                            <w:top w:val="none" w:sz="0" w:space="0" w:color="auto"/>
                            <w:left w:val="none" w:sz="0" w:space="0" w:color="auto"/>
                            <w:bottom w:val="none" w:sz="0" w:space="0" w:color="auto"/>
                            <w:right w:val="none" w:sz="0" w:space="0" w:color="auto"/>
                          </w:divBdr>
                          <w:divsChild>
                            <w:div w:id="1475291062">
                              <w:marLeft w:val="0"/>
                              <w:marRight w:val="0"/>
                              <w:marTop w:val="0"/>
                              <w:marBottom w:val="0"/>
                              <w:divBdr>
                                <w:top w:val="none" w:sz="0" w:space="0" w:color="auto"/>
                                <w:left w:val="none" w:sz="0" w:space="0" w:color="auto"/>
                                <w:bottom w:val="none" w:sz="0" w:space="0" w:color="auto"/>
                                <w:right w:val="none" w:sz="0" w:space="0" w:color="auto"/>
                              </w:divBdr>
                              <w:divsChild>
                                <w:div w:id="1494375583">
                                  <w:marLeft w:val="45"/>
                                  <w:marRight w:val="0"/>
                                  <w:marTop w:val="0"/>
                                  <w:marBottom w:val="15"/>
                                  <w:divBdr>
                                    <w:top w:val="none" w:sz="0" w:space="0" w:color="auto"/>
                                    <w:left w:val="none" w:sz="0" w:space="0" w:color="auto"/>
                                    <w:bottom w:val="none" w:sz="0" w:space="0" w:color="auto"/>
                                    <w:right w:val="none" w:sz="0" w:space="0" w:color="auto"/>
                                  </w:divBdr>
                                </w:div>
                              </w:divsChild>
                            </w:div>
                            <w:div w:id="1743521505">
                              <w:marLeft w:val="0"/>
                              <w:marRight w:val="30"/>
                              <w:marTop w:val="0"/>
                              <w:marBottom w:val="0"/>
                              <w:divBdr>
                                <w:top w:val="none" w:sz="0" w:space="0" w:color="auto"/>
                                <w:left w:val="none" w:sz="0" w:space="0" w:color="auto"/>
                                <w:bottom w:val="none" w:sz="0" w:space="0" w:color="auto"/>
                                <w:right w:val="none" w:sz="0" w:space="0" w:color="auto"/>
                              </w:divBdr>
                              <w:divsChild>
                                <w:div w:id="1962300695">
                                  <w:marLeft w:val="0"/>
                                  <w:marRight w:val="0"/>
                                  <w:marTop w:val="0"/>
                                  <w:marBottom w:val="0"/>
                                  <w:divBdr>
                                    <w:top w:val="none" w:sz="0" w:space="0" w:color="auto"/>
                                    <w:left w:val="none" w:sz="0" w:space="0" w:color="auto"/>
                                    <w:bottom w:val="none" w:sz="0" w:space="0" w:color="auto"/>
                                    <w:right w:val="none" w:sz="0" w:space="0" w:color="auto"/>
                                  </w:divBdr>
                                  <w:divsChild>
                                    <w:div w:id="1270969442">
                                      <w:marLeft w:val="0"/>
                                      <w:marRight w:val="0"/>
                                      <w:marTop w:val="0"/>
                                      <w:marBottom w:val="0"/>
                                      <w:divBdr>
                                        <w:top w:val="none" w:sz="0" w:space="0" w:color="auto"/>
                                        <w:left w:val="none" w:sz="0" w:space="0" w:color="auto"/>
                                        <w:bottom w:val="none" w:sz="0" w:space="0" w:color="auto"/>
                                        <w:right w:val="none" w:sz="0" w:space="0" w:color="auto"/>
                                      </w:divBdr>
                                      <w:divsChild>
                                        <w:div w:id="19133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679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9904409">
                      <w:marLeft w:val="30"/>
                      <w:marRight w:val="30"/>
                      <w:marTop w:val="0"/>
                      <w:marBottom w:val="0"/>
                      <w:divBdr>
                        <w:top w:val="none" w:sz="0" w:space="0" w:color="auto"/>
                        <w:left w:val="none" w:sz="0" w:space="0" w:color="auto"/>
                        <w:bottom w:val="none" w:sz="0" w:space="0" w:color="auto"/>
                        <w:right w:val="none" w:sz="0" w:space="0" w:color="auto"/>
                      </w:divBdr>
                      <w:divsChild>
                        <w:div w:id="1225411885">
                          <w:marLeft w:val="180"/>
                          <w:marRight w:val="210"/>
                          <w:marTop w:val="0"/>
                          <w:marBottom w:val="30"/>
                          <w:divBdr>
                            <w:top w:val="none" w:sz="0" w:space="0" w:color="auto"/>
                            <w:left w:val="none" w:sz="0" w:space="0" w:color="auto"/>
                            <w:bottom w:val="none" w:sz="0" w:space="0" w:color="auto"/>
                            <w:right w:val="none" w:sz="0" w:space="0" w:color="auto"/>
                          </w:divBdr>
                          <w:divsChild>
                            <w:div w:id="239801704">
                              <w:marLeft w:val="0"/>
                              <w:marRight w:val="30"/>
                              <w:marTop w:val="0"/>
                              <w:marBottom w:val="0"/>
                              <w:divBdr>
                                <w:top w:val="none" w:sz="0" w:space="0" w:color="auto"/>
                                <w:left w:val="none" w:sz="0" w:space="0" w:color="auto"/>
                                <w:bottom w:val="none" w:sz="0" w:space="0" w:color="auto"/>
                                <w:right w:val="none" w:sz="0" w:space="0" w:color="auto"/>
                              </w:divBdr>
                              <w:divsChild>
                                <w:div w:id="1420565917">
                                  <w:marLeft w:val="0"/>
                                  <w:marRight w:val="0"/>
                                  <w:marTop w:val="0"/>
                                  <w:marBottom w:val="0"/>
                                  <w:divBdr>
                                    <w:top w:val="none" w:sz="0" w:space="0" w:color="auto"/>
                                    <w:left w:val="none" w:sz="0" w:space="0" w:color="auto"/>
                                    <w:bottom w:val="none" w:sz="0" w:space="0" w:color="auto"/>
                                    <w:right w:val="none" w:sz="0" w:space="0" w:color="auto"/>
                                  </w:divBdr>
                                  <w:divsChild>
                                    <w:div w:id="864900391">
                                      <w:marLeft w:val="0"/>
                                      <w:marRight w:val="0"/>
                                      <w:marTop w:val="0"/>
                                      <w:marBottom w:val="0"/>
                                      <w:divBdr>
                                        <w:top w:val="none" w:sz="0" w:space="0" w:color="auto"/>
                                        <w:left w:val="none" w:sz="0" w:space="0" w:color="auto"/>
                                        <w:bottom w:val="none" w:sz="0" w:space="0" w:color="auto"/>
                                        <w:right w:val="none" w:sz="0" w:space="0" w:color="auto"/>
                                      </w:divBdr>
                                      <w:divsChild>
                                        <w:div w:id="1875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72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587767">
      <w:bodyDiv w:val="1"/>
      <w:marLeft w:val="0"/>
      <w:marRight w:val="0"/>
      <w:marTop w:val="0"/>
      <w:marBottom w:val="0"/>
      <w:divBdr>
        <w:top w:val="none" w:sz="0" w:space="0" w:color="auto"/>
        <w:left w:val="none" w:sz="0" w:space="0" w:color="auto"/>
        <w:bottom w:val="none" w:sz="0" w:space="0" w:color="auto"/>
        <w:right w:val="none" w:sz="0" w:space="0" w:color="auto"/>
      </w:divBdr>
    </w:div>
    <w:div w:id="588270937">
      <w:bodyDiv w:val="1"/>
      <w:marLeft w:val="0"/>
      <w:marRight w:val="0"/>
      <w:marTop w:val="0"/>
      <w:marBottom w:val="0"/>
      <w:divBdr>
        <w:top w:val="none" w:sz="0" w:space="0" w:color="auto"/>
        <w:left w:val="none" w:sz="0" w:space="0" w:color="auto"/>
        <w:bottom w:val="none" w:sz="0" w:space="0" w:color="auto"/>
        <w:right w:val="none" w:sz="0" w:space="0" w:color="auto"/>
      </w:divBdr>
      <w:divsChild>
        <w:div w:id="639728416">
          <w:marLeft w:val="0"/>
          <w:marRight w:val="0"/>
          <w:marTop w:val="0"/>
          <w:marBottom w:val="0"/>
          <w:divBdr>
            <w:top w:val="none" w:sz="0" w:space="0" w:color="auto"/>
            <w:left w:val="none" w:sz="0" w:space="0" w:color="auto"/>
            <w:bottom w:val="none" w:sz="0" w:space="0" w:color="auto"/>
            <w:right w:val="none" w:sz="0" w:space="0" w:color="auto"/>
          </w:divBdr>
          <w:divsChild>
            <w:div w:id="1280642503">
              <w:marLeft w:val="0"/>
              <w:marRight w:val="0"/>
              <w:marTop w:val="0"/>
              <w:marBottom w:val="0"/>
              <w:divBdr>
                <w:top w:val="none" w:sz="0" w:space="0" w:color="auto"/>
                <w:left w:val="none" w:sz="0" w:space="0" w:color="auto"/>
                <w:bottom w:val="none" w:sz="0" w:space="0" w:color="auto"/>
                <w:right w:val="none" w:sz="0" w:space="0" w:color="auto"/>
              </w:divBdr>
              <w:divsChild>
                <w:div w:id="1485849473">
                  <w:marLeft w:val="0"/>
                  <w:marRight w:val="0"/>
                  <w:marTop w:val="0"/>
                  <w:marBottom w:val="0"/>
                  <w:divBdr>
                    <w:top w:val="none" w:sz="0" w:space="0" w:color="auto"/>
                    <w:left w:val="none" w:sz="0" w:space="0" w:color="auto"/>
                    <w:bottom w:val="none" w:sz="0" w:space="0" w:color="auto"/>
                    <w:right w:val="none" w:sz="0" w:space="0" w:color="auto"/>
                  </w:divBdr>
                  <w:divsChild>
                    <w:div w:id="2063749301">
                      <w:marLeft w:val="0"/>
                      <w:marRight w:val="0"/>
                      <w:marTop w:val="0"/>
                      <w:marBottom w:val="0"/>
                      <w:divBdr>
                        <w:top w:val="none" w:sz="0" w:space="0" w:color="auto"/>
                        <w:left w:val="none" w:sz="0" w:space="0" w:color="auto"/>
                        <w:bottom w:val="none" w:sz="0" w:space="0" w:color="auto"/>
                        <w:right w:val="none" w:sz="0" w:space="0" w:color="auto"/>
                      </w:divBdr>
                      <w:divsChild>
                        <w:div w:id="1516070922">
                          <w:marLeft w:val="0"/>
                          <w:marRight w:val="0"/>
                          <w:marTop w:val="0"/>
                          <w:marBottom w:val="0"/>
                          <w:divBdr>
                            <w:top w:val="none" w:sz="0" w:space="0" w:color="auto"/>
                            <w:left w:val="none" w:sz="0" w:space="0" w:color="auto"/>
                            <w:bottom w:val="none" w:sz="0" w:space="0" w:color="auto"/>
                            <w:right w:val="none" w:sz="0" w:space="0" w:color="auto"/>
                          </w:divBdr>
                          <w:divsChild>
                            <w:div w:id="1874882223">
                              <w:marLeft w:val="0"/>
                              <w:marRight w:val="0"/>
                              <w:marTop w:val="0"/>
                              <w:marBottom w:val="0"/>
                              <w:divBdr>
                                <w:top w:val="none" w:sz="0" w:space="0" w:color="auto"/>
                                <w:left w:val="none" w:sz="0" w:space="0" w:color="auto"/>
                                <w:bottom w:val="none" w:sz="0" w:space="0" w:color="auto"/>
                                <w:right w:val="none" w:sz="0" w:space="0" w:color="auto"/>
                              </w:divBdr>
                              <w:divsChild>
                                <w:div w:id="411898093">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596138264">
      <w:bodyDiv w:val="1"/>
      <w:marLeft w:val="0"/>
      <w:marRight w:val="0"/>
      <w:marTop w:val="0"/>
      <w:marBottom w:val="0"/>
      <w:divBdr>
        <w:top w:val="none" w:sz="0" w:space="0" w:color="auto"/>
        <w:left w:val="none" w:sz="0" w:space="0" w:color="auto"/>
        <w:bottom w:val="none" w:sz="0" w:space="0" w:color="auto"/>
        <w:right w:val="none" w:sz="0" w:space="0" w:color="auto"/>
      </w:divBdr>
      <w:divsChild>
        <w:div w:id="247006404">
          <w:marLeft w:val="30"/>
          <w:marRight w:val="30"/>
          <w:marTop w:val="0"/>
          <w:marBottom w:val="0"/>
          <w:divBdr>
            <w:top w:val="none" w:sz="0" w:space="0" w:color="auto"/>
            <w:left w:val="none" w:sz="0" w:space="0" w:color="auto"/>
            <w:bottom w:val="none" w:sz="0" w:space="0" w:color="auto"/>
            <w:right w:val="none" w:sz="0" w:space="0" w:color="auto"/>
          </w:divBdr>
          <w:divsChild>
            <w:div w:id="826096428">
              <w:marLeft w:val="0"/>
              <w:marRight w:val="90"/>
              <w:marTop w:val="90"/>
              <w:marBottom w:val="30"/>
              <w:divBdr>
                <w:top w:val="none" w:sz="0" w:space="0" w:color="auto"/>
                <w:left w:val="none" w:sz="0" w:space="0" w:color="auto"/>
                <w:bottom w:val="none" w:sz="0" w:space="0" w:color="auto"/>
                <w:right w:val="none" w:sz="0" w:space="0" w:color="auto"/>
              </w:divBdr>
              <w:divsChild>
                <w:div w:id="243805444">
                  <w:marLeft w:val="0"/>
                  <w:marRight w:val="30"/>
                  <w:marTop w:val="0"/>
                  <w:marBottom w:val="0"/>
                  <w:divBdr>
                    <w:top w:val="none" w:sz="0" w:space="0" w:color="auto"/>
                    <w:left w:val="none" w:sz="0" w:space="0" w:color="auto"/>
                    <w:bottom w:val="none" w:sz="0" w:space="0" w:color="auto"/>
                    <w:right w:val="none" w:sz="0" w:space="0" w:color="auto"/>
                  </w:divBdr>
                  <w:divsChild>
                    <w:div w:id="20133869">
                      <w:marLeft w:val="0"/>
                      <w:marRight w:val="0"/>
                      <w:marTop w:val="0"/>
                      <w:marBottom w:val="0"/>
                      <w:divBdr>
                        <w:top w:val="none" w:sz="0" w:space="0" w:color="auto"/>
                        <w:left w:val="none" w:sz="0" w:space="0" w:color="auto"/>
                        <w:bottom w:val="none" w:sz="0" w:space="0" w:color="auto"/>
                        <w:right w:val="none" w:sz="0" w:space="0" w:color="auto"/>
                      </w:divBdr>
                      <w:divsChild>
                        <w:div w:id="610281675">
                          <w:marLeft w:val="0"/>
                          <w:marRight w:val="0"/>
                          <w:marTop w:val="0"/>
                          <w:marBottom w:val="0"/>
                          <w:divBdr>
                            <w:top w:val="none" w:sz="0" w:space="0" w:color="auto"/>
                            <w:left w:val="none" w:sz="0" w:space="0" w:color="auto"/>
                            <w:bottom w:val="none" w:sz="0" w:space="0" w:color="auto"/>
                            <w:right w:val="none" w:sz="0" w:space="0" w:color="auto"/>
                          </w:divBdr>
                          <w:divsChild>
                            <w:div w:id="16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19375">
                  <w:marLeft w:val="0"/>
                  <w:marRight w:val="0"/>
                  <w:marTop w:val="0"/>
                  <w:marBottom w:val="0"/>
                  <w:divBdr>
                    <w:top w:val="none" w:sz="0" w:space="0" w:color="auto"/>
                    <w:left w:val="none" w:sz="0" w:space="0" w:color="auto"/>
                    <w:bottom w:val="none" w:sz="0" w:space="0" w:color="auto"/>
                    <w:right w:val="none" w:sz="0" w:space="0" w:color="auto"/>
                  </w:divBdr>
                  <w:divsChild>
                    <w:div w:id="853304477">
                      <w:marLeft w:val="45"/>
                      <w:marRight w:val="0"/>
                      <w:marTop w:val="0"/>
                      <w:marBottom w:val="15"/>
                      <w:divBdr>
                        <w:top w:val="none" w:sz="0" w:space="0" w:color="auto"/>
                        <w:left w:val="none" w:sz="0" w:space="0" w:color="auto"/>
                        <w:bottom w:val="none" w:sz="0" w:space="0" w:color="auto"/>
                        <w:right w:val="none" w:sz="0" w:space="0" w:color="auto"/>
                      </w:divBdr>
                    </w:div>
                  </w:divsChild>
                </w:div>
                <w:div w:id="2018652798">
                  <w:marLeft w:val="45"/>
                  <w:marRight w:val="0"/>
                  <w:marTop w:val="0"/>
                  <w:marBottom w:val="0"/>
                  <w:divBdr>
                    <w:top w:val="none" w:sz="0" w:space="0" w:color="auto"/>
                    <w:left w:val="none" w:sz="0" w:space="0" w:color="auto"/>
                    <w:bottom w:val="none" w:sz="0" w:space="0" w:color="auto"/>
                    <w:right w:val="none" w:sz="0" w:space="0" w:color="auto"/>
                  </w:divBdr>
                </w:div>
              </w:divsChild>
            </w:div>
            <w:div w:id="1820611768">
              <w:marLeft w:val="135"/>
              <w:marRight w:val="45"/>
              <w:marTop w:val="60"/>
              <w:marBottom w:val="60"/>
              <w:divBdr>
                <w:top w:val="none" w:sz="0" w:space="0" w:color="auto"/>
                <w:left w:val="none" w:sz="0" w:space="0" w:color="auto"/>
                <w:bottom w:val="none" w:sz="0" w:space="0" w:color="auto"/>
                <w:right w:val="none" w:sz="0" w:space="0" w:color="auto"/>
              </w:divBdr>
              <w:divsChild>
                <w:div w:id="1427651838">
                  <w:marLeft w:val="0"/>
                  <w:marRight w:val="0"/>
                  <w:marTop w:val="0"/>
                  <w:marBottom w:val="0"/>
                  <w:divBdr>
                    <w:top w:val="none" w:sz="0" w:space="0" w:color="auto"/>
                    <w:left w:val="none" w:sz="0" w:space="0" w:color="auto"/>
                    <w:bottom w:val="none" w:sz="0" w:space="0" w:color="auto"/>
                    <w:right w:val="none" w:sz="0" w:space="0" w:color="auto"/>
                  </w:divBdr>
                  <w:divsChild>
                    <w:div w:id="7844256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32263542">
          <w:marLeft w:val="30"/>
          <w:marRight w:val="30"/>
          <w:marTop w:val="0"/>
          <w:marBottom w:val="0"/>
          <w:divBdr>
            <w:top w:val="none" w:sz="0" w:space="0" w:color="auto"/>
            <w:left w:val="none" w:sz="0" w:space="0" w:color="auto"/>
            <w:bottom w:val="none" w:sz="0" w:space="0" w:color="auto"/>
            <w:right w:val="none" w:sz="0" w:space="0" w:color="auto"/>
          </w:divBdr>
          <w:divsChild>
            <w:div w:id="614363506">
              <w:marLeft w:val="0"/>
              <w:marRight w:val="90"/>
              <w:marTop w:val="90"/>
              <w:marBottom w:val="30"/>
              <w:divBdr>
                <w:top w:val="none" w:sz="0" w:space="0" w:color="auto"/>
                <w:left w:val="none" w:sz="0" w:space="0" w:color="auto"/>
                <w:bottom w:val="none" w:sz="0" w:space="0" w:color="auto"/>
                <w:right w:val="none" w:sz="0" w:space="0" w:color="auto"/>
              </w:divBdr>
              <w:divsChild>
                <w:div w:id="1474903359">
                  <w:marLeft w:val="45"/>
                  <w:marRight w:val="0"/>
                  <w:marTop w:val="0"/>
                  <w:marBottom w:val="0"/>
                  <w:divBdr>
                    <w:top w:val="none" w:sz="0" w:space="0" w:color="auto"/>
                    <w:left w:val="none" w:sz="0" w:space="0" w:color="auto"/>
                    <w:bottom w:val="none" w:sz="0" w:space="0" w:color="auto"/>
                    <w:right w:val="none" w:sz="0" w:space="0" w:color="auto"/>
                  </w:divBdr>
                </w:div>
                <w:div w:id="1828548695">
                  <w:marLeft w:val="0"/>
                  <w:marRight w:val="30"/>
                  <w:marTop w:val="0"/>
                  <w:marBottom w:val="0"/>
                  <w:divBdr>
                    <w:top w:val="none" w:sz="0" w:space="0" w:color="auto"/>
                    <w:left w:val="none" w:sz="0" w:space="0" w:color="auto"/>
                    <w:bottom w:val="none" w:sz="0" w:space="0" w:color="auto"/>
                    <w:right w:val="none" w:sz="0" w:space="0" w:color="auto"/>
                  </w:divBdr>
                  <w:divsChild>
                    <w:div w:id="1796556241">
                      <w:marLeft w:val="0"/>
                      <w:marRight w:val="0"/>
                      <w:marTop w:val="0"/>
                      <w:marBottom w:val="0"/>
                      <w:divBdr>
                        <w:top w:val="none" w:sz="0" w:space="0" w:color="auto"/>
                        <w:left w:val="none" w:sz="0" w:space="0" w:color="auto"/>
                        <w:bottom w:val="none" w:sz="0" w:space="0" w:color="auto"/>
                        <w:right w:val="none" w:sz="0" w:space="0" w:color="auto"/>
                      </w:divBdr>
                      <w:divsChild>
                        <w:div w:id="1141995915">
                          <w:marLeft w:val="0"/>
                          <w:marRight w:val="0"/>
                          <w:marTop w:val="0"/>
                          <w:marBottom w:val="0"/>
                          <w:divBdr>
                            <w:top w:val="none" w:sz="0" w:space="0" w:color="auto"/>
                            <w:left w:val="none" w:sz="0" w:space="0" w:color="auto"/>
                            <w:bottom w:val="none" w:sz="0" w:space="0" w:color="auto"/>
                            <w:right w:val="none" w:sz="0" w:space="0" w:color="auto"/>
                          </w:divBdr>
                          <w:divsChild>
                            <w:div w:id="2115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5924">
                  <w:marLeft w:val="0"/>
                  <w:marRight w:val="0"/>
                  <w:marTop w:val="0"/>
                  <w:marBottom w:val="0"/>
                  <w:divBdr>
                    <w:top w:val="none" w:sz="0" w:space="0" w:color="auto"/>
                    <w:left w:val="none" w:sz="0" w:space="0" w:color="auto"/>
                    <w:bottom w:val="none" w:sz="0" w:space="0" w:color="auto"/>
                    <w:right w:val="none" w:sz="0" w:space="0" w:color="auto"/>
                  </w:divBdr>
                  <w:divsChild>
                    <w:div w:id="93332168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697387328">
              <w:marLeft w:val="135"/>
              <w:marRight w:val="45"/>
              <w:marTop w:val="60"/>
              <w:marBottom w:val="60"/>
              <w:divBdr>
                <w:top w:val="none" w:sz="0" w:space="0" w:color="auto"/>
                <w:left w:val="none" w:sz="0" w:space="0" w:color="auto"/>
                <w:bottom w:val="none" w:sz="0" w:space="0" w:color="auto"/>
                <w:right w:val="none" w:sz="0" w:space="0" w:color="auto"/>
              </w:divBdr>
              <w:divsChild>
                <w:div w:id="2134518034">
                  <w:marLeft w:val="0"/>
                  <w:marRight w:val="0"/>
                  <w:marTop w:val="0"/>
                  <w:marBottom w:val="0"/>
                  <w:divBdr>
                    <w:top w:val="none" w:sz="0" w:space="0" w:color="auto"/>
                    <w:left w:val="none" w:sz="0" w:space="0" w:color="auto"/>
                    <w:bottom w:val="none" w:sz="0" w:space="0" w:color="auto"/>
                    <w:right w:val="none" w:sz="0" w:space="0" w:color="auto"/>
                  </w:divBdr>
                  <w:divsChild>
                    <w:div w:id="245068494">
                      <w:marLeft w:val="0"/>
                      <w:marRight w:val="150"/>
                      <w:marTop w:val="0"/>
                      <w:marBottom w:val="0"/>
                      <w:divBdr>
                        <w:top w:val="none" w:sz="0" w:space="0" w:color="auto"/>
                        <w:left w:val="none" w:sz="0" w:space="0" w:color="auto"/>
                        <w:bottom w:val="none" w:sz="0" w:space="0" w:color="auto"/>
                        <w:right w:val="none" w:sz="0" w:space="0" w:color="auto"/>
                      </w:divBdr>
                    </w:div>
                    <w:div w:id="2540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8127">
          <w:marLeft w:val="30"/>
          <w:marRight w:val="30"/>
          <w:marTop w:val="0"/>
          <w:marBottom w:val="0"/>
          <w:divBdr>
            <w:top w:val="none" w:sz="0" w:space="0" w:color="auto"/>
            <w:left w:val="none" w:sz="0" w:space="0" w:color="auto"/>
            <w:bottom w:val="none" w:sz="0" w:space="0" w:color="auto"/>
            <w:right w:val="none" w:sz="0" w:space="0" w:color="auto"/>
          </w:divBdr>
          <w:divsChild>
            <w:div w:id="1343362231">
              <w:marLeft w:val="180"/>
              <w:marRight w:val="210"/>
              <w:marTop w:val="0"/>
              <w:marBottom w:val="30"/>
              <w:divBdr>
                <w:top w:val="none" w:sz="0" w:space="0" w:color="auto"/>
                <w:left w:val="none" w:sz="0" w:space="0" w:color="auto"/>
                <w:bottom w:val="none" w:sz="0" w:space="0" w:color="auto"/>
                <w:right w:val="none" w:sz="0" w:space="0" w:color="auto"/>
              </w:divBdr>
              <w:divsChild>
                <w:div w:id="429281697">
                  <w:marLeft w:val="0"/>
                  <w:marRight w:val="30"/>
                  <w:marTop w:val="0"/>
                  <w:marBottom w:val="0"/>
                  <w:divBdr>
                    <w:top w:val="none" w:sz="0" w:space="0" w:color="auto"/>
                    <w:left w:val="none" w:sz="0" w:space="0" w:color="auto"/>
                    <w:bottom w:val="none" w:sz="0" w:space="0" w:color="auto"/>
                    <w:right w:val="none" w:sz="0" w:space="0" w:color="auto"/>
                  </w:divBdr>
                  <w:divsChild>
                    <w:div w:id="1539391063">
                      <w:marLeft w:val="0"/>
                      <w:marRight w:val="0"/>
                      <w:marTop w:val="0"/>
                      <w:marBottom w:val="0"/>
                      <w:divBdr>
                        <w:top w:val="none" w:sz="0" w:space="0" w:color="auto"/>
                        <w:left w:val="none" w:sz="0" w:space="0" w:color="auto"/>
                        <w:bottom w:val="none" w:sz="0" w:space="0" w:color="auto"/>
                        <w:right w:val="none" w:sz="0" w:space="0" w:color="auto"/>
                      </w:divBdr>
                      <w:divsChild>
                        <w:div w:id="135294946">
                          <w:marLeft w:val="0"/>
                          <w:marRight w:val="0"/>
                          <w:marTop w:val="0"/>
                          <w:marBottom w:val="0"/>
                          <w:divBdr>
                            <w:top w:val="none" w:sz="0" w:space="0" w:color="auto"/>
                            <w:left w:val="none" w:sz="0" w:space="0" w:color="auto"/>
                            <w:bottom w:val="none" w:sz="0" w:space="0" w:color="auto"/>
                            <w:right w:val="none" w:sz="0" w:space="0" w:color="auto"/>
                          </w:divBdr>
                          <w:divsChild>
                            <w:div w:id="5247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3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62185344">
          <w:marLeft w:val="30"/>
          <w:marRight w:val="30"/>
          <w:marTop w:val="0"/>
          <w:marBottom w:val="0"/>
          <w:divBdr>
            <w:top w:val="none" w:sz="0" w:space="0" w:color="auto"/>
            <w:left w:val="none" w:sz="0" w:space="0" w:color="auto"/>
            <w:bottom w:val="none" w:sz="0" w:space="0" w:color="auto"/>
            <w:right w:val="none" w:sz="0" w:space="0" w:color="auto"/>
          </w:divBdr>
          <w:divsChild>
            <w:div w:id="1829784356">
              <w:marLeft w:val="0"/>
              <w:marRight w:val="90"/>
              <w:marTop w:val="90"/>
              <w:marBottom w:val="30"/>
              <w:divBdr>
                <w:top w:val="none" w:sz="0" w:space="0" w:color="auto"/>
                <w:left w:val="none" w:sz="0" w:space="0" w:color="auto"/>
                <w:bottom w:val="none" w:sz="0" w:space="0" w:color="auto"/>
                <w:right w:val="none" w:sz="0" w:space="0" w:color="auto"/>
              </w:divBdr>
              <w:divsChild>
                <w:div w:id="312370609">
                  <w:marLeft w:val="0"/>
                  <w:marRight w:val="0"/>
                  <w:marTop w:val="0"/>
                  <w:marBottom w:val="0"/>
                  <w:divBdr>
                    <w:top w:val="none" w:sz="0" w:space="0" w:color="auto"/>
                    <w:left w:val="none" w:sz="0" w:space="0" w:color="auto"/>
                    <w:bottom w:val="none" w:sz="0" w:space="0" w:color="auto"/>
                    <w:right w:val="none" w:sz="0" w:space="0" w:color="auto"/>
                  </w:divBdr>
                  <w:divsChild>
                    <w:div w:id="1280141923">
                      <w:marLeft w:val="45"/>
                      <w:marRight w:val="0"/>
                      <w:marTop w:val="0"/>
                      <w:marBottom w:val="15"/>
                      <w:divBdr>
                        <w:top w:val="none" w:sz="0" w:space="0" w:color="auto"/>
                        <w:left w:val="none" w:sz="0" w:space="0" w:color="auto"/>
                        <w:bottom w:val="none" w:sz="0" w:space="0" w:color="auto"/>
                        <w:right w:val="none" w:sz="0" w:space="0" w:color="auto"/>
                      </w:divBdr>
                    </w:div>
                  </w:divsChild>
                </w:div>
                <w:div w:id="1676885733">
                  <w:marLeft w:val="45"/>
                  <w:marRight w:val="0"/>
                  <w:marTop w:val="0"/>
                  <w:marBottom w:val="0"/>
                  <w:divBdr>
                    <w:top w:val="none" w:sz="0" w:space="0" w:color="auto"/>
                    <w:left w:val="none" w:sz="0" w:space="0" w:color="auto"/>
                    <w:bottom w:val="none" w:sz="0" w:space="0" w:color="auto"/>
                    <w:right w:val="none" w:sz="0" w:space="0" w:color="auto"/>
                  </w:divBdr>
                </w:div>
                <w:div w:id="1969240788">
                  <w:marLeft w:val="0"/>
                  <w:marRight w:val="30"/>
                  <w:marTop w:val="0"/>
                  <w:marBottom w:val="0"/>
                  <w:divBdr>
                    <w:top w:val="none" w:sz="0" w:space="0" w:color="auto"/>
                    <w:left w:val="none" w:sz="0" w:space="0" w:color="auto"/>
                    <w:bottom w:val="none" w:sz="0" w:space="0" w:color="auto"/>
                    <w:right w:val="none" w:sz="0" w:space="0" w:color="auto"/>
                  </w:divBdr>
                  <w:divsChild>
                    <w:div w:id="2111579228">
                      <w:marLeft w:val="0"/>
                      <w:marRight w:val="0"/>
                      <w:marTop w:val="0"/>
                      <w:marBottom w:val="0"/>
                      <w:divBdr>
                        <w:top w:val="none" w:sz="0" w:space="0" w:color="auto"/>
                        <w:left w:val="none" w:sz="0" w:space="0" w:color="auto"/>
                        <w:bottom w:val="none" w:sz="0" w:space="0" w:color="auto"/>
                        <w:right w:val="none" w:sz="0" w:space="0" w:color="auto"/>
                      </w:divBdr>
                      <w:divsChild>
                        <w:div w:id="1766262824">
                          <w:marLeft w:val="0"/>
                          <w:marRight w:val="0"/>
                          <w:marTop w:val="0"/>
                          <w:marBottom w:val="0"/>
                          <w:divBdr>
                            <w:top w:val="none" w:sz="0" w:space="0" w:color="auto"/>
                            <w:left w:val="none" w:sz="0" w:space="0" w:color="auto"/>
                            <w:bottom w:val="none" w:sz="0" w:space="0" w:color="auto"/>
                            <w:right w:val="none" w:sz="0" w:space="0" w:color="auto"/>
                          </w:divBdr>
                          <w:divsChild>
                            <w:div w:id="16679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8682">
              <w:marLeft w:val="135"/>
              <w:marRight w:val="45"/>
              <w:marTop w:val="60"/>
              <w:marBottom w:val="60"/>
              <w:divBdr>
                <w:top w:val="none" w:sz="0" w:space="0" w:color="auto"/>
                <w:left w:val="none" w:sz="0" w:space="0" w:color="auto"/>
                <w:bottom w:val="none" w:sz="0" w:space="0" w:color="auto"/>
                <w:right w:val="none" w:sz="0" w:space="0" w:color="auto"/>
              </w:divBdr>
              <w:divsChild>
                <w:div w:id="2056154623">
                  <w:marLeft w:val="0"/>
                  <w:marRight w:val="0"/>
                  <w:marTop w:val="0"/>
                  <w:marBottom w:val="0"/>
                  <w:divBdr>
                    <w:top w:val="none" w:sz="0" w:space="0" w:color="auto"/>
                    <w:left w:val="none" w:sz="0" w:space="0" w:color="auto"/>
                    <w:bottom w:val="none" w:sz="0" w:space="0" w:color="auto"/>
                    <w:right w:val="none" w:sz="0" w:space="0" w:color="auto"/>
                  </w:divBdr>
                  <w:divsChild>
                    <w:div w:id="1093234859">
                      <w:marLeft w:val="0"/>
                      <w:marRight w:val="150"/>
                      <w:marTop w:val="0"/>
                      <w:marBottom w:val="0"/>
                      <w:divBdr>
                        <w:top w:val="none" w:sz="0" w:space="0" w:color="auto"/>
                        <w:left w:val="none" w:sz="0" w:space="0" w:color="auto"/>
                        <w:bottom w:val="none" w:sz="0" w:space="0" w:color="auto"/>
                        <w:right w:val="none" w:sz="0" w:space="0" w:color="auto"/>
                      </w:divBdr>
                    </w:div>
                    <w:div w:id="18440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3118">
          <w:marLeft w:val="30"/>
          <w:marRight w:val="30"/>
          <w:marTop w:val="0"/>
          <w:marBottom w:val="0"/>
          <w:divBdr>
            <w:top w:val="none" w:sz="0" w:space="0" w:color="auto"/>
            <w:left w:val="none" w:sz="0" w:space="0" w:color="auto"/>
            <w:bottom w:val="none" w:sz="0" w:space="0" w:color="auto"/>
            <w:right w:val="none" w:sz="0" w:space="0" w:color="auto"/>
          </w:divBdr>
          <w:divsChild>
            <w:div w:id="63648335">
              <w:marLeft w:val="135"/>
              <w:marRight w:val="45"/>
              <w:marTop w:val="60"/>
              <w:marBottom w:val="60"/>
              <w:divBdr>
                <w:top w:val="none" w:sz="0" w:space="0" w:color="auto"/>
                <w:left w:val="none" w:sz="0" w:space="0" w:color="auto"/>
                <w:bottom w:val="none" w:sz="0" w:space="0" w:color="auto"/>
                <w:right w:val="none" w:sz="0" w:space="0" w:color="auto"/>
              </w:divBdr>
              <w:divsChild>
                <w:div w:id="1633054407">
                  <w:marLeft w:val="0"/>
                  <w:marRight w:val="0"/>
                  <w:marTop w:val="0"/>
                  <w:marBottom w:val="0"/>
                  <w:divBdr>
                    <w:top w:val="none" w:sz="0" w:space="0" w:color="auto"/>
                    <w:left w:val="none" w:sz="0" w:space="0" w:color="auto"/>
                    <w:bottom w:val="none" w:sz="0" w:space="0" w:color="auto"/>
                    <w:right w:val="none" w:sz="0" w:space="0" w:color="auto"/>
                  </w:divBdr>
                  <w:divsChild>
                    <w:div w:id="475024734">
                      <w:marLeft w:val="0"/>
                      <w:marRight w:val="0"/>
                      <w:marTop w:val="0"/>
                      <w:marBottom w:val="0"/>
                      <w:divBdr>
                        <w:top w:val="none" w:sz="0" w:space="0" w:color="auto"/>
                        <w:left w:val="none" w:sz="0" w:space="0" w:color="auto"/>
                        <w:bottom w:val="none" w:sz="0" w:space="0" w:color="auto"/>
                        <w:right w:val="none" w:sz="0" w:space="0" w:color="auto"/>
                      </w:divBdr>
                    </w:div>
                    <w:div w:id="8297160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06395621">
              <w:marLeft w:val="0"/>
              <w:marRight w:val="90"/>
              <w:marTop w:val="90"/>
              <w:marBottom w:val="30"/>
              <w:divBdr>
                <w:top w:val="none" w:sz="0" w:space="0" w:color="auto"/>
                <w:left w:val="none" w:sz="0" w:space="0" w:color="auto"/>
                <w:bottom w:val="none" w:sz="0" w:space="0" w:color="auto"/>
                <w:right w:val="none" w:sz="0" w:space="0" w:color="auto"/>
              </w:divBdr>
              <w:divsChild>
                <w:div w:id="237397909">
                  <w:marLeft w:val="0"/>
                  <w:marRight w:val="0"/>
                  <w:marTop w:val="0"/>
                  <w:marBottom w:val="0"/>
                  <w:divBdr>
                    <w:top w:val="none" w:sz="0" w:space="0" w:color="auto"/>
                    <w:left w:val="none" w:sz="0" w:space="0" w:color="auto"/>
                    <w:bottom w:val="none" w:sz="0" w:space="0" w:color="auto"/>
                    <w:right w:val="none" w:sz="0" w:space="0" w:color="auto"/>
                  </w:divBdr>
                  <w:divsChild>
                    <w:div w:id="126094727">
                      <w:marLeft w:val="45"/>
                      <w:marRight w:val="0"/>
                      <w:marTop w:val="0"/>
                      <w:marBottom w:val="15"/>
                      <w:divBdr>
                        <w:top w:val="none" w:sz="0" w:space="0" w:color="auto"/>
                        <w:left w:val="none" w:sz="0" w:space="0" w:color="auto"/>
                        <w:bottom w:val="none" w:sz="0" w:space="0" w:color="auto"/>
                        <w:right w:val="none" w:sz="0" w:space="0" w:color="auto"/>
                      </w:divBdr>
                    </w:div>
                  </w:divsChild>
                </w:div>
                <w:div w:id="898051141">
                  <w:marLeft w:val="0"/>
                  <w:marRight w:val="30"/>
                  <w:marTop w:val="0"/>
                  <w:marBottom w:val="0"/>
                  <w:divBdr>
                    <w:top w:val="none" w:sz="0" w:space="0" w:color="auto"/>
                    <w:left w:val="none" w:sz="0" w:space="0" w:color="auto"/>
                    <w:bottom w:val="none" w:sz="0" w:space="0" w:color="auto"/>
                    <w:right w:val="none" w:sz="0" w:space="0" w:color="auto"/>
                  </w:divBdr>
                  <w:divsChild>
                    <w:div w:id="568536479">
                      <w:marLeft w:val="0"/>
                      <w:marRight w:val="0"/>
                      <w:marTop w:val="0"/>
                      <w:marBottom w:val="0"/>
                      <w:divBdr>
                        <w:top w:val="none" w:sz="0" w:space="0" w:color="auto"/>
                        <w:left w:val="none" w:sz="0" w:space="0" w:color="auto"/>
                        <w:bottom w:val="none" w:sz="0" w:space="0" w:color="auto"/>
                        <w:right w:val="none" w:sz="0" w:space="0" w:color="auto"/>
                      </w:divBdr>
                      <w:divsChild>
                        <w:div w:id="844830219">
                          <w:marLeft w:val="0"/>
                          <w:marRight w:val="0"/>
                          <w:marTop w:val="0"/>
                          <w:marBottom w:val="0"/>
                          <w:divBdr>
                            <w:top w:val="none" w:sz="0" w:space="0" w:color="auto"/>
                            <w:left w:val="none" w:sz="0" w:space="0" w:color="auto"/>
                            <w:bottom w:val="none" w:sz="0" w:space="0" w:color="auto"/>
                            <w:right w:val="none" w:sz="0" w:space="0" w:color="auto"/>
                          </w:divBdr>
                          <w:divsChild>
                            <w:div w:id="14910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03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3068984">
          <w:marLeft w:val="30"/>
          <w:marRight w:val="30"/>
          <w:marTop w:val="0"/>
          <w:marBottom w:val="0"/>
          <w:divBdr>
            <w:top w:val="none" w:sz="0" w:space="0" w:color="auto"/>
            <w:left w:val="none" w:sz="0" w:space="0" w:color="auto"/>
            <w:bottom w:val="none" w:sz="0" w:space="0" w:color="auto"/>
            <w:right w:val="none" w:sz="0" w:space="0" w:color="auto"/>
          </w:divBdr>
          <w:divsChild>
            <w:div w:id="610473271">
              <w:marLeft w:val="135"/>
              <w:marRight w:val="45"/>
              <w:marTop w:val="60"/>
              <w:marBottom w:val="60"/>
              <w:divBdr>
                <w:top w:val="none" w:sz="0" w:space="0" w:color="auto"/>
                <w:left w:val="none" w:sz="0" w:space="0" w:color="auto"/>
                <w:bottom w:val="none" w:sz="0" w:space="0" w:color="auto"/>
                <w:right w:val="none" w:sz="0" w:space="0" w:color="auto"/>
              </w:divBdr>
              <w:divsChild>
                <w:div w:id="723141748">
                  <w:marLeft w:val="0"/>
                  <w:marRight w:val="0"/>
                  <w:marTop w:val="0"/>
                  <w:marBottom w:val="0"/>
                  <w:divBdr>
                    <w:top w:val="none" w:sz="0" w:space="0" w:color="auto"/>
                    <w:left w:val="none" w:sz="0" w:space="0" w:color="auto"/>
                    <w:bottom w:val="none" w:sz="0" w:space="0" w:color="auto"/>
                    <w:right w:val="none" w:sz="0" w:space="0" w:color="auto"/>
                  </w:divBdr>
                  <w:divsChild>
                    <w:div w:id="663439316">
                      <w:marLeft w:val="0"/>
                      <w:marRight w:val="150"/>
                      <w:marTop w:val="0"/>
                      <w:marBottom w:val="0"/>
                      <w:divBdr>
                        <w:top w:val="none" w:sz="0" w:space="0" w:color="auto"/>
                        <w:left w:val="none" w:sz="0" w:space="0" w:color="auto"/>
                        <w:bottom w:val="none" w:sz="0" w:space="0" w:color="auto"/>
                        <w:right w:val="none" w:sz="0" w:space="0" w:color="auto"/>
                      </w:divBdr>
                    </w:div>
                    <w:div w:id="14286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0736">
              <w:marLeft w:val="0"/>
              <w:marRight w:val="90"/>
              <w:marTop w:val="90"/>
              <w:marBottom w:val="30"/>
              <w:divBdr>
                <w:top w:val="none" w:sz="0" w:space="0" w:color="auto"/>
                <w:left w:val="none" w:sz="0" w:space="0" w:color="auto"/>
                <w:bottom w:val="none" w:sz="0" w:space="0" w:color="auto"/>
                <w:right w:val="none" w:sz="0" w:space="0" w:color="auto"/>
              </w:divBdr>
              <w:divsChild>
                <w:div w:id="234824907">
                  <w:marLeft w:val="0"/>
                  <w:marRight w:val="30"/>
                  <w:marTop w:val="0"/>
                  <w:marBottom w:val="0"/>
                  <w:divBdr>
                    <w:top w:val="none" w:sz="0" w:space="0" w:color="auto"/>
                    <w:left w:val="none" w:sz="0" w:space="0" w:color="auto"/>
                    <w:bottom w:val="none" w:sz="0" w:space="0" w:color="auto"/>
                    <w:right w:val="none" w:sz="0" w:space="0" w:color="auto"/>
                  </w:divBdr>
                  <w:divsChild>
                    <w:div w:id="1755587814">
                      <w:marLeft w:val="0"/>
                      <w:marRight w:val="0"/>
                      <w:marTop w:val="0"/>
                      <w:marBottom w:val="0"/>
                      <w:divBdr>
                        <w:top w:val="none" w:sz="0" w:space="0" w:color="auto"/>
                        <w:left w:val="none" w:sz="0" w:space="0" w:color="auto"/>
                        <w:bottom w:val="none" w:sz="0" w:space="0" w:color="auto"/>
                        <w:right w:val="none" w:sz="0" w:space="0" w:color="auto"/>
                      </w:divBdr>
                      <w:divsChild>
                        <w:div w:id="434717680">
                          <w:marLeft w:val="0"/>
                          <w:marRight w:val="0"/>
                          <w:marTop w:val="0"/>
                          <w:marBottom w:val="0"/>
                          <w:divBdr>
                            <w:top w:val="none" w:sz="0" w:space="0" w:color="auto"/>
                            <w:left w:val="none" w:sz="0" w:space="0" w:color="auto"/>
                            <w:bottom w:val="none" w:sz="0" w:space="0" w:color="auto"/>
                            <w:right w:val="none" w:sz="0" w:space="0" w:color="auto"/>
                          </w:divBdr>
                          <w:divsChild>
                            <w:div w:id="1634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25512">
                  <w:marLeft w:val="45"/>
                  <w:marRight w:val="0"/>
                  <w:marTop w:val="0"/>
                  <w:marBottom w:val="0"/>
                  <w:divBdr>
                    <w:top w:val="none" w:sz="0" w:space="0" w:color="auto"/>
                    <w:left w:val="none" w:sz="0" w:space="0" w:color="auto"/>
                    <w:bottom w:val="none" w:sz="0" w:space="0" w:color="auto"/>
                    <w:right w:val="none" w:sz="0" w:space="0" w:color="auto"/>
                  </w:divBdr>
                </w:div>
                <w:div w:id="883836319">
                  <w:marLeft w:val="0"/>
                  <w:marRight w:val="0"/>
                  <w:marTop w:val="0"/>
                  <w:marBottom w:val="0"/>
                  <w:divBdr>
                    <w:top w:val="none" w:sz="0" w:space="0" w:color="auto"/>
                    <w:left w:val="none" w:sz="0" w:space="0" w:color="auto"/>
                    <w:bottom w:val="none" w:sz="0" w:space="0" w:color="auto"/>
                    <w:right w:val="none" w:sz="0" w:space="0" w:color="auto"/>
                  </w:divBdr>
                  <w:divsChild>
                    <w:div w:id="185213653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601885657">
      <w:bodyDiv w:val="1"/>
      <w:marLeft w:val="0"/>
      <w:marRight w:val="0"/>
      <w:marTop w:val="0"/>
      <w:marBottom w:val="0"/>
      <w:divBdr>
        <w:top w:val="none" w:sz="0" w:space="0" w:color="auto"/>
        <w:left w:val="none" w:sz="0" w:space="0" w:color="auto"/>
        <w:bottom w:val="none" w:sz="0" w:space="0" w:color="auto"/>
        <w:right w:val="none" w:sz="0" w:space="0" w:color="auto"/>
      </w:divBdr>
    </w:div>
    <w:div w:id="614678810">
      <w:bodyDiv w:val="1"/>
      <w:marLeft w:val="0"/>
      <w:marRight w:val="0"/>
      <w:marTop w:val="0"/>
      <w:marBottom w:val="0"/>
      <w:divBdr>
        <w:top w:val="none" w:sz="0" w:space="0" w:color="auto"/>
        <w:left w:val="none" w:sz="0" w:space="0" w:color="auto"/>
        <w:bottom w:val="none" w:sz="0" w:space="0" w:color="auto"/>
        <w:right w:val="none" w:sz="0" w:space="0" w:color="auto"/>
      </w:divBdr>
    </w:div>
    <w:div w:id="629171328">
      <w:bodyDiv w:val="1"/>
      <w:marLeft w:val="0"/>
      <w:marRight w:val="0"/>
      <w:marTop w:val="0"/>
      <w:marBottom w:val="0"/>
      <w:divBdr>
        <w:top w:val="none" w:sz="0" w:space="0" w:color="auto"/>
        <w:left w:val="none" w:sz="0" w:space="0" w:color="auto"/>
        <w:bottom w:val="none" w:sz="0" w:space="0" w:color="auto"/>
        <w:right w:val="none" w:sz="0" w:space="0" w:color="auto"/>
      </w:divBdr>
    </w:div>
    <w:div w:id="661274123">
      <w:bodyDiv w:val="1"/>
      <w:marLeft w:val="0"/>
      <w:marRight w:val="0"/>
      <w:marTop w:val="0"/>
      <w:marBottom w:val="0"/>
      <w:divBdr>
        <w:top w:val="none" w:sz="0" w:space="0" w:color="auto"/>
        <w:left w:val="none" w:sz="0" w:space="0" w:color="auto"/>
        <w:bottom w:val="none" w:sz="0" w:space="0" w:color="auto"/>
        <w:right w:val="none" w:sz="0" w:space="0" w:color="auto"/>
      </w:divBdr>
    </w:div>
    <w:div w:id="677005120">
      <w:bodyDiv w:val="1"/>
      <w:marLeft w:val="0"/>
      <w:marRight w:val="0"/>
      <w:marTop w:val="0"/>
      <w:marBottom w:val="0"/>
      <w:divBdr>
        <w:top w:val="none" w:sz="0" w:space="0" w:color="auto"/>
        <w:left w:val="none" w:sz="0" w:space="0" w:color="auto"/>
        <w:bottom w:val="none" w:sz="0" w:space="0" w:color="auto"/>
        <w:right w:val="none" w:sz="0" w:space="0" w:color="auto"/>
      </w:divBdr>
      <w:divsChild>
        <w:div w:id="1448232417">
          <w:marLeft w:val="0"/>
          <w:marRight w:val="0"/>
          <w:marTop w:val="0"/>
          <w:marBottom w:val="0"/>
          <w:divBdr>
            <w:top w:val="none" w:sz="0" w:space="0" w:color="auto"/>
            <w:left w:val="none" w:sz="0" w:space="0" w:color="auto"/>
            <w:bottom w:val="none" w:sz="0" w:space="0" w:color="auto"/>
            <w:right w:val="none" w:sz="0" w:space="0" w:color="auto"/>
          </w:divBdr>
          <w:divsChild>
            <w:div w:id="1059745682">
              <w:marLeft w:val="210"/>
              <w:marRight w:val="0"/>
              <w:marTop w:val="120"/>
              <w:marBottom w:val="0"/>
              <w:divBdr>
                <w:top w:val="none" w:sz="0" w:space="0" w:color="auto"/>
                <w:left w:val="none" w:sz="0" w:space="0" w:color="auto"/>
                <w:bottom w:val="none" w:sz="0" w:space="0" w:color="auto"/>
                <w:right w:val="none" w:sz="0" w:space="0" w:color="auto"/>
              </w:divBdr>
              <w:divsChild>
                <w:div w:id="958688258">
                  <w:marLeft w:val="0"/>
                  <w:marRight w:val="0"/>
                  <w:marTop w:val="0"/>
                  <w:marBottom w:val="0"/>
                  <w:divBdr>
                    <w:top w:val="none" w:sz="0" w:space="0" w:color="auto"/>
                    <w:left w:val="none" w:sz="0" w:space="0" w:color="auto"/>
                    <w:bottom w:val="none" w:sz="0" w:space="0" w:color="auto"/>
                    <w:right w:val="none" w:sz="0" w:space="0" w:color="auto"/>
                  </w:divBdr>
                  <w:divsChild>
                    <w:div w:id="206066618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89036097">
          <w:marLeft w:val="0"/>
          <w:marRight w:val="0"/>
          <w:marTop w:val="0"/>
          <w:marBottom w:val="0"/>
          <w:divBdr>
            <w:top w:val="none" w:sz="0" w:space="0" w:color="auto"/>
            <w:left w:val="none" w:sz="0" w:space="0" w:color="auto"/>
            <w:bottom w:val="none" w:sz="0" w:space="0" w:color="auto"/>
            <w:right w:val="none" w:sz="0" w:space="0" w:color="auto"/>
          </w:divBdr>
          <w:divsChild>
            <w:div w:id="244918608">
              <w:marLeft w:val="0"/>
              <w:marRight w:val="0"/>
              <w:marTop w:val="0"/>
              <w:marBottom w:val="0"/>
              <w:divBdr>
                <w:top w:val="none" w:sz="0" w:space="0" w:color="auto"/>
                <w:left w:val="none" w:sz="0" w:space="0" w:color="auto"/>
                <w:bottom w:val="none" w:sz="0" w:space="0" w:color="auto"/>
                <w:right w:val="none" w:sz="0" w:space="0" w:color="auto"/>
              </w:divBdr>
              <w:divsChild>
                <w:div w:id="387999418">
                  <w:marLeft w:val="0"/>
                  <w:marRight w:val="0"/>
                  <w:marTop w:val="0"/>
                  <w:marBottom w:val="0"/>
                  <w:divBdr>
                    <w:top w:val="none" w:sz="0" w:space="0" w:color="auto"/>
                    <w:left w:val="none" w:sz="0" w:space="0" w:color="auto"/>
                    <w:bottom w:val="none" w:sz="0" w:space="0" w:color="auto"/>
                    <w:right w:val="none" w:sz="0" w:space="0" w:color="auto"/>
                  </w:divBdr>
                  <w:divsChild>
                    <w:div w:id="728647836">
                      <w:marLeft w:val="30"/>
                      <w:marRight w:val="30"/>
                      <w:marTop w:val="0"/>
                      <w:marBottom w:val="0"/>
                      <w:divBdr>
                        <w:top w:val="none" w:sz="0" w:space="0" w:color="auto"/>
                        <w:left w:val="none" w:sz="0" w:space="0" w:color="auto"/>
                        <w:bottom w:val="none" w:sz="0" w:space="0" w:color="auto"/>
                        <w:right w:val="none" w:sz="0" w:space="0" w:color="auto"/>
                      </w:divBdr>
                      <w:divsChild>
                        <w:div w:id="837311175">
                          <w:marLeft w:val="180"/>
                          <w:marRight w:val="210"/>
                          <w:marTop w:val="0"/>
                          <w:marBottom w:val="30"/>
                          <w:divBdr>
                            <w:top w:val="none" w:sz="0" w:space="0" w:color="auto"/>
                            <w:left w:val="none" w:sz="0" w:space="0" w:color="auto"/>
                            <w:bottom w:val="none" w:sz="0" w:space="0" w:color="auto"/>
                            <w:right w:val="none" w:sz="0" w:space="0" w:color="auto"/>
                          </w:divBdr>
                          <w:divsChild>
                            <w:div w:id="293760609">
                              <w:marLeft w:val="0"/>
                              <w:marRight w:val="30"/>
                              <w:marTop w:val="0"/>
                              <w:marBottom w:val="0"/>
                              <w:divBdr>
                                <w:top w:val="none" w:sz="0" w:space="0" w:color="auto"/>
                                <w:left w:val="none" w:sz="0" w:space="0" w:color="auto"/>
                                <w:bottom w:val="none" w:sz="0" w:space="0" w:color="auto"/>
                                <w:right w:val="none" w:sz="0" w:space="0" w:color="auto"/>
                              </w:divBdr>
                              <w:divsChild>
                                <w:div w:id="50812147">
                                  <w:marLeft w:val="0"/>
                                  <w:marRight w:val="0"/>
                                  <w:marTop w:val="0"/>
                                  <w:marBottom w:val="0"/>
                                  <w:divBdr>
                                    <w:top w:val="none" w:sz="0" w:space="0" w:color="auto"/>
                                    <w:left w:val="none" w:sz="0" w:space="0" w:color="auto"/>
                                    <w:bottom w:val="none" w:sz="0" w:space="0" w:color="auto"/>
                                    <w:right w:val="none" w:sz="0" w:space="0" w:color="auto"/>
                                  </w:divBdr>
                                  <w:divsChild>
                                    <w:div w:id="1524131937">
                                      <w:marLeft w:val="0"/>
                                      <w:marRight w:val="0"/>
                                      <w:marTop w:val="0"/>
                                      <w:marBottom w:val="0"/>
                                      <w:divBdr>
                                        <w:top w:val="none" w:sz="0" w:space="0" w:color="auto"/>
                                        <w:left w:val="none" w:sz="0" w:space="0" w:color="auto"/>
                                        <w:bottom w:val="none" w:sz="0" w:space="0" w:color="auto"/>
                                        <w:right w:val="none" w:sz="0" w:space="0" w:color="auto"/>
                                      </w:divBdr>
                                      <w:divsChild>
                                        <w:div w:id="1412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494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7949">
      <w:bodyDiv w:val="1"/>
      <w:marLeft w:val="0"/>
      <w:marRight w:val="0"/>
      <w:marTop w:val="0"/>
      <w:marBottom w:val="0"/>
      <w:divBdr>
        <w:top w:val="none" w:sz="0" w:space="0" w:color="auto"/>
        <w:left w:val="none" w:sz="0" w:space="0" w:color="auto"/>
        <w:bottom w:val="none" w:sz="0" w:space="0" w:color="auto"/>
        <w:right w:val="none" w:sz="0" w:space="0" w:color="auto"/>
      </w:divBdr>
    </w:div>
    <w:div w:id="709568972">
      <w:bodyDiv w:val="1"/>
      <w:marLeft w:val="0"/>
      <w:marRight w:val="0"/>
      <w:marTop w:val="0"/>
      <w:marBottom w:val="0"/>
      <w:divBdr>
        <w:top w:val="none" w:sz="0" w:space="0" w:color="auto"/>
        <w:left w:val="none" w:sz="0" w:space="0" w:color="auto"/>
        <w:bottom w:val="none" w:sz="0" w:space="0" w:color="auto"/>
        <w:right w:val="none" w:sz="0" w:space="0" w:color="auto"/>
      </w:divBdr>
    </w:div>
    <w:div w:id="720246220">
      <w:bodyDiv w:val="1"/>
      <w:marLeft w:val="0"/>
      <w:marRight w:val="0"/>
      <w:marTop w:val="0"/>
      <w:marBottom w:val="0"/>
      <w:divBdr>
        <w:top w:val="none" w:sz="0" w:space="0" w:color="auto"/>
        <w:left w:val="none" w:sz="0" w:space="0" w:color="auto"/>
        <w:bottom w:val="none" w:sz="0" w:space="0" w:color="auto"/>
        <w:right w:val="none" w:sz="0" w:space="0" w:color="auto"/>
      </w:divBdr>
      <w:divsChild>
        <w:div w:id="697007766">
          <w:marLeft w:val="0"/>
          <w:marRight w:val="0"/>
          <w:marTop w:val="0"/>
          <w:marBottom w:val="0"/>
          <w:divBdr>
            <w:top w:val="none" w:sz="0" w:space="0" w:color="auto"/>
            <w:left w:val="none" w:sz="0" w:space="0" w:color="auto"/>
            <w:bottom w:val="none" w:sz="0" w:space="0" w:color="auto"/>
            <w:right w:val="none" w:sz="0" w:space="0" w:color="auto"/>
          </w:divBdr>
          <w:divsChild>
            <w:div w:id="2101563399">
              <w:marLeft w:val="210"/>
              <w:marRight w:val="0"/>
              <w:marTop w:val="120"/>
              <w:marBottom w:val="0"/>
              <w:divBdr>
                <w:top w:val="none" w:sz="0" w:space="0" w:color="auto"/>
                <w:left w:val="none" w:sz="0" w:space="0" w:color="auto"/>
                <w:bottom w:val="none" w:sz="0" w:space="0" w:color="auto"/>
                <w:right w:val="none" w:sz="0" w:space="0" w:color="auto"/>
              </w:divBdr>
              <w:divsChild>
                <w:div w:id="257564497">
                  <w:marLeft w:val="0"/>
                  <w:marRight w:val="0"/>
                  <w:marTop w:val="0"/>
                  <w:marBottom w:val="0"/>
                  <w:divBdr>
                    <w:top w:val="none" w:sz="0" w:space="0" w:color="auto"/>
                    <w:left w:val="none" w:sz="0" w:space="0" w:color="auto"/>
                    <w:bottom w:val="none" w:sz="0" w:space="0" w:color="auto"/>
                    <w:right w:val="none" w:sz="0" w:space="0" w:color="auto"/>
                  </w:divBdr>
                  <w:divsChild>
                    <w:div w:id="109394176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760756749">
          <w:marLeft w:val="0"/>
          <w:marRight w:val="0"/>
          <w:marTop w:val="0"/>
          <w:marBottom w:val="0"/>
          <w:divBdr>
            <w:top w:val="none" w:sz="0" w:space="0" w:color="auto"/>
            <w:left w:val="none" w:sz="0" w:space="0" w:color="auto"/>
            <w:bottom w:val="none" w:sz="0" w:space="0" w:color="auto"/>
            <w:right w:val="none" w:sz="0" w:space="0" w:color="auto"/>
          </w:divBdr>
          <w:divsChild>
            <w:div w:id="1845121534">
              <w:marLeft w:val="0"/>
              <w:marRight w:val="0"/>
              <w:marTop w:val="0"/>
              <w:marBottom w:val="0"/>
              <w:divBdr>
                <w:top w:val="none" w:sz="0" w:space="0" w:color="auto"/>
                <w:left w:val="none" w:sz="0" w:space="0" w:color="auto"/>
                <w:bottom w:val="none" w:sz="0" w:space="0" w:color="auto"/>
                <w:right w:val="none" w:sz="0" w:space="0" w:color="auto"/>
              </w:divBdr>
              <w:divsChild>
                <w:div w:id="1539706503">
                  <w:marLeft w:val="0"/>
                  <w:marRight w:val="0"/>
                  <w:marTop w:val="0"/>
                  <w:marBottom w:val="0"/>
                  <w:divBdr>
                    <w:top w:val="none" w:sz="0" w:space="0" w:color="auto"/>
                    <w:left w:val="none" w:sz="0" w:space="0" w:color="auto"/>
                    <w:bottom w:val="none" w:sz="0" w:space="0" w:color="auto"/>
                    <w:right w:val="none" w:sz="0" w:space="0" w:color="auto"/>
                  </w:divBdr>
                  <w:divsChild>
                    <w:div w:id="776370952">
                      <w:marLeft w:val="30"/>
                      <w:marRight w:val="30"/>
                      <w:marTop w:val="0"/>
                      <w:marBottom w:val="0"/>
                      <w:divBdr>
                        <w:top w:val="none" w:sz="0" w:space="0" w:color="auto"/>
                        <w:left w:val="none" w:sz="0" w:space="0" w:color="auto"/>
                        <w:bottom w:val="none" w:sz="0" w:space="0" w:color="auto"/>
                        <w:right w:val="none" w:sz="0" w:space="0" w:color="auto"/>
                      </w:divBdr>
                      <w:divsChild>
                        <w:div w:id="2085252141">
                          <w:marLeft w:val="180"/>
                          <w:marRight w:val="210"/>
                          <w:marTop w:val="0"/>
                          <w:marBottom w:val="30"/>
                          <w:divBdr>
                            <w:top w:val="none" w:sz="0" w:space="0" w:color="auto"/>
                            <w:left w:val="none" w:sz="0" w:space="0" w:color="auto"/>
                            <w:bottom w:val="none" w:sz="0" w:space="0" w:color="auto"/>
                            <w:right w:val="none" w:sz="0" w:space="0" w:color="auto"/>
                          </w:divBdr>
                          <w:divsChild>
                            <w:div w:id="896165193">
                              <w:marLeft w:val="0"/>
                              <w:marRight w:val="30"/>
                              <w:marTop w:val="0"/>
                              <w:marBottom w:val="0"/>
                              <w:divBdr>
                                <w:top w:val="none" w:sz="0" w:space="0" w:color="auto"/>
                                <w:left w:val="none" w:sz="0" w:space="0" w:color="auto"/>
                                <w:bottom w:val="none" w:sz="0" w:space="0" w:color="auto"/>
                                <w:right w:val="none" w:sz="0" w:space="0" w:color="auto"/>
                              </w:divBdr>
                              <w:divsChild>
                                <w:div w:id="301037968">
                                  <w:marLeft w:val="0"/>
                                  <w:marRight w:val="0"/>
                                  <w:marTop w:val="0"/>
                                  <w:marBottom w:val="0"/>
                                  <w:divBdr>
                                    <w:top w:val="none" w:sz="0" w:space="0" w:color="auto"/>
                                    <w:left w:val="none" w:sz="0" w:space="0" w:color="auto"/>
                                    <w:bottom w:val="none" w:sz="0" w:space="0" w:color="auto"/>
                                    <w:right w:val="none" w:sz="0" w:space="0" w:color="auto"/>
                                  </w:divBdr>
                                  <w:divsChild>
                                    <w:div w:id="728261806">
                                      <w:marLeft w:val="0"/>
                                      <w:marRight w:val="0"/>
                                      <w:marTop w:val="0"/>
                                      <w:marBottom w:val="0"/>
                                      <w:divBdr>
                                        <w:top w:val="none" w:sz="0" w:space="0" w:color="auto"/>
                                        <w:left w:val="none" w:sz="0" w:space="0" w:color="auto"/>
                                        <w:bottom w:val="none" w:sz="0" w:space="0" w:color="auto"/>
                                        <w:right w:val="none" w:sz="0" w:space="0" w:color="auto"/>
                                      </w:divBdr>
                                      <w:divsChild>
                                        <w:div w:id="17781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17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7086511">
                      <w:marLeft w:val="30"/>
                      <w:marRight w:val="30"/>
                      <w:marTop w:val="0"/>
                      <w:marBottom w:val="0"/>
                      <w:divBdr>
                        <w:top w:val="none" w:sz="0" w:space="0" w:color="auto"/>
                        <w:left w:val="none" w:sz="0" w:space="0" w:color="auto"/>
                        <w:bottom w:val="none" w:sz="0" w:space="0" w:color="auto"/>
                        <w:right w:val="none" w:sz="0" w:space="0" w:color="auto"/>
                      </w:divBdr>
                      <w:divsChild>
                        <w:div w:id="349374044">
                          <w:marLeft w:val="135"/>
                          <w:marRight w:val="45"/>
                          <w:marTop w:val="60"/>
                          <w:marBottom w:val="60"/>
                          <w:divBdr>
                            <w:top w:val="none" w:sz="0" w:space="0" w:color="auto"/>
                            <w:left w:val="none" w:sz="0" w:space="0" w:color="auto"/>
                            <w:bottom w:val="none" w:sz="0" w:space="0" w:color="auto"/>
                            <w:right w:val="none" w:sz="0" w:space="0" w:color="auto"/>
                          </w:divBdr>
                          <w:divsChild>
                            <w:div w:id="662196310">
                              <w:marLeft w:val="0"/>
                              <w:marRight w:val="0"/>
                              <w:marTop w:val="0"/>
                              <w:marBottom w:val="0"/>
                              <w:divBdr>
                                <w:top w:val="none" w:sz="0" w:space="0" w:color="auto"/>
                                <w:left w:val="none" w:sz="0" w:space="0" w:color="auto"/>
                                <w:bottom w:val="none" w:sz="0" w:space="0" w:color="auto"/>
                                <w:right w:val="none" w:sz="0" w:space="0" w:color="auto"/>
                              </w:divBdr>
                              <w:divsChild>
                                <w:div w:id="180441058">
                                  <w:marLeft w:val="0"/>
                                  <w:marRight w:val="150"/>
                                  <w:marTop w:val="0"/>
                                  <w:marBottom w:val="0"/>
                                  <w:divBdr>
                                    <w:top w:val="none" w:sz="0" w:space="0" w:color="auto"/>
                                    <w:left w:val="none" w:sz="0" w:space="0" w:color="auto"/>
                                    <w:bottom w:val="none" w:sz="0" w:space="0" w:color="auto"/>
                                    <w:right w:val="none" w:sz="0" w:space="0" w:color="auto"/>
                                  </w:divBdr>
                                </w:div>
                                <w:div w:id="18716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3871">
                          <w:marLeft w:val="0"/>
                          <w:marRight w:val="90"/>
                          <w:marTop w:val="90"/>
                          <w:marBottom w:val="30"/>
                          <w:divBdr>
                            <w:top w:val="none" w:sz="0" w:space="0" w:color="auto"/>
                            <w:left w:val="none" w:sz="0" w:space="0" w:color="auto"/>
                            <w:bottom w:val="none" w:sz="0" w:space="0" w:color="auto"/>
                            <w:right w:val="none" w:sz="0" w:space="0" w:color="auto"/>
                          </w:divBdr>
                          <w:divsChild>
                            <w:div w:id="69038689">
                              <w:marLeft w:val="0"/>
                              <w:marRight w:val="30"/>
                              <w:marTop w:val="0"/>
                              <w:marBottom w:val="0"/>
                              <w:divBdr>
                                <w:top w:val="none" w:sz="0" w:space="0" w:color="auto"/>
                                <w:left w:val="none" w:sz="0" w:space="0" w:color="auto"/>
                                <w:bottom w:val="none" w:sz="0" w:space="0" w:color="auto"/>
                                <w:right w:val="none" w:sz="0" w:space="0" w:color="auto"/>
                              </w:divBdr>
                              <w:divsChild>
                                <w:div w:id="2006784205">
                                  <w:marLeft w:val="0"/>
                                  <w:marRight w:val="0"/>
                                  <w:marTop w:val="0"/>
                                  <w:marBottom w:val="0"/>
                                  <w:divBdr>
                                    <w:top w:val="none" w:sz="0" w:space="0" w:color="auto"/>
                                    <w:left w:val="none" w:sz="0" w:space="0" w:color="auto"/>
                                    <w:bottom w:val="none" w:sz="0" w:space="0" w:color="auto"/>
                                    <w:right w:val="none" w:sz="0" w:space="0" w:color="auto"/>
                                  </w:divBdr>
                                  <w:divsChild>
                                    <w:div w:id="1378092926">
                                      <w:marLeft w:val="0"/>
                                      <w:marRight w:val="0"/>
                                      <w:marTop w:val="0"/>
                                      <w:marBottom w:val="0"/>
                                      <w:divBdr>
                                        <w:top w:val="none" w:sz="0" w:space="0" w:color="auto"/>
                                        <w:left w:val="none" w:sz="0" w:space="0" w:color="auto"/>
                                        <w:bottom w:val="none" w:sz="0" w:space="0" w:color="auto"/>
                                        <w:right w:val="none" w:sz="0" w:space="0" w:color="auto"/>
                                      </w:divBdr>
                                      <w:divsChild>
                                        <w:div w:id="15548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7827">
                              <w:marLeft w:val="45"/>
                              <w:marRight w:val="0"/>
                              <w:marTop w:val="0"/>
                              <w:marBottom w:val="0"/>
                              <w:divBdr>
                                <w:top w:val="none" w:sz="0" w:space="0" w:color="auto"/>
                                <w:left w:val="none" w:sz="0" w:space="0" w:color="auto"/>
                                <w:bottom w:val="none" w:sz="0" w:space="0" w:color="auto"/>
                                <w:right w:val="none" w:sz="0" w:space="0" w:color="auto"/>
                              </w:divBdr>
                            </w:div>
                            <w:div w:id="830213477">
                              <w:marLeft w:val="0"/>
                              <w:marRight w:val="0"/>
                              <w:marTop w:val="0"/>
                              <w:marBottom w:val="0"/>
                              <w:divBdr>
                                <w:top w:val="none" w:sz="0" w:space="0" w:color="auto"/>
                                <w:left w:val="none" w:sz="0" w:space="0" w:color="auto"/>
                                <w:bottom w:val="none" w:sz="0" w:space="0" w:color="auto"/>
                                <w:right w:val="none" w:sz="0" w:space="0" w:color="auto"/>
                              </w:divBdr>
                              <w:divsChild>
                                <w:div w:id="1680498589">
                                  <w:marLeft w:val="0"/>
                                  <w:marRight w:val="0"/>
                                  <w:marTop w:val="0"/>
                                  <w:marBottom w:val="0"/>
                                  <w:divBdr>
                                    <w:top w:val="none" w:sz="0" w:space="0" w:color="auto"/>
                                    <w:left w:val="none" w:sz="0" w:space="0" w:color="auto"/>
                                    <w:bottom w:val="none" w:sz="0" w:space="0" w:color="auto"/>
                                    <w:right w:val="none" w:sz="0" w:space="0" w:color="auto"/>
                                  </w:divBdr>
                                  <w:divsChild>
                                    <w:div w:id="21936222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007125030">
                      <w:marLeft w:val="30"/>
                      <w:marRight w:val="30"/>
                      <w:marTop w:val="0"/>
                      <w:marBottom w:val="0"/>
                      <w:divBdr>
                        <w:top w:val="none" w:sz="0" w:space="0" w:color="auto"/>
                        <w:left w:val="none" w:sz="0" w:space="0" w:color="auto"/>
                        <w:bottom w:val="none" w:sz="0" w:space="0" w:color="auto"/>
                        <w:right w:val="none" w:sz="0" w:space="0" w:color="auto"/>
                      </w:divBdr>
                      <w:divsChild>
                        <w:div w:id="471101074">
                          <w:marLeft w:val="0"/>
                          <w:marRight w:val="90"/>
                          <w:marTop w:val="90"/>
                          <w:marBottom w:val="30"/>
                          <w:divBdr>
                            <w:top w:val="none" w:sz="0" w:space="0" w:color="auto"/>
                            <w:left w:val="none" w:sz="0" w:space="0" w:color="auto"/>
                            <w:bottom w:val="none" w:sz="0" w:space="0" w:color="auto"/>
                            <w:right w:val="none" w:sz="0" w:space="0" w:color="auto"/>
                          </w:divBdr>
                          <w:divsChild>
                            <w:div w:id="1061177673">
                              <w:marLeft w:val="45"/>
                              <w:marRight w:val="0"/>
                              <w:marTop w:val="0"/>
                              <w:marBottom w:val="0"/>
                              <w:divBdr>
                                <w:top w:val="none" w:sz="0" w:space="0" w:color="auto"/>
                                <w:left w:val="none" w:sz="0" w:space="0" w:color="auto"/>
                                <w:bottom w:val="none" w:sz="0" w:space="0" w:color="auto"/>
                                <w:right w:val="none" w:sz="0" w:space="0" w:color="auto"/>
                              </w:divBdr>
                            </w:div>
                            <w:div w:id="1515608642">
                              <w:marLeft w:val="0"/>
                              <w:marRight w:val="30"/>
                              <w:marTop w:val="0"/>
                              <w:marBottom w:val="0"/>
                              <w:divBdr>
                                <w:top w:val="none" w:sz="0" w:space="0" w:color="auto"/>
                                <w:left w:val="none" w:sz="0" w:space="0" w:color="auto"/>
                                <w:bottom w:val="none" w:sz="0" w:space="0" w:color="auto"/>
                                <w:right w:val="none" w:sz="0" w:space="0" w:color="auto"/>
                              </w:divBdr>
                              <w:divsChild>
                                <w:div w:id="144858581">
                                  <w:marLeft w:val="0"/>
                                  <w:marRight w:val="0"/>
                                  <w:marTop w:val="0"/>
                                  <w:marBottom w:val="0"/>
                                  <w:divBdr>
                                    <w:top w:val="none" w:sz="0" w:space="0" w:color="auto"/>
                                    <w:left w:val="none" w:sz="0" w:space="0" w:color="auto"/>
                                    <w:bottom w:val="none" w:sz="0" w:space="0" w:color="auto"/>
                                    <w:right w:val="none" w:sz="0" w:space="0" w:color="auto"/>
                                  </w:divBdr>
                                  <w:divsChild>
                                    <w:div w:id="644117272">
                                      <w:marLeft w:val="0"/>
                                      <w:marRight w:val="0"/>
                                      <w:marTop w:val="0"/>
                                      <w:marBottom w:val="0"/>
                                      <w:divBdr>
                                        <w:top w:val="none" w:sz="0" w:space="0" w:color="auto"/>
                                        <w:left w:val="none" w:sz="0" w:space="0" w:color="auto"/>
                                        <w:bottom w:val="none" w:sz="0" w:space="0" w:color="auto"/>
                                        <w:right w:val="none" w:sz="0" w:space="0" w:color="auto"/>
                                      </w:divBdr>
                                      <w:divsChild>
                                        <w:div w:id="2336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942">
                              <w:marLeft w:val="0"/>
                              <w:marRight w:val="0"/>
                              <w:marTop w:val="0"/>
                              <w:marBottom w:val="0"/>
                              <w:divBdr>
                                <w:top w:val="none" w:sz="0" w:space="0" w:color="auto"/>
                                <w:left w:val="none" w:sz="0" w:space="0" w:color="auto"/>
                                <w:bottom w:val="none" w:sz="0" w:space="0" w:color="auto"/>
                                <w:right w:val="none" w:sz="0" w:space="0" w:color="auto"/>
                              </w:divBdr>
                              <w:divsChild>
                                <w:div w:id="1039664358">
                                  <w:marLeft w:val="0"/>
                                  <w:marRight w:val="0"/>
                                  <w:marTop w:val="0"/>
                                  <w:marBottom w:val="0"/>
                                  <w:divBdr>
                                    <w:top w:val="none" w:sz="0" w:space="0" w:color="auto"/>
                                    <w:left w:val="none" w:sz="0" w:space="0" w:color="auto"/>
                                    <w:bottom w:val="none" w:sz="0" w:space="0" w:color="auto"/>
                                    <w:right w:val="none" w:sz="0" w:space="0" w:color="auto"/>
                                  </w:divBdr>
                                  <w:divsChild>
                                    <w:div w:id="57255128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111702414">
                          <w:marLeft w:val="135"/>
                          <w:marRight w:val="45"/>
                          <w:marTop w:val="60"/>
                          <w:marBottom w:val="60"/>
                          <w:divBdr>
                            <w:top w:val="none" w:sz="0" w:space="0" w:color="auto"/>
                            <w:left w:val="none" w:sz="0" w:space="0" w:color="auto"/>
                            <w:bottom w:val="none" w:sz="0" w:space="0" w:color="auto"/>
                            <w:right w:val="none" w:sz="0" w:space="0" w:color="auto"/>
                          </w:divBdr>
                          <w:divsChild>
                            <w:div w:id="1871063173">
                              <w:marLeft w:val="0"/>
                              <w:marRight w:val="0"/>
                              <w:marTop w:val="0"/>
                              <w:marBottom w:val="0"/>
                              <w:divBdr>
                                <w:top w:val="none" w:sz="0" w:space="0" w:color="auto"/>
                                <w:left w:val="none" w:sz="0" w:space="0" w:color="auto"/>
                                <w:bottom w:val="none" w:sz="0" w:space="0" w:color="auto"/>
                                <w:right w:val="none" w:sz="0" w:space="0" w:color="auto"/>
                              </w:divBdr>
                              <w:divsChild>
                                <w:div w:id="706610286">
                                  <w:marLeft w:val="0"/>
                                  <w:marRight w:val="150"/>
                                  <w:marTop w:val="0"/>
                                  <w:marBottom w:val="0"/>
                                  <w:divBdr>
                                    <w:top w:val="none" w:sz="0" w:space="0" w:color="auto"/>
                                    <w:left w:val="none" w:sz="0" w:space="0" w:color="auto"/>
                                    <w:bottom w:val="none" w:sz="0" w:space="0" w:color="auto"/>
                                    <w:right w:val="none" w:sz="0" w:space="0" w:color="auto"/>
                                  </w:divBdr>
                                </w:div>
                                <w:div w:id="2077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12809">
      <w:bodyDiv w:val="1"/>
      <w:marLeft w:val="0"/>
      <w:marRight w:val="0"/>
      <w:marTop w:val="0"/>
      <w:marBottom w:val="0"/>
      <w:divBdr>
        <w:top w:val="none" w:sz="0" w:space="0" w:color="auto"/>
        <w:left w:val="none" w:sz="0" w:space="0" w:color="auto"/>
        <w:bottom w:val="none" w:sz="0" w:space="0" w:color="auto"/>
        <w:right w:val="none" w:sz="0" w:space="0" w:color="auto"/>
      </w:divBdr>
    </w:div>
    <w:div w:id="72753355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7633304">
      <w:bodyDiv w:val="1"/>
      <w:marLeft w:val="0"/>
      <w:marRight w:val="0"/>
      <w:marTop w:val="0"/>
      <w:marBottom w:val="0"/>
      <w:divBdr>
        <w:top w:val="none" w:sz="0" w:space="0" w:color="auto"/>
        <w:left w:val="none" w:sz="0" w:space="0" w:color="auto"/>
        <w:bottom w:val="none" w:sz="0" w:space="0" w:color="auto"/>
        <w:right w:val="none" w:sz="0" w:space="0" w:color="auto"/>
      </w:divBdr>
      <w:divsChild>
        <w:div w:id="186405294">
          <w:marLeft w:val="0"/>
          <w:marRight w:val="0"/>
          <w:marTop w:val="0"/>
          <w:marBottom w:val="0"/>
          <w:divBdr>
            <w:top w:val="none" w:sz="0" w:space="0" w:color="auto"/>
            <w:left w:val="none" w:sz="0" w:space="0" w:color="auto"/>
            <w:bottom w:val="none" w:sz="0" w:space="0" w:color="auto"/>
            <w:right w:val="none" w:sz="0" w:space="0" w:color="auto"/>
          </w:divBdr>
          <w:divsChild>
            <w:div w:id="46539648">
              <w:marLeft w:val="45"/>
              <w:marRight w:val="0"/>
              <w:marTop w:val="0"/>
              <w:marBottom w:val="15"/>
              <w:divBdr>
                <w:top w:val="none" w:sz="0" w:space="0" w:color="auto"/>
                <w:left w:val="none" w:sz="0" w:space="0" w:color="auto"/>
                <w:bottom w:val="none" w:sz="0" w:space="0" w:color="auto"/>
                <w:right w:val="none" w:sz="0" w:space="0" w:color="auto"/>
              </w:divBdr>
            </w:div>
          </w:divsChild>
        </w:div>
        <w:div w:id="1138642160">
          <w:marLeft w:val="0"/>
          <w:marRight w:val="30"/>
          <w:marTop w:val="0"/>
          <w:marBottom w:val="0"/>
          <w:divBdr>
            <w:top w:val="none" w:sz="0" w:space="0" w:color="auto"/>
            <w:left w:val="none" w:sz="0" w:space="0" w:color="auto"/>
            <w:bottom w:val="none" w:sz="0" w:space="0" w:color="auto"/>
            <w:right w:val="none" w:sz="0" w:space="0" w:color="auto"/>
          </w:divBdr>
          <w:divsChild>
            <w:div w:id="2082287898">
              <w:marLeft w:val="0"/>
              <w:marRight w:val="0"/>
              <w:marTop w:val="0"/>
              <w:marBottom w:val="0"/>
              <w:divBdr>
                <w:top w:val="none" w:sz="0" w:space="0" w:color="auto"/>
                <w:left w:val="none" w:sz="0" w:space="0" w:color="auto"/>
                <w:bottom w:val="none" w:sz="0" w:space="0" w:color="auto"/>
                <w:right w:val="none" w:sz="0" w:space="0" w:color="auto"/>
              </w:divBdr>
              <w:divsChild>
                <w:div w:id="1531988480">
                  <w:marLeft w:val="0"/>
                  <w:marRight w:val="0"/>
                  <w:marTop w:val="0"/>
                  <w:marBottom w:val="0"/>
                  <w:divBdr>
                    <w:top w:val="none" w:sz="0" w:space="0" w:color="auto"/>
                    <w:left w:val="none" w:sz="0" w:space="0" w:color="auto"/>
                    <w:bottom w:val="none" w:sz="0" w:space="0" w:color="auto"/>
                    <w:right w:val="none" w:sz="0" w:space="0" w:color="auto"/>
                  </w:divBdr>
                  <w:divsChild>
                    <w:div w:id="3556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2974">
      <w:bodyDiv w:val="1"/>
      <w:marLeft w:val="0"/>
      <w:marRight w:val="0"/>
      <w:marTop w:val="0"/>
      <w:marBottom w:val="0"/>
      <w:divBdr>
        <w:top w:val="none" w:sz="0" w:space="0" w:color="auto"/>
        <w:left w:val="none" w:sz="0" w:space="0" w:color="auto"/>
        <w:bottom w:val="none" w:sz="0" w:space="0" w:color="auto"/>
        <w:right w:val="none" w:sz="0" w:space="0" w:color="auto"/>
      </w:divBdr>
      <w:divsChild>
        <w:div w:id="1351181614">
          <w:marLeft w:val="0"/>
          <w:marRight w:val="0"/>
          <w:marTop w:val="0"/>
          <w:marBottom w:val="0"/>
          <w:divBdr>
            <w:top w:val="none" w:sz="0" w:space="0" w:color="auto"/>
            <w:left w:val="none" w:sz="0" w:space="0" w:color="auto"/>
            <w:bottom w:val="none" w:sz="0" w:space="0" w:color="auto"/>
            <w:right w:val="none" w:sz="0" w:space="0" w:color="auto"/>
          </w:divBdr>
          <w:divsChild>
            <w:div w:id="19831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9604">
      <w:bodyDiv w:val="1"/>
      <w:marLeft w:val="0"/>
      <w:marRight w:val="0"/>
      <w:marTop w:val="0"/>
      <w:marBottom w:val="0"/>
      <w:divBdr>
        <w:top w:val="none" w:sz="0" w:space="0" w:color="auto"/>
        <w:left w:val="none" w:sz="0" w:space="0" w:color="auto"/>
        <w:bottom w:val="none" w:sz="0" w:space="0" w:color="auto"/>
        <w:right w:val="none" w:sz="0" w:space="0" w:color="auto"/>
      </w:divBdr>
      <w:divsChild>
        <w:div w:id="2069642892">
          <w:marLeft w:val="0"/>
          <w:marRight w:val="0"/>
          <w:marTop w:val="0"/>
          <w:marBottom w:val="0"/>
          <w:divBdr>
            <w:top w:val="none" w:sz="0" w:space="0" w:color="auto"/>
            <w:left w:val="none" w:sz="0" w:space="0" w:color="auto"/>
            <w:bottom w:val="none" w:sz="0" w:space="0" w:color="auto"/>
            <w:right w:val="none" w:sz="0" w:space="0" w:color="auto"/>
          </w:divBdr>
          <w:divsChild>
            <w:div w:id="931821346">
              <w:marLeft w:val="0"/>
              <w:marRight w:val="0"/>
              <w:marTop w:val="0"/>
              <w:marBottom w:val="0"/>
              <w:divBdr>
                <w:top w:val="none" w:sz="0" w:space="0" w:color="auto"/>
                <w:left w:val="none" w:sz="0" w:space="0" w:color="auto"/>
                <w:bottom w:val="none" w:sz="0" w:space="0" w:color="auto"/>
                <w:right w:val="none" w:sz="0" w:space="0" w:color="auto"/>
              </w:divBdr>
              <w:divsChild>
                <w:div w:id="2060549420">
                  <w:marLeft w:val="0"/>
                  <w:marRight w:val="0"/>
                  <w:marTop w:val="0"/>
                  <w:marBottom w:val="0"/>
                  <w:divBdr>
                    <w:top w:val="none" w:sz="0" w:space="0" w:color="auto"/>
                    <w:left w:val="none" w:sz="0" w:space="0" w:color="auto"/>
                    <w:bottom w:val="none" w:sz="0" w:space="0" w:color="auto"/>
                    <w:right w:val="none" w:sz="0" w:space="0" w:color="auto"/>
                  </w:divBdr>
                  <w:divsChild>
                    <w:div w:id="744033364">
                      <w:marLeft w:val="0"/>
                      <w:marRight w:val="0"/>
                      <w:marTop w:val="0"/>
                      <w:marBottom w:val="0"/>
                      <w:divBdr>
                        <w:top w:val="none" w:sz="0" w:space="0" w:color="auto"/>
                        <w:left w:val="none" w:sz="0" w:space="0" w:color="auto"/>
                        <w:bottom w:val="none" w:sz="0" w:space="0" w:color="auto"/>
                        <w:right w:val="none" w:sz="0" w:space="0" w:color="auto"/>
                      </w:divBdr>
                      <w:divsChild>
                        <w:div w:id="550268940">
                          <w:marLeft w:val="0"/>
                          <w:marRight w:val="0"/>
                          <w:marTop w:val="0"/>
                          <w:marBottom w:val="0"/>
                          <w:divBdr>
                            <w:top w:val="none" w:sz="0" w:space="0" w:color="auto"/>
                            <w:left w:val="none" w:sz="0" w:space="0" w:color="auto"/>
                            <w:bottom w:val="none" w:sz="0" w:space="0" w:color="auto"/>
                            <w:right w:val="none" w:sz="0" w:space="0" w:color="auto"/>
                          </w:divBdr>
                          <w:divsChild>
                            <w:div w:id="1381397183">
                              <w:marLeft w:val="0"/>
                              <w:marRight w:val="0"/>
                              <w:marTop w:val="0"/>
                              <w:marBottom w:val="0"/>
                              <w:divBdr>
                                <w:top w:val="none" w:sz="0" w:space="0" w:color="auto"/>
                                <w:left w:val="none" w:sz="0" w:space="0" w:color="auto"/>
                                <w:bottom w:val="none" w:sz="0" w:space="0" w:color="auto"/>
                                <w:right w:val="none" w:sz="0" w:space="0" w:color="auto"/>
                              </w:divBdr>
                              <w:divsChild>
                                <w:div w:id="900867580">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760296660">
      <w:bodyDiv w:val="1"/>
      <w:marLeft w:val="0"/>
      <w:marRight w:val="0"/>
      <w:marTop w:val="0"/>
      <w:marBottom w:val="0"/>
      <w:divBdr>
        <w:top w:val="none" w:sz="0" w:space="0" w:color="auto"/>
        <w:left w:val="none" w:sz="0" w:space="0" w:color="auto"/>
        <w:bottom w:val="none" w:sz="0" w:space="0" w:color="auto"/>
        <w:right w:val="none" w:sz="0" w:space="0" w:color="auto"/>
      </w:divBdr>
      <w:divsChild>
        <w:div w:id="782924461">
          <w:marLeft w:val="0"/>
          <w:marRight w:val="0"/>
          <w:marTop w:val="0"/>
          <w:marBottom w:val="0"/>
          <w:divBdr>
            <w:top w:val="none" w:sz="0" w:space="0" w:color="auto"/>
            <w:left w:val="none" w:sz="0" w:space="0" w:color="auto"/>
            <w:bottom w:val="none" w:sz="0" w:space="0" w:color="auto"/>
            <w:right w:val="none" w:sz="0" w:space="0" w:color="auto"/>
          </w:divBdr>
          <w:divsChild>
            <w:div w:id="1625117853">
              <w:marLeft w:val="210"/>
              <w:marRight w:val="0"/>
              <w:marTop w:val="120"/>
              <w:marBottom w:val="0"/>
              <w:divBdr>
                <w:top w:val="none" w:sz="0" w:space="0" w:color="auto"/>
                <w:left w:val="none" w:sz="0" w:space="0" w:color="auto"/>
                <w:bottom w:val="none" w:sz="0" w:space="0" w:color="auto"/>
                <w:right w:val="none" w:sz="0" w:space="0" w:color="auto"/>
              </w:divBdr>
              <w:divsChild>
                <w:div w:id="1882548954">
                  <w:marLeft w:val="0"/>
                  <w:marRight w:val="0"/>
                  <w:marTop w:val="0"/>
                  <w:marBottom w:val="0"/>
                  <w:divBdr>
                    <w:top w:val="none" w:sz="0" w:space="0" w:color="auto"/>
                    <w:left w:val="none" w:sz="0" w:space="0" w:color="auto"/>
                    <w:bottom w:val="none" w:sz="0" w:space="0" w:color="auto"/>
                    <w:right w:val="none" w:sz="0" w:space="0" w:color="auto"/>
                  </w:divBdr>
                  <w:divsChild>
                    <w:div w:id="38537983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028524591">
          <w:marLeft w:val="0"/>
          <w:marRight w:val="0"/>
          <w:marTop w:val="0"/>
          <w:marBottom w:val="0"/>
          <w:divBdr>
            <w:top w:val="none" w:sz="0" w:space="0" w:color="auto"/>
            <w:left w:val="none" w:sz="0" w:space="0" w:color="auto"/>
            <w:bottom w:val="none" w:sz="0" w:space="0" w:color="auto"/>
            <w:right w:val="none" w:sz="0" w:space="0" w:color="auto"/>
          </w:divBdr>
          <w:divsChild>
            <w:div w:id="1794207056">
              <w:marLeft w:val="0"/>
              <w:marRight w:val="0"/>
              <w:marTop w:val="0"/>
              <w:marBottom w:val="0"/>
              <w:divBdr>
                <w:top w:val="none" w:sz="0" w:space="0" w:color="auto"/>
                <w:left w:val="none" w:sz="0" w:space="0" w:color="auto"/>
                <w:bottom w:val="none" w:sz="0" w:space="0" w:color="auto"/>
                <w:right w:val="none" w:sz="0" w:space="0" w:color="auto"/>
              </w:divBdr>
              <w:divsChild>
                <w:div w:id="747113966">
                  <w:marLeft w:val="0"/>
                  <w:marRight w:val="0"/>
                  <w:marTop w:val="0"/>
                  <w:marBottom w:val="0"/>
                  <w:divBdr>
                    <w:top w:val="none" w:sz="0" w:space="0" w:color="auto"/>
                    <w:left w:val="none" w:sz="0" w:space="0" w:color="auto"/>
                    <w:bottom w:val="none" w:sz="0" w:space="0" w:color="auto"/>
                    <w:right w:val="none" w:sz="0" w:space="0" w:color="auto"/>
                  </w:divBdr>
                  <w:divsChild>
                    <w:div w:id="591863274">
                      <w:marLeft w:val="30"/>
                      <w:marRight w:val="30"/>
                      <w:marTop w:val="0"/>
                      <w:marBottom w:val="0"/>
                      <w:divBdr>
                        <w:top w:val="none" w:sz="0" w:space="0" w:color="auto"/>
                        <w:left w:val="none" w:sz="0" w:space="0" w:color="auto"/>
                        <w:bottom w:val="none" w:sz="0" w:space="0" w:color="auto"/>
                        <w:right w:val="none" w:sz="0" w:space="0" w:color="auto"/>
                      </w:divBdr>
                      <w:divsChild>
                        <w:div w:id="364059491">
                          <w:marLeft w:val="0"/>
                          <w:marRight w:val="90"/>
                          <w:marTop w:val="90"/>
                          <w:marBottom w:val="30"/>
                          <w:divBdr>
                            <w:top w:val="none" w:sz="0" w:space="0" w:color="auto"/>
                            <w:left w:val="none" w:sz="0" w:space="0" w:color="auto"/>
                            <w:bottom w:val="none" w:sz="0" w:space="0" w:color="auto"/>
                            <w:right w:val="none" w:sz="0" w:space="0" w:color="auto"/>
                          </w:divBdr>
                          <w:divsChild>
                            <w:div w:id="367684085">
                              <w:marLeft w:val="45"/>
                              <w:marRight w:val="0"/>
                              <w:marTop w:val="0"/>
                              <w:marBottom w:val="0"/>
                              <w:divBdr>
                                <w:top w:val="none" w:sz="0" w:space="0" w:color="auto"/>
                                <w:left w:val="none" w:sz="0" w:space="0" w:color="auto"/>
                                <w:bottom w:val="none" w:sz="0" w:space="0" w:color="auto"/>
                                <w:right w:val="none" w:sz="0" w:space="0" w:color="auto"/>
                              </w:divBdr>
                            </w:div>
                            <w:div w:id="1320426365">
                              <w:marLeft w:val="0"/>
                              <w:marRight w:val="0"/>
                              <w:marTop w:val="0"/>
                              <w:marBottom w:val="0"/>
                              <w:divBdr>
                                <w:top w:val="none" w:sz="0" w:space="0" w:color="auto"/>
                                <w:left w:val="none" w:sz="0" w:space="0" w:color="auto"/>
                                <w:bottom w:val="none" w:sz="0" w:space="0" w:color="auto"/>
                                <w:right w:val="none" w:sz="0" w:space="0" w:color="auto"/>
                              </w:divBdr>
                              <w:divsChild>
                                <w:div w:id="1173305316">
                                  <w:marLeft w:val="45"/>
                                  <w:marRight w:val="0"/>
                                  <w:marTop w:val="0"/>
                                  <w:marBottom w:val="15"/>
                                  <w:divBdr>
                                    <w:top w:val="none" w:sz="0" w:space="0" w:color="auto"/>
                                    <w:left w:val="none" w:sz="0" w:space="0" w:color="auto"/>
                                    <w:bottom w:val="none" w:sz="0" w:space="0" w:color="auto"/>
                                    <w:right w:val="none" w:sz="0" w:space="0" w:color="auto"/>
                                  </w:divBdr>
                                </w:div>
                              </w:divsChild>
                            </w:div>
                            <w:div w:id="1663662719">
                              <w:marLeft w:val="0"/>
                              <w:marRight w:val="30"/>
                              <w:marTop w:val="0"/>
                              <w:marBottom w:val="0"/>
                              <w:divBdr>
                                <w:top w:val="none" w:sz="0" w:space="0" w:color="auto"/>
                                <w:left w:val="none" w:sz="0" w:space="0" w:color="auto"/>
                                <w:bottom w:val="none" w:sz="0" w:space="0" w:color="auto"/>
                                <w:right w:val="none" w:sz="0" w:space="0" w:color="auto"/>
                              </w:divBdr>
                              <w:divsChild>
                                <w:div w:id="1305433777">
                                  <w:marLeft w:val="0"/>
                                  <w:marRight w:val="0"/>
                                  <w:marTop w:val="0"/>
                                  <w:marBottom w:val="0"/>
                                  <w:divBdr>
                                    <w:top w:val="none" w:sz="0" w:space="0" w:color="auto"/>
                                    <w:left w:val="none" w:sz="0" w:space="0" w:color="auto"/>
                                    <w:bottom w:val="none" w:sz="0" w:space="0" w:color="auto"/>
                                    <w:right w:val="none" w:sz="0" w:space="0" w:color="auto"/>
                                  </w:divBdr>
                                  <w:divsChild>
                                    <w:div w:id="1050806234">
                                      <w:marLeft w:val="0"/>
                                      <w:marRight w:val="0"/>
                                      <w:marTop w:val="0"/>
                                      <w:marBottom w:val="0"/>
                                      <w:divBdr>
                                        <w:top w:val="none" w:sz="0" w:space="0" w:color="auto"/>
                                        <w:left w:val="none" w:sz="0" w:space="0" w:color="auto"/>
                                        <w:bottom w:val="none" w:sz="0" w:space="0" w:color="auto"/>
                                        <w:right w:val="none" w:sz="0" w:space="0" w:color="auto"/>
                                      </w:divBdr>
                                      <w:divsChild>
                                        <w:div w:id="5376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1969">
                          <w:marLeft w:val="135"/>
                          <w:marRight w:val="45"/>
                          <w:marTop w:val="60"/>
                          <w:marBottom w:val="60"/>
                          <w:divBdr>
                            <w:top w:val="none" w:sz="0" w:space="0" w:color="auto"/>
                            <w:left w:val="none" w:sz="0" w:space="0" w:color="auto"/>
                            <w:bottom w:val="none" w:sz="0" w:space="0" w:color="auto"/>
                            <w:right w:val="none" w:sz="0" w:space="0" w:color="auto"/>
                          </w:divBdr>
                          <w:divsChild>
                            <w:div w:id="1795098610">
                              <w:marLeft w:val="0"/>
                              <w:marRight w:val="0"/>
                              <w:marTop w:val="0"/>
                              <w:marBottom w:val="0"/>
                              <w:divBdr>
                                <w:top w:val="none" w:sz="0" w:space="0" w:color="auto"/>
                                <w:left w:val="none" w:sz="0" w:space="0" w:color="auto"/>
                                <w:bottom w:val="none" w:sz="0" w:space="0" w:color="auto"/>
                                <w:right w:val="none" w:sz="0" w:space="0" w:color="auto"/>
                              </w:divBdr>
                              <w:divsChild>
                                <w:div w:id="583346518">
                                  <w:marLeft w:val="0"/>
                                  <w:marRight w:val="150"/>
                                  <w:marTop w:val="0"/>
                                  <w:marBottom w:val="0"/>
                                  <w:divBdr>
                                    <w:top w:val="none" w:sz="0" w:space="0" w:color="auto"/>
                                    <w:left w:val="none" w:sz="0" w:space="0" w:color="auto"/>
                                    <w:bottom w:val="none" w:sz="0" w:space="0" w:color="auto"/>
                                    <w:right w:val="none" w:sz="0" w:space="0" w:color="auto"/>
                                  </w:divBdr>
                                </w:div>
                                <w:div w:id="10751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6054">
                      <w:marLeft w:val="30"/>
                      <w:marRight w:val="30"/>
                      <w:marTop w:val="0"/>
                      <w:marBottom w:val="0"/>
                      <w:divBdr>
                        <w:top w:val="none" w:sz="0" w:space="0" w:color="auto"/>
                        <w:left w:val="none" w:sz="0" w:space="0" w:color="auto"/>
                        <w:bottom w:val="none" w:sz="0" w:space="0" w:color="auto"/>
                        <w:right w:val="none" w:sz="0" w:space="0" w:color="auto"/>
                      </w:divBdr>
                      <w:divsChild>
                        <w:div w:id="190147008">
                          <w:marLeft w:val="135"/>
                          <w:marRight w:val="45"/>
                          <w:marTop w:val="60"/>
                          <w:marBottom w:val="60"/>
                          <w:divBdr>
                            <w:top w:val="none" w:sz="0" w:space="0" w:color="auto"/>
                            <w:left w:val="none" w:sz="0" w:space="0" w:color="auto"/>
                            <w:bottom w:val="none" w:sz="0" w:space="0" w:color="auto"/>
                            <w:right w:val="none" w:sz="0" w:space="0" w:color="auto"/>
                          </w:divBdr>
                          <w:divsChild>
                            <w:div w:id="1334913731">
                              <w:marLeft w:val="0"/>
                              <w:marRight w:val="0"/>
                              <w:marTop w:val="0"/>
                              <w:marBottom w:val="0"/>
                              <w:divBdr>
                                <w:top w:val="none" w:sz="0" w:space="0" w:color="auto"/>
                                <w:left w:val="none" w:sz="0" w:space="0" w:color="auto"/>
                                <w:bottom w:val="none" w:sz="0" w:space="0" w:color="auto"/>
                                <w:right w:val="none" w:sz="0" w:space="0" w:color="auto"/>
                              </w:divBdr>
                              <w:divsChild>
                                <w:div w:id="460658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41182224">
                          <w:marLeft w:val="0"/>
                          <w:marRight w:val="90"/>
                          <w:marTop w:val="90"/>
                          <w:marBottom w:val="30"/>
                          <w:divBdr>
                            <w:top w:val="none" w:sz="0" w:space="0" w:color="auto"/>
                            <w:left w:val="none" w:sz="0" w:space="0" w:color="auto"/>
                            <w:bottom w:val="none" w:sz="0" w:space="0" w:color="auto"/>
                            <w:right w:val="none" w:sz="0" w:space="0" w:color="auto"/>
                          </w:divBdr>
                          <w:divsChild>
                            <w:div w:id="280186191">
                              <w:marLeft w:val="45"/>
                              <w:marRight w:val="0"/>
                              <w:marTop w:val="0"/>
                              <w:marBottom w:val="0"/>
                              <w:divBdr>
                                <w:top w:val="none" w:sz="0" w:space="0" w:color="auto"/>
                                <w:left w:val="none" w:sz="0" w:space="0" w:color="auto"/>
                                <w:bottom w:val="none" w:sz="0" w:space="0" w:color="auto"/>
                                <w:right w:val="none" w:sz="0" w:space="0" w:color="auto"/>
                              </w:divBdr>
                            </w:div>
                            <w:div w:id="1070007894">
                              <w:marLeft w:val="0"/>
                              <w:marRight w:val="30"/>
                              <w:marTop w:val="0"/>
                              <w:marBottom w:val="0"/>
                              <w:divBdr>
                                <w:top w:val="none" w:sz="0" w:space="0" w:color="auto"/>
                                <w:left w:val="none" w:sz="0" w:space="0" w:color="auto"/>
                                <w:bottom w:val="none" w:sz="0" w:space="0" w:color="auto"/>
                                <w:right w:val="none" w:sz="0" w:space="0" w:color="auto"/>
                              </w:divBdr>
                              <w:divsChild>
                                <w:div w:id="1542203820">
                                  <w:marLeft w:val="0"/>
                                  <w:marRight w:val="0"/>
                                  <w:marTop w:val="0"/>
                                  <w:marBottom w:val="0"/>
                                  <w:divBdr>
                                    <w:top w:val="none" w:sz="0" w:space="0" w:color="auto"/>
                                    <w:left w:val="none" w:sz="0" w:space="0" w:color="auto"/>
                                    <w:bottom w:val="none" w:sz="0" w:space="0" w:color="auto"/>
                                    <w:right w:val="none" w:sz="0" w:space="0" w:color="auto"/>
                                  </w:divBdr>
                                  <w:divsChild>
                                    <w:div w:id="43414752">
                                      <w:marLeft w:val="0"/>
                                      <w:marRight w:val="0"/>
                                      <w:marTop w:val="0"/>
                                      <w:marBottom w:val="0"/>
                                      <w:divBdr>
                                        <w:top w:val="none" w:sz="0" w:space="0" w:color="auto"/>
                                        <w:left w:val="none" w:sz="0" w:space="0" w:color="auto"/>
                                        <w:bottom w:val="none" w:sz="0" w:space="0" w:color="auto"/>
                                        <w:right w:val="none" w:sz="0" w:space="0" w:color="auto"/>
                                      </w:divBdr>
                                      <w:divsChild>
                                        <w:div w:id="1399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1717">
                              <w:marLeft w:val="0"/>
                              <w:marRight w:val="0"/>
                              <w:marTop w:val="0"/>
                              <w:marBottom w:val="0"/>
                              <w:divBdr>
                                <w:top w:val="none" w:sz="0" w:space="0" w:color="auto"/>
                                <w:left w:val="none" w:sz="0" w:space="0" w:color="auto"/>
                                <w:bottom w:val="none" w:sz="0" w:space="0" w:color="auto"/>
                                <w:right w:val="none" w:sz="0" w:space="0" w:color="auto"/>
                              </w:divBdr>
                              <w:divsChild>
                                <w:div w:id="58407708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402413483">
                      <w:marLeft w:val="30"/>
                      <w:marRight w:val="30"/>
                      <w:marTop w:val="0"/>
                      <w:marBottom w:val="0"/>
                      <w:divBdr>
                        <w:top w:val="none" w:sz="0" w:space="0" w:color="auto"/>
                        <w:left w:val="none" w:sz="0" w:space="0" w:color="auto"/>
                        <w:bottom w:val="none" w:sz="0" w:space="0" w:color="auto"/>
                        <w:right w:val="none" w:sz="0" w:space="0" w:color="auto"/>
                      </w:divBdr>
                      <w:divsChild>
                        <w:div w:id="265770945">
                          <w:marLeft w:val="135"/>
                          <w:marRight w:val="45"/>
                          <w:marTop w:val="60"/>
                          <w:marBottom w:val="60"/>
                          <w:divBdr>
                            <w:top w:val="none" w:sz="0" w:space="0" w:color="auto"/>
                            <w:left w:val="none" w:sz="0" w:space="0" w:color="auto"/>
                            <w:bottom w:val="none" w:sz="0" w:space="0" w:color="auto"/>
                            <w:right w:val="none" w:sz="0" w:space="0" w:color="auto"/>
                          </w:divBdr>
                          <w:divsChild>
                            <w:div w:id="813373549">
                              <w:marLeft w:val="0"/>
                              <w:marRight w:val="0"/>
                              <w:marTop w:val="0"/>
                              <w:marBottom w:val="0"/>
                              <w:divBdr>
                                <w:top w:val="none" w:sz="0" w:space="0" w:color="auto"/>
                                <w:left w:val="none" w:sz="0" w:space="0" w:color="auto"/>
                                <w:bottom w:val="none" w:sz="0" w:space="0" w:color="auto"/>
                                <w:right w:val="none" w:sz="0" w:space="0" w:color="auto"/>
                              </w:divBdr>
                              <w:divsChild>
                                <w:div w:id="1307128071">
                                  <w:marLeft w:val="0"/>
                                  <w:marRight w:val="0"/>
                                  <w:marTop w:val="0"/>
                                  <w:marBottom w:val="0"/>
                                  <w:divBdr>
                                    <w:top w:val="none" w:sz="0" w:space="0" w:color="auto"/>
                                    <w:left w:val="none" w:sz="0" w:space="0" w:color="auto"/>
                                    <w:bottom w:val="none" w:sz="0" w:space="0" w:color="auto"/>
                                    <w:right w:val="none" w:sz="0" w:space="0" w:color="auto"/>
                                  </w:divBdr>
                                </w:div>
                                <w:div w:id="178129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90131052">
                          <w:marLeft w:val="0"/>
                          <w:marRight w:val="90"/>
                          <w:marTop w:val="90"/>
                          <w:marBottom w:val="30"/>
                          <w:divBdr>
                            <w:top w:val="none" w:sz="0" w:space="0" w:color="auto"/>
                            <w:left w:val="none" w:sz="0" w:space="0" w:color="auto"/>
                            <w:bottom w:val="none" w:sz="0" w:space="0" w:color="auto"/>
                            <w:right w:val="none" w:sz="0" w:space="0" w:color="auto"/>
                          </w:divBdr>
                          <w:divsChild>
                            <w:div w:id="492645357">
                              <w:marLeft w:val="0"/>
                              <w:marRight w:val="0"/>
                              <w:marTop w:val="0"/>
                              <w:marBottom w:val="0"/>
                              <w:divBdr>
                                <w:top w:val="none" w:sz="0" w:space="0" w:color="auto"/>
                                <w:left w:val="none" w:sz="0" w:space="0" w:color="auto"/>
                                <w:bottom w:val="none" w:sz="0" w:space="0" w:color="auto"/>
                                <w:right w:val="none" w:sz="0" w:space="0" w:color="auto"/>
                              </w:divBdr>
                              <w:divsChild>
                                <w:div w:id="970474531">
                                  <w:marLeft w:val="45"/>
                                  <w:marRight w:val="0"/>
                                  <w:marTop w:val="0"/>
                                  <w:marBottom w:val="15"/>
                                  <w:divBdr>
                                    <w:top w:val="none" w:sz="0" w:space="0" w:color="auto"/>
                                    <w:left w:val="none" w:sz="0" w:space="0" w:color="auto"/>
                                    <w:bottom w:val="none" w:sz="0" w:space="0" w:color="auto"/>
                                    <w:right w:val="none" w:sz="0" w:space="0" w:color="auto"/>
                                  </w:divBdr>
                                </w:div>
                              </w:divsChild>
                            </w:div>
                            <w:div w:id="734161665">
                              <w:marLeft w:val="45"/>
                              <w:marRight w:val="0"/>
                              <w:marTop w:val="0"/>
                              <w:marBottom w:val="0"/>
                              <w:divBdr>
                                <w:top w:val="none" w:sz="0" w:space="0" w:color="auto"/>
                                <w:left w:val="none" w:sz="0" w:space="0" w:color="auto"/>
                                <w:bottom w:val="none" w:sz="0" w:space="0" w:color="auto"/>
                                <w:right w:val="none" w:sz="0" w:space="0" w:color="auto"/>
                              </w:divBdr>
                            </w:div>
                            <w:div w:id="1733311370">
                              <w:marLeft w:val="0"/>
                              <w:marRight w:val="30"/>
                              <w:marTop w:val="0"/>
                              <w:marBottom w:val="0"/>
                              <w:divBdr>
                                <w:top w:val="none" w:sz="0" w:space="0" w:color="auto"/>
                                <w:left w:val="none" w:sz="0" w:space="0" w:color="auto"/>
                                <w:bottom w:val="none" w:sz="0" w:space="0" w:color="auto"/>
                                <w:right w:val="none" w:sz="0" w:space="0" w:color="auto"/>
                              </w:divBdr>
                              <w:divsChild>
                                <w:div w:id="1952130483">
                                  <w:marLeft w:val="0"/>
                                  <w:marRight w:val="0"/>
                                  <w:marTop w:val="0"/>
                                  <w:marBottom w:val="0"/>
                                  <w:divBdr>
                                    <w:top w:val="none" w:sz="0" w:space="0" w:color="auto"/>
                                    <w:left w:val="none" w:sz="0" w:space="0" w:color="auto"/>
                                    <w:bottom w:val="none" w:sz="0" w:space="0" w:color="auto"/>
                                    <w:right w:val="none" w:sz="0" w:space="0" w:color="auto"/>
                                  </w:divBdr>
                                  <w:divsChild>
                                    <w:div w:id="1851482298">
                                      <w:marLeft w:val="0"/>
                                      <w:marRight w:val="0"/>
                                      <w:marTop w:val="0"/>
                                      <w:marBottom w:val="0"/>
                                      <w:divBdr>
                                        <w:top w:val="none" w:sz="0" w:space="0" w:color="auto"/>
                                        <w:left w:val="none" w:sz="0" w:space="0" w:color="auto"/>
                                        <w:bottom w:val="none" w:sz="0" w:space="0" w:color="auto"/>
                                        <w:right w:val="none" w:sz="0" w:space="0" w:color="auto"/>
                                      </w:divBdr>
                                      <w:divsChild>
                                        <w:div w:id="11261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8173">
                      <w:marLeft w:val="30"/>
                      <w:marRight w:val="30"/>
                      <w:marTop w:val="0"/>
                      <w:marBottom w:val="0"/>
                      <w:divBdr>
                        <w:top w:val="none" w:sz="0" w:space="0" w:color="auto"/>
                        <w:left w:val="none" w:sz="0" w:space="0" w:color="auto"/>
                        <w:bottom w:val="none" w:sz="0" w:space="0" w:color="auto"/>
                        <w:right w:val="none" w:sz="0" w:space="0" w:color="auto"/>
                      </w:divBdr>
                      <w:divsChild>
                        <w:div w:id="728307997">
                          <w:marLeft w:val="180"/>
                          <w:marRight w:val="210"/>
                          <w:marTop w:val="0"/>
                          <w:marBottom w:val="30"/>
                          <w:divBdr>
                            <w:top w:val="none" w:sz="0" w:space="0" w:color="auto"/>
                            <w:left w:val="none" w:sz="0" w:space="0" w:color="auto"/>
                            <w:bottom w:val="none" w:sz="0" w:space="0" w:color="auto"/>
                            <w:right w:val="none" w:sz="0" w:space="0" w:color="auto"/>
                          </w:divBdr>
                          <w:divsChild>
                            <w:div w:id="176046539">
                              <w:marLeft w:val="45"/>
                              <w:marRight w:val="0"/>
                              <w:marTop w:val="0"/>
                              <w:marBottom w:val="0"/>
                              <w:divBdr>
                                <w:top w:val="none" w:sz="0" w:space="0" w:color="auto"/>
                                <w:left w:val="none" w:sz="0" w:space="0" w:color="auto"/>
                                <w:bottom w:val="none" w:sz="0" w:space="0" w:color="auto"/>
                                <w:right w:val="none" w:sz="0" w:space="0" w:color="auto"/>
                              </w:divBdr>
                            </w:div>
                            <w:div w:id="1064178292">
                              <w:marLeft w:val="0"/>
                              <w:marRight w:val="30"/>
                              <w:marTop w:val="0"/>
                              <w:marBottom w:val="0"/>
                              <w:divBdr>
                                <w:top w:val="none" w:sz="0" w:space="0" w:color="auto"/>
                                <w:left w:val="none" w:sz="0" w:space="0" w:color="auto"/>
                                <w:bottom w:val="none" w:sz="0" w:space="0" w:color="auto"/>
                                <w:right w:val="none" w:sz="0" w:space="0" w:color="auto"/>
                              </w:divBdr>
                              <w:divsChild>
                                <w:div w:id="1593470048">
                                  <w:marLeft w:val="0"/>
                                  <w:marRight w:val="0"/>
                                  <w:marTop w:val="0"/>
                                  <w:marBottom w:val="0"/>
                                  <w:divBdr>
                                    <w:top w:val="none" w:sz="0" w:space="0" w:color="auto"/>
                                    <w:left w:val="none" w:sz="0" w:space="0" w:color="auto"/>
                                    <w:bottom w:val="none" w:sz="0" w:space="0" w:color="auto"/>
                                    <w:right w:val="none" w:sz="0" w:space="0" w:color="auto"/>
                                  </w:divBdr>
                                  <w:divsChild>
                                    <w:div w:id="1579561846">
                                      <w:marLeft w:val="0"/>
                                      <w:marRight w:val="0"/>
                                      <w:marTop w:val="0"/>
                                      <w:marBottom w:val="0"/>
                                      <w:divBdr>
                                        <w:top w:val="none" w:sz="0" w:space="0" w:color="auto"/>
                                        <w:left w:val="none" w:sz="0" w:space="0" w:color="auto"/>
                                        <w:bottom w:val="none" w:sz="0" w:space="0" w:color="auto"/>
                                        <w:right w:val="none" w:sz="0" w:space="0" w:color="auto"/>
                                      </w:divBdr>
                                      <w:divsChild>
                                        <w:div w:id="20220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170909">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sChild>
        <w:div w:id="509954518">
          <w:marLeft w:val="446"/>
          <w:marRight w:val="0"/>
          <w:marTop w:val="0"/>
          <w:marBottom w:val="0"/>
          <w:divBdr>
            <w:top w:val="none" w:sz="0" w:space="0" w:color="auto"/>
            <w:left w:val="none" w:sz="0" w:space="0" w:color="auto"/>
            <w:bottom w:val="none" w:sz="0" w:space="0" w:color="auto"/>
            <w:right w:val="none" w:sz="0" w:space="0" w:color="auto"/>
          </w:divBdr>
        </w:div>
        <w:div w:id="614169952">
          <w:marLeft w:val="446"/>
          <w:marRight w:val="0"/>
          <w:marTop w:val="0"/>
          <w:marBottom w:val="0"/>
          <w:divBdr>
            <w:top w:val="none" w:sz="0" w:space="0" w:color="auto"/>
            <w:left w:val="none" w:sz="0" w:space="0" w:color="auto"/>
            <w:bottom w:val="none" w:sz="0" w:space="0" w:color="auto"/>
            <w:right w:val="none" w:sz="0" w:space="0" w:color="auto"/>
          </w:divBdr>
        </w:div>
        <w:div w:id="1026057838">
          <w:marLeft w:val="446"/>
          <w:marRight w:val="0"/>
          <w:marTop w:val="0"/>
          <w:marBottom w:val="0"/>
          <w:divBdr>
            <w:top w:val="none" w:sz="0" w:space="0" w:color="auto"/>
            <w:left w:val="none" w:sz="0" w:space="0" w:color="auto"/>
            <w:bottom w:val="none" w:sz="0" w:space="0" w:color="auto"/>
            <w:right w:val="none" w:sz="0" w:space="0" w:color="auto"/>
          </w:divBdr>
        </w:div>
        <w:div w:id="1136068371">
          <w:marLeft w:val="446"/>
          <w:marRight w:val="0"/>
          <w:marTop w:val="0"/>
          <w:marBottom w:val="0"/>
          <w:divBdr>
            <w:top w:val="none" w:sz="0" w:space="0" w:color="auto"/>
            <w:left w:val="none" w:sz="0" w:space="0" w:color="auto"/>
            <w:bottom w:val="none" w:sz="0" w:space="0" w:color="auto"/>
            <w:right w:val="none" w:sz="0" w:space="0" w:color="auto"/>
          </w:divBdr>
        </w:div>
        <w:div w:id="1182014925">
          <w:marLeft w:val="446"/>
          <w:marRight w:val="0"/>
          <w:marTop w:val="0"/>
          <w:marBottom w:val="0"/>
          <w:divBdr>
            <w:top w:val="none" w:sz="0" w:space="0" w:color="auto"/>
            <w:left w:val="none" w:sz="0" w:space="0" w:color="auto"/>
            <w:bottom w:val="none" w:sz="0" w:space="0" w:color="auto"/>
            <w:right w:val="none" w:sz="0" w:space="0" w:color="auto"/>
          </w:divBdr>
        </w:div>
        <w:div w:id="1190415880">
          <w:marLeft w:val="446"/>
          <w:marRight w:val="0"/>
          <w:marTop w:val="0"/>
          <w:marBottom w:val="0"/>
          <w:divBdr>
            <w:top w:val="none" w:sz="0" w:space="0" w:color="auto"/>
            <w:left w:val="none" w:sz="0" w:space="0" w:color="auto"/>
            <w:bottom w:val="none" w:sz="0" w:space="0" w:color="auto"/>
            <w:right w:val="none" w:sz="0" w:space="0" w:color="auto"/>
          </w:divBdr>
        </w:div>
        <w:div w:id="1192649968">
          <w:marLeft w:val="446"/>
          <w:marRight w:val="0"/>
          <w:marTop w:val="0"/>
          <w:marBottom w:val="0"/>
          <w:divBdr>
            <w:top w:val="none" w:sz="0" w:space="0" w:color="auto"/>
            <w:left w:val="none" w:sz="0" w:space="0" w:color="auto"/>
            <w:bottom w:val="none" w:sz="0" w:space="0" w:color="auto"/>
            <w:right w:val="none" w:sz="0" w:space="0" w:color="auto"/>
          </w:divBdr>
        </w:div>
        <w:div w:id="1536884985">
          <w:marLeft w:val="446"/>
          <w:marRight w:val="0"/>
          <w:marTop w:val="0"/>
          <w:marBottom w:val="0"/>
          <w:divBdr>
            <w:top w:val="none" w:sz="0" w:space="0" w:color="auto"/>
            <w:left w:val="none" w:sz="0" w:space="0" w:color="auto"/>
            <w:bottom w:val="none" w:sz="0" w:space="0" w:color="auto"/>
            <w:right w:val="none" w:sz="0" w:space="0" w:color="auto"/>
          </w:divBdr>
        </w:div>
      </w:divsChild>
    </w:div>
    <w:div w:id="776947218">
      <w:bodyDiv w:val="1"/>
      <w:marLeft w:val="0"/>
      <w:marRight w:val="0"/>
      <w:marTop w:val="0"/>
      <w:marBottom w:val="0"/>
      <w:divBdr>
        <w:top w:val="none" w:sz="0" w:space="0" w:color="auto"/>
        <w:left w:val="none" w:sz="0" w:space="0" w:color="auto"/>
        <w:bottom w:val="none" w:sz="0" w:space="0" w:color="auto"/>
        <w:right w:val="none" w:sz="0" w:space="0" w:color="auto"/>
      </w:divBdr>
      <w:divsChild>
        <w:div w:id="1178077279">
          <w:marLeft w:val="0"/>
          <w:marRight w:val="0"/>
          <w:marTop w:val="0"/>
          <w:marBottom w:val="0"/>
          <w:divBdr>
            <w:top w:val="none" w:sz="0" w:space="0" w:color="auto"/>
            <w:left w:val="none" w:sz="0" w:space="0" w:color="auto"/>
            <w:bottom w:val="none" w:sz="0" w:space="0" w:color="auto"/>
            <w:right w:val="none" w:sz="0" w:space="0" w:color="auto"/>
          </w:divBdr>
          <w:divsChild>
            <w:div w:id="1879513098">
              <w:marLeft w:val="0"/>
              <w:marRight w:val="0"/>
              <w:marTop w:val="0"/>
              <w:marBottom w:val="0"/>
              <w:divBdr>
                <w:top w:val="none" w:sz="0" w:space="0" w:color="auto"/>
                <w:left w:val="none" w:sz="0" w:space="0" w:color="auto"/>
                <w:bottom w:val="none" w:sz="0" w:space="0" w:color="auto"/>
                <w:right w:val="none" w:sz="0" w:space="0" w:color="auto"/>
              </w:divBdr>
              <w:divsChild>
                <w:div w:id="2043507439">
                  <w:marLeft w:val="0"/>
                  <w:marRight w:val="0"/>
                  <w:marTop w:val="0"/>
                  <w:marBottom w:val="0"/>
                  <w:divBdr>
                    <w:top w:val="none" w:sz="0" w:space="0" w:color="auto"/>
                    <w:left w:val="none" w:sz="0" w:space="0" w:color="auto"/>
                    <w:bottom w:val="none" w:sz="0" w:space="0" w:color="auto"/>
                    <w:right w:val="none" w:sz="0" w:space="0" w:color="auto"/>
                  </w:divBdr>
                  <w:divsChild>
                    <w:div w:id="1775786077">
                      <w:marLeft w:val="30"/>
                      <w:marRight w:val="30"/>
                      <w:marTop w:val="0"/>
                      <w:marBottom w:val="0"/>
                      <w:divBdr>
                        <w:top w:val="none" w:sz="0" w:space="0" w:color="auto"/>
                        <w:left w:val="none" w:sz="0" w:space="0" w:color="auto"/>
                        <w:bottom w:val="none" w:sz="0" w:space="0" w:color="auto"/>
                        <w:right w:val="none" w:sz="0" w:space="0" w:color="auto"/>
                      </w:divBdr>
                      <w:divsChild>
                        <w:div w:id="825362160">
                          <w:marLeft w:val="135"/>
                          <w:marRight w:val="45"/>
                          <w:marTop w:val="60"/>
                          <w:marBottom w:val="60"/>
                          <w:divBdr>
                            <w:top w:val="none" w:sz="0" w:space="0" w:color="auto"/>
                            <w:left w:val="none" w:sz="0" w:space="0" w:color="auto"/>
                            <w:bottom w:val="none" w:sz="0" w:space="0" w:color="auto"/>
                            <w:right w:val="none" w:sz="0" w:space="0" w:color="auto"/>
                          </w:divBdr>
                          <w:divsChild>
                            <w:div w:id="1002011221">
                              <w:marLeft w:val="0"/>
                              <w:marRight w:val="0"/>
                              <w:marTop w:val="0"/>
                              <w:marBottom w:val="0"/>
                              <w:divBdr>
                                <w:top w:val="none" w:sz="0" w:space="0" w:color="auto"/>
                                <w:left w:val="none" w:sz="0" w:space="0" w:color="auto"/>
                                <w:bottom w:val="none" w:sz="0" w:space="0" w:color="auto"/>
                                <w:right w:val="none" w:sz="0" w:space="0" w:color="auto"/>
                              </w:divBdr>
                              <w:divsChild>
                                <w:div w:id="12323529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42835402">
                          <w:marLeft w:val="0"/>
                          <w:marRight w:val="90"/>
                          <w:marTop w:val="90"/>
                          <w:marBottom w:val="30"/>
                          <w:divBdr>
                            <w:top w:val="none" w:sz="0" w:space="0" w:color="auto"/>
                            <w:left w:val="none" w:sz="0" w:space="0" w:color="auto"/>
                            <w:bottom w:val="none" w:sz="0" w:space="0" w:color="auto"/>
                            <w:right w:val="none" w:sz="0" w:space="0" w:color="auto"/>
                          </w:divBdr>
                          <w:divsChild>
                            <w:div w:id="175969354">
                              <w:marLeft w:val="0"/>
                              <w:marRight w:val="30"/>
                              <w:marTop w:val="0"/>
                              <w:marBottom w:val="0"/>
                              <w:divBdr>
                                <w:top w:val="none" w:sz="0" w:space="0" w:color="auto"/>
                                <w:left w:val="none" w:sz="0" w:space="0" w:color="auto"/>
                                <w:bottom w:val="none" w:sz="0" w:space="0" w:color="auto"/>
                                <w:right w:val="none" w:sz="0" w:space="0" w:color="auto"/>
                              </w:divBdr>
                              <w:divsChild>
                                <w:div w:id="1941254208">
                                  <w:marLeft w:val="0"/>
                                  <w:marRight w:val="0"/>
                                  <w:marTop w:val="0"/>
                                  <w:marBottom w:val="0"/>
                                  <w:divBdr>
                                    <w:top w:val="none" w:sz="0" w:space="0" w:color="auto"/>
                                    <w:left w:val="none" w:sz="0" w:space="0" w:color="auto"/>
                                    <w:bottom w:val="none" w:sz="0" w:space="0" w:color="auto"/>
                                    <w:right w:val="none" w:sz="0" w:space="0" w:color="auto"/>
                                  </w:divBdr>
                                  <w:divsChild>
                                    <w:div w:id="424035996">
                                      <w:marLeft w:val="0"/>
                                      <w:marRight w:val="0"/>
                                      <w:marTop w:val="0"/>
                                      <w:marBottom w:val="0"/>
                                      <w:divBdr>
                                        <w:top w:val="none" w:sz="0" w:space="0" w:color="auto"/>
                                        <w:left w:val="none" w:sz="0" w:space="0" w:color="auto"/>
                                        <w:bottom w:val="none" w:sz="0" w:space="0" w:color="auto"/>
                                        <w:right w:val="none" w:sz="0" w:space="0" w:color="auto"/>
                                      </w:divBdr>
                                      <w:divsChild>
                                        <w:div w:id="20660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6998">
                              <w:marLeft w:val="0"/>
                              <w:marRight w:val="0"/>
                              <w:marTop w:val="0"/>
                              <w:marBottom w:val="0"/>
                              <w:divBdr>
                                <w:top w:val="none" w:sz="0" w:space="0" w:color="auto"/>
                                <w:left w:val="none" w:sz="0" w:space="0" w:color="auto"/>
                                <w:bottom w:val="none" w:sz="0" w:space="0" w:color="auto"/>
                                <w:right w:val="none" w:sz="0" w:space="0" w:color="auto"/>
                              </w:divBdr>
                              <w:divsChild>
                                <w:div w:id="620578323">
                                  <w:marLeft w:val="45"/>
                                  <w:marRight w:val="0"/>
                                  <w:marTop w:val="0"/>
                                  <w:marBottom w:val="15"/>
                                  <w:divBdr>
                                    <w:top w:val="none" w:sz="0" w:space="0" w:color="auto"/>
                                    <w:left w:val="none" w:sz="0" w:space="0" w:color="auto"/>
                                    <w:bottom w:val="none" w:sz="0" w:space="0" w:color="auto"/>
                                    <w:right w:val="none" w:sz="0" w:space="0" w:color="auto"/>
                                  </w:divBdr>
                                </w:div>
                              </w:divsChild>
                            </w:div>
                            <w:div w:id="19967583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1812856">
                      <w:marLeft w:val="30"/>
                      <w:marRight w:val="30"/>
                      <w:marTop w:val="0"/>
                      <w:marBottom w:val="0"/>
                      <w:divBdr>
                        <w:top w:val="none" w:sz="0" w:space="0" w:color="auto"/>
                        <w:left w:val="none" w:sz="0" w:space="0" w:color="auto"/>
                        <w:bottom w:val="none" w:sz="0" w:space="0" w:color="auto"/>
                        <w:right w:val="none" w:sz="0" w:space="0" w:color="auto"/>
                      </w:divBdr>
                      <w:divsChild>
                        <w:div w:id="1530214253">
                          <w:marLeft w:val="180"/>
                          <w:marRight w:val="210"/>
                          <w:marTop w:val="0"/>
                          <w:marBottom w:val="30"/>
                          <w:divBdr>
                            <w:top w:val="none" w:sz="0" w:space="0" w:color="auto"/>
                            <w:left w:val="none" w:sz="0" w:space="0" w:color="auto"/>
                            <w:bottom w:val="none" w:sz="0" w:space="0" w:color="auto"/>
                            <w:right w:val="none" w:sz="0" w:space="0" w:color="auto"/>
                          </w:divBdr>
                          <w:divsChild>
                            <w:div w:id="31345809">
                              <w:marLeft w:val="0"/>
                              <w:marRight w:val="30"/>
                              <w:marTop w:val="0"/>
                              <w:marBottom w:val="0"/>
                              <w:divBdr>
                                <w:top w:val="none" w:sz="0" w:space="0" w:color="auto"/>
                                <w:left w:val="none" w:sz="0" w:space="0" w:color="auto"/>
                                <w:bottom w:val="none" w:sz="0" w:space="0" w:color="auto"/>
                                <w:right w:val="none" w:sz="0" w:space="0" w:color="auto"/>
                              </w:divBdr>
                              <w:divsChild>
                                <w:div w:id="1822114717">
                                  <w:marLeft w:val="0"/>
                                  <w:marRight w:val="0"/>
                                  <w:marTop w:val="0"/>
                                  <w:marBottom w:val="0"/>
                                  <w:divBdr>
                                    <w:top w:val="none" w:sz="0" w:space="0" w:color="auto"/>
                                    <w:left w:val="none" w:sz="0" w:space="0" w:color="auto"/>
                                    <w:bottom w:val="none" w:sz="0" w:space="0" w:color="auto"/>
                                    <w:right w:val="none" w:sz="0" w:space="0" w:color="auto"/>
                                  </w:divBdr>
                                  <w:divsChild>
                                    <w:div w:id="756291852">
                                      <w:marLeft w:val="0"/>
                                      <w:marRight w:val="0"/>
                                      <w:marTop w:val="0"/>
                                      <w:marBottom w:val="0"/>
                                      <w:divBdr>
                                        <w:top w:val="none" w:sz="0" w:space="0" w:color="auto"/>
                                        <w:left w:val="none" w:sz="0" w:space="0" w:color="auto"/>
                                        <w:bottom w:val="none" w:sz="0" w:space="0" w:color="auto"/>
                                        <w:right w:val="none" w:sz="0" w:space="0" w:color="auto"/>
                                      </w:divBdr>
                                      <w:divsChild>
                                        <w:div w:id="2786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00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58341">
          <w:marLeft w:val="0"/>
          <w:marRight w:val="0"/>
          <w:marTop w:val="0"/>
          <w:marBottom w:val="0"/>
          <w:divBdr>
            <w:top w:val="none" w:sz="0" w:space="0" w:color="auto"/>
            <w:left w:val="none" w:sz="0" w:space="0" w:color="auto"/>
            <w:bottom w:val="none" w:sz="0" w:space="0" w:color="auto"/>
            <w:right w:val="none" w:sz="0" w:space="0" w:color="auto"/>
          </w:divBdr>
          <w:divsChild>
            <w:div w:id="216625400">
              <w:marLeft w:val="210"/>
              <w:marRight w:val="0"/>
              <w:marTop w:val="120"/>
              <w:marBottom w:val="0"/>
              <w:divBdr>
                <w:top w:val="none" w:sz="0" w:space="0" w:color="auto"/>
                <w:left w:val="none" w:sz="0" w:space="0" w:color="auto"/>
                <w:bottom w:val="none" w:sz="0" w:space="0" w:color="auto"/>
                <w:right w:val="none" w:sz="0" w:space="0" w:color="auto"/>
              </w:divBdr>
              <w:divsChild>
                <w:div w:id="752822969">
                  <w:marLeft w:val="0"/>
                  <w:marRight w:val="0"/>
                  <w:marTop w:val="0"/>
                  <w:marBottom w:val="0"/>
                  <w:divBdr>
                    <w:top w:val="none" w:sz="0" w:space="0" w:color="auto"/>
                    <w:left w:val="none" w:sz="0" w:space="0" w:color="auto"/>
                    <w:bottom w:val="none" w:sz="0" w:space="0" w:color="auto"/>
                    <w:right w:val="none" w:sz="0" w:space="0" w:color="auto"/>
                  </w:divBdr>
                  <w:divsChild>
                    <w:div w:id="29799815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781266900">
      <w:bodyDiv w:val="1"/>
      <w:marLeft w:val="0"/>
      <w:marRight w:val="0"/>
      <w:marTop w:val="0"/>
      <w:marBottom w:val="0"/>
      <w:divBdr>
        <w:top w:val="none" w:sz="0" w:space="0" w:color="auto"/>
        <w:left w:val="none" w:sz="0" w:space="0" w:color="auto"/>
        <w:bottom w:val="none" w:sz="0" w:space="0" w:color="auto"/>
        <w:right w:val="none" w:sz="0" w:space="0" w:color="auto"/>
      </w:divBdr>
      <w:divsChild>
        <w:div w:id="234171113">
          <w:marLeft w:val="0"/>
          <w:marRight w:val="0"/>
          <w:marTop w:val="0"/>
          <w:marBottom w:val="0"/>
          <w:divBdr>
            <w:top w:val="none" w:sz="0" w:space="0" w:color="auto"/>
            <w:left w:val="none" w:sz="0" w:space="0" w:color="auto"/>
            <w:bottom w:val="none" w:sz="0" w:space="0" w:color="auto"/>
            <w:right w:val="none" w:sz="0" w:space="0" w:color="auto"/>
          </w:divBdr>
          <w:divsChild>
            <w:div w:id="380248063">
              <w:marLeft w:val="210"/>
              <w:marRight w:val="0"/>
              <w:marTop w:val="120"/>
              <w:marBottom w:val="0"/>
              <w:divBdr>
                <w:top w:val="none" w:sz="0" w:space="0" w:color="auto"/>
                <w:left w:val="none" w:sz="0" w:space="0" w:color="auto"/>
                <w:bottom w:val="none" w:sz="0" w:space="0" w:color="auto"/>
                <w:right w:val="none" w:sz="0" w:space="0" w:color="auto"/>
              </w:divBdr>
              <w:divsChild>
                <w:div w:id="544292689">
                  <w:marLeft w:val="0"/>
                  <w:marRight w:val="0"/>
                  <w:marTop w:val="0"/>
                  <w:marBottom w:val="0"/>
                  <w:divBdr>
                    <w:top w:val="none" w:sz="0" w:space="0" w:color="auto"/>
                    <w:left w:val="none" w:sz="0" w:space="0" w:color="auto"/>
                    <w:bottom w:val="none" w:sz="0" w:space="0" w:color="auto"/>
                    <w:right w:val="none" w:sz="0" w:space="0" w:color="auto"/>
                  </w:divBdr>
                  <w:divsChild>
                    <w:div w:id="170636992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823936373">
          <w:marLeft w:val="0"/>
          <w:marRight w:val="0"/>
          <w:marTop w:val="0"/>
          <w:marBottom w:val="0"/>
          <w:divBdr>
            <w:top w:val="none" w:sz="0" w:space="0" w:color="auto"/>
            <w:left w:val="none" w:sz="0" w:space="0" w:color="auto"/>
            <w:bottom w:val="none" w:sz="0" w:space="0" w:color="auto"/>
            <w:right w:val="none" w:sz="0" w:space="0" w:color="auto"/>
          </w:divBdr>
          <w:divsChild>
            <w:div w:id="1604454485">
              <w:marLeft w:val="0"/>
              <w:marRight w:val="0"/>
              <w:marTop w:val="0"/>
              <w:marBottom w:val="0"/>
              <w:divBdr>
                <w:top w:val="none" w:sz="0" w:space="0" w:color="auto"/>
                <w:left w:val="none" w:sz="0" w:space="0" w:color="auto"/>
                <w:bottom w:val="none" w:sz="0" w:space="0" w:color="auto"/>
                <w:right w:val="none" w:sz="0" w:space="0" w:color="auto"/>
              </w:divBdr>
              <w:divsChild>
                <w:div w:id="80108843">
                  <w:marLeft w:val="0"/>
                  <w:marRight w:val="0"/>
                  <w:marTop w:val="0"/>
                  <w:marBottom w:val="0"/>
                  <w:divBdr>
                    <w:top w:val="none" w:sz="0" w:space="0" w:color="auto"/>
                    <w:left w:val="none" w:sz="0" w:space="0" w:color="auto"/>
                    <w:bottom w:val="none" w:sz="0" w:space="0" w:color="auto"/>
                    <w:right w:val="none" w:sz="0" w:space="0" w:color="auto"/>
                  </w:divBdr>
                  <w:divsChild>
                    <w:div w:id="1911619714">
                      <w:marLeft w:val="30"/>
                      <w:marRight w:val="30"/>
                      <w:marTop w:val="0"/>
                      <w:marBottom w:val="0"/>
                      <w:divBdr>
                        <w:top w:val="none" w:sz="0" w:space="0" w:color="auto"/>
                        <w:left w:val="none" w:sz="0" w:space="0" w:color="auto"/>
                        <w:bottom w:val="none" w:sz="0" w:space="0" w:color="auto"/>
                        <w:right w:val="none" w:sz="0" w:space="0" w:color="auto"/>
                      </w:divBdr>
                      <w:divsChild>
                        <w:div w:id="191574007">
                          <w:marLeft w:val="135"/>
                          <w:marRight w:val="45"/>
                          <w:marTop w:val="60"/>
                          <w:marBottom w:val="60"/>
                          <w:divBdr>
                            <w:top w:val="none" w:sz="0" w:space="0" w:color="auto"/>
                            <w:left w:val="none" w:sz="0" w:space="0" w:color="auto"/>
                            <w:bottom w:val="none" w:sz="0" w:space="0" w:color="auto"/>
                            <w:right w:val="none" w:sz="0" w:space="0" w:color="auto"/>
                          </w:divBdr>
                          <w:divsChild>
                            <w:div w:id="556162975">
                              <w:marLeft w:val="0"/>
                              <w:marRight w:val="0"/>
                              <w:marTop w:val="0"/>
                              <w:marBottom w:val="0"/>
                              <w:divBdr>
                                <w:top w:val="none" w:sz="0" w:space="0" w:color="auto"/>
                                <w:left w:val="none" w:sz="0" w:space="0" w:color="auto"/>
                                <w:bottom w:val="none" w:sz="0" w:space="0" w:color="auto"/>
                                <w:right w:val="none" w:sz="0" w:space="0" w:color="auto"/>
                              </w:divBdr>
                              <w:divsChild>
                                <w:div w:id="243685870">
                                  <w:marLeft w:val="0"/>
                                  <w:marRight w:val="150"/>
                                  <w:marTop w:val="0"/>
                                  <w:marBottom w:val="0"/>
                                  <w:divBdr>
                                    <w:top w:val="none" w:sz="0" w:space="0" w:color="auto"/>
                                    <w:left w:val="none" w:sz="0" w:space="0" w:color="auto"/>
                                    <w:bottom w:val="none" w:sz="0" w:space="0" w:color="auto"/>
                                    <w:right w:val="none" w:sz="0" w:space="0" w:color="auto"/>
                                  </w:divBdr>
                                </w:div>
                                <w:div w:id="13427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8797">
                          <w:marLeft w:val="0"/>
                          <w:marRight w:val="90"/>
                          <w:marTop w:val="90"/>
                          <w:marBottom w:val="30"/>
                          <w:divBdr>
                            <w:top w:val="none" w:sz="0" w:space="0" w:color="auto"/>
                            <w:left w:val="none" w:sz="0" w:space="0" w:color="auto"/>
                            <w:bottom w:val="none" w:sz="0" w:space="0" w:color="auto"/>
                            <w:right w:val="none" w:sz="0" w:space="0" w:color="auto"/>
                          </w:divBdr>
                          <w:divsChild>
                            <w:div w:id="554707550">
                              <w:marLeft w:val="0"/>
                              <w:marRight w:val="30"/>
                              <w:marTop w:val="0"/>
                              <w:marBottom w:val="0"/>
                              <w:divBdr>
                                <w:top w:val="none" w:sz="0" w:space="0" w:color="auto"/>
                                <w:left w:val="none" w:sz="0" w:space="0" w:color="auto"/>
                                <w:bottom w:val="none" w:sz="0" w:space="0" w:color="auto"/>
                                <w:right w:val="none" w:sz="0" w:space="0" w:color="auto"/>
                              </w:divBdr>
                              <w:divsChild>
                                <w:div w:id="1067725641">
                                  <w:marLeft w:val="0"/>
                                  <w:marRight w:val="0"/>
                                  <w:marTop w:val="0"/>
                                  <w:marBottom w:val="0"/>
                                  <w:divBdr>
                                    <w:top w:val="none" w:sz="0" w:space="0" w:color="auto"/>
                                    <w:left w:val="none" w:sz="0" w:space="0" w:color="auto"/>
                                    <w:bottom w:val="none" w:sz="0" w:space="0" w:color="auto"/>
                                    <w:right w:val="none" w:sz="0" w:space="0" w:color="auto"/>
                                  </w:divBdr>
                                  <w:divsChild>
                                    <w:div w:id="104081159">
                                      <w:marLeft w:val="0"/>
                                      <w:marRight w:val="0"/>
                                      <w:marTop w:val="0"/>
                                      <w:marBottom w:val="0"/>
                                      <w:divBdr>
                                        <w:top w:val="none" w:sz="0" w:space="0" w:color="auto"/>
                                        <w:left w:val="none" w:sz="0" w:space="0" w:color="auto"/>
                                        <w:bottom w:val="none" w:sz="0" w:space="0" w:color="auto"/>
                                        <w:right w:val="none" w:sz="0" w:space="0" w:color="auto"/>
                                      </w:divBdr>
                                      <w:divsChild>
                                        <w:div w:id="19936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09294">
                              <w:marLeft w:val="45"/>
                              <w:marRight w:val="0"/>
                              <w:marTop w:val="0"/>
                              <w:marBottom w:val="0"/>
                              <w:divBdr>
                                <w:top w:val="none" w:sz="0" w:space="0" w:color="auto"/>
                                <w:left w:val="none" w:sz="0" w:space="0" w:color="auto"/>
                                <w:bottom w:val="none" w:sz="0" w:space="0" w:color="auto"/>
                                <w:right w:val="none" w:sz="0" w:space="0" w:color="auto"/>
                              </w:divBdr>
                            </w:div>
                            <w:div w:id="1861821969">
                              <w:marLeft w:val="0"/>
                              <w:marRight w:val="0"/>
                              <w:marTop w:val="0"/>
                              <w:marBottom w:val="0"/>
                              <w:divBdr>
                                <w:top w:val="none" w:sz="0" w:space="0" w:color="auto"/>
                                <w:left w:val="none" w:sz="0" w:space="0" w:color="auto"/>
                                <w:bottom w:val="none" w:sz="0" w:space="0" w:color="auto"/>
                                <w:right w:val="none" w:sz="0" w:space="0" w:color="auto"/>
                              </w:divBdr>
                              <w:divsChild>
                                <w:div w:id="43413178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88766604">
                      <w:marLeft w:val="30"/>
                      <w:marRight w:val="30"/>
                      <w:marTop w:val="0"/>
                      <w:marBottom w:val="0"/>
                      <w:divBdr>
                        <w:top w:val="none" w:sz="0" w:space="0" w:color="auto"/>
                        <w:left w:val="none" w:sz="0" w:space="0" w:color="auto"/>
                        <w:bottom w:val="none" w:sz="0" w:space="0" w:color="auto"/>
                        <w:right w:val="none" w:sz="0" w:space="0" w:color="auto"/>
                      </w:divBdr>
                      <w:divsChild>
                        <w:div w:id="1575434491">
                          <w:marLeft w:val="180"/>
                          <w:marRight w:val="210"/>
                          <w:marTop w:val="0"/>
                          <w:marBottom w:val="30"/>
                          <w:divBdr>
                            <w:top w:val="none" w:sz="0" w:space="0" w:color="auto"/>
                            <w:left w:val="none" w:sz="0" w:space="0" w:color="auto"/>
                            <w:bottom w:val="none" w:sz="0" w:space="0" w:color="auto"/>
                            <w:right w:val="none" w:sz="0" w:space="0" w:color="auto"/>
                          </w:divBdr>
                          <w:divsChild>
                            <w:div w:id="1077362791">
                              <w:marLeft w:val="0"/>
                              <w:marRight w:val="30"/>
                              <w:marTop w:val="0"/>
                              <w:marBottom w:val="0"/>
                              <w:divBdr>
                                <w:top w:val="none" w:sz="0" w:space="0" w:color="auto"/>
                                <w:left w:val="none" w:sz="0" w:space="0" w:color="auto"/>
                                <w:bottom w:val="none" w:sz="0" w:space="0" w:color="auto"/>
                                <w:right w:val="none" w:sz="0" w:space="0" w:color="auto"/>
                              </w:divBdr>
                              <w:divsChild>
                                <w:div w:id="1931618629">
                                  <w:marLeft w:val="0"/>
                                  <w:marRight w:val="0"/>
                                  <w:marTop w:val="0"/>
                                  <w:marBottom w:val="0"/>
                                  <w:divBdr>
                                    <w:top w:val="none" w:sz="0" w:space="0" w:color="auto"/>
                                    <w:left w:val="none" w:sz="0" w:space="0" w:color="auto"/>
                                    <w:bottom w:val="none" w:sz="0" w:space="0" w:color="auto"/>
                                    <w:right w:val="none" w:sz="0" w:space="0" w:color="auto"/>
                                  </w:divBdr>
                                  <w:divsChild>
                                    <w:div w:id="608852808">
                                      <w:marLeft w:val="0"/>
                                      <w:marRight w:val="0"/>
                                      <w:marTop w:val="0"/>
                                      <w:marBottom w:val="0"/>
                                      <w:divBdr>
                                        <w:top w:val="none" w:sz="0" w:space="0" w:color="auto"/>
                                        <w:left w:val="none" w:sz="0" w:space="0" w:color="auto"/>
                                        <w:bottom w:val="none" w:sz="0" w:space="0" w:color="auto"/>
                                        <w:right w:val="none" w:sz="0" w:space="0" w:color="auto"/>
                                      </w:divBdr>
                                      <w:divsChild>
                                        <w:div w:id="12476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55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435363">
      <w:bodyDiv w:val="1"/>
      <w:marLeft w:val="0"/>
      <w:marRight w:val="0"/>
      <w:marTop w:val="0"/>
      <w:marBottom w:val="0"/>
      <w:divBdr>
        <w:top w:val="none" w:sz="0" w:space="0" w:color="auto"/>
        <w:left w:val="none" w:sz="0" w:space="0" w:color="auto"/>
        <w:bottom w:val="none" w:sz="0" w:space="0" w:color="auto"/>
        <w:right w:val="none" w:sz="0" w:space="0" w:color="auto"/>
      </w:divBdr>
    </w:div>
    <w:div w:id="807429657">
      <w:bodyDiv w:val="1"/>
      <w:marLeft w:val="0"/>
      <w:marRight w:val="0"/>
      <w:marTop w:val="0"/>
      <w:marBottom w:val="0"/>
      <w:divBdr>
        <w:top w:val="none" w:sz="0" w:space="0" w:color="auto"/>
        <w:left w:val="none" w:sz="0" w:space="0" w:color="auto"/>
        <w:bottom w:val="none" w:sz="0" w:space="0" w:color="auto"/>
        <w:right w:val="none" w:sz="0" w:space="0" w:color="auto"/>
      </w:divBdr>
    </w:div>
    <w:div w:id="819225104">
      <w:bodyDiv w:val="1"/>
      <w:marLeft w:val="0"/>
      <w:marRight w:val="0"/>
      <w:marTop w:val="0"/>
      <w:marBottom w:val="0"/>
      <w:divBdr>
        <w:top w:val="none" w:sz="0" w:space="0" w:color="auto"/>
        <w:left w:val="none" w:sz="0" w:space="0" w:color="auto"/>
        <w:bottom w:val="none" w:sz="0" w:space="0" w:color="auto"/>
        <w:right w:val="none" w:sz="0" w:space="0" w:color="auto"/>
      </w:divBdr>
    </w:div>
    <w:div w:id="829180239">
      <w:bodyDiv w:val="1"/>
      <w:marLeft w:val="0"/>
      <w:marRight w:val="0"/>
      <w:marTop w:val="0"/>
      <w:marBottom w:val="0"/>
      <w:divBdr>
        <w:top w:val="none" w:sz="0" w:space="0" w:color="auto"/>
        <w:left w:val="none" w:sz="0" w:space="0" w:color="auto"/>
        <w:bottom w:val="none" w:sz="0" w:space="0" w:color="auto"/>
        <w:right w:val="none" w:sz="0" w:space="0" w:color="auto"/>
      </w:divBdr>
      <w:divsChild>
        <w:div w:id="944340002">
          <w:marLeft w:val="0"/>
          <w:marRight w:val="0"/>
          <w:marTop w:val="0"/>
          <w:marBottom w:val="0"/>
          <w:divBdr>
            <w:top w:val="none" w:sz="0" w:space="0" w:color="auto"/>
            <w:left w:val="none" w:sz="0" w:space="0" w:color="auto"/>
            <w:bottom w:val="none" w:sz="0" w:space="0" w:color="auto"/>
            <w:right w:val="none" w:sz="0" w:space="0" w:color="auto"/>
          </w:divBdr>
          <w:divsChild>
            <w:div w:id="706875137">
              <w:marLeft w:val="210"/>
              <w:marRight w:val="0"/>
              <w:marTop w:val="120"/>
              <w:marBottom w:val="0"/>
              <w:divBdr>
                <w:top w:val="none" w:sz="0" w:space="0" w:color="auto"/>
                <w:left w:val="none" w:sz="0" w:space="0" w:color="auto"/>
                <w:bottom w:val="none" w:sz="0" w:space="0" w:color="auto"/>
                <w:right w:val="none" w:sz="0" w:space="0" w:color="auto"/>
              </w:divBdr>
              <w:divsChild>
                <w:div w:id="263853829">
                  <w:marLeft w:val="0"/>
                  <w:marRight w:val="0"/>
                  <w:marTop w:val="0"/>
                  <w:marBottom w:val="0"/>
                  <w:divBdr>
                    <w:top w:val="none" w:sz="0" w:space="0" w:color="auto"/>
                    <w:left w:val="none" w:sz="0" w:space="0" w:color="auto"/>
                    <w:bottom w:val="none" w:sz="0" w:space="0" w:color="auto"/>
                    <w:right w:val="none" w:sz="0" w:space="0" w:color="auto"/>
                  </w:divBdr>
                  <w:divsChild>
                    <w:div w:id="102814488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948464375">
          <w:marLeft w:val="0"/>
          <w:marRight w:val="0"/>
          <w:marTop w:val="0"/>
          <w:marBottom w:val="0"/>
          <w:divBdr>
            <w:top w:val="none" w:sz="0" w:space="0" w:color="auto"/>
            <w:left w:val="none" w:sz="0" w:space="0" w:color="auto"/>
            <w:bottom w:val="none" w:sz="0" w:space="0" w:color="auto"/>
            <w:right w:val="none" w:sz="0" w:space="0" w:color="auto"/>
          </w:divBdr>
          <w:divsChild>
            <w:div w:id="918826642">
              <w:marLeft w:val="0"/>
              <w:marRight w:val="0"/>
              <w:marTop w:val="0"/>
              <w:marBottom w:val="0"/>
              <w:divBdr>
                <w:top w:val="none" w:sz="0" w:space="0" w:color="auto"/>
                <w:left w:val="none" w:sz="0" w:space="0" w:color="auto"/>
                <w:bottom w:val="none" w:sz="0" w:space="0" w:color="auto"/>
                <w:right w:val="none" w:sz="0" w:space="0" w:color="auto"/>
              </w:divBdr>
              <w:divsChild>
                <w:div w:id="1350912860">
                  <w:marLeft w:val="0"/>
                  <w:marRight w:val="0"/>
                  <w:marTop w:val="0"/>
                  <w:marBottom w:val="0"/>
                  <w:divBdr>
                    <w:top w:val="none" w:sz="0" w:space="0" w:color="auto"/>
                    <w:left w:val="none" w:sz="0" w:space="0" w:color="auto"/>
                    <w:bottom w:val="none" w:sz="0" w:space="0" w:color="auto"/>
                    <w:right w:val="none" w:sz="0" w:space="0" w:color="auto"/>
                  </w:divBdr>
                  <w:divsChild>
                    <w:div w:id="218632340">
                      <w:marLeft w:val="30"/>
                      <w:marRight w:val="30"/>
                      <w:marTop w:val="0"/>
                      <w:marBottom w:val="0"/>
                      <w:divBdr>
                        <w:top w:val="none" w:sz="0" w:space="0" w:color="auto"/>
                        <w:left w:val="none" w:sz="0" w:space="0" w:color="auto"/>
                        <w:bottom w:val="none" w:sz="0" w:space="0" w:color="auto"/>
                        <w:right w:val="none" w:sz="0" w:space="0" w:color="auto"/>
                      </w:divBdr>
                      <w:divsChild>
                        <w:div w:id="452284035">
                          <w:marLeft w:val="0"/>
                          <w:marRight w:val="90"/>
                          <w:marTop w:val="90"/>
                          <w:marBottom w:val="30"/>
                          <w:divBdr>
                            <w:top w:val="none" w:sz="0" w:space="0" w:color="auto"/>
                            <w:left w:val="none" w:sz="0" w:space="0" w:color="auto"/>
                            <w:bottom w:val="none" w:sz="0" w:space="0" w:color="auto"/>
                            <w:right w:val="none" w:sz="0" w:space="0" w:color="auto"/>
                          </w:divBdr>
                          <w:divsChild>
                            <w:div w:id="1285769553">
                              <w:marLeft w:val="0"/>
                              <w:marRight w:val="0"/>
                              <w:marTop w:val="0"/>
                              <w:marBottom w:val="0"/>
                              <w:divBdr>
                                <w:top w:val="none" w:sz="0" w:space="0" w:color="auto"/>
                                <w:left w:val="none" w:sz="0" w:space="0" w:color="auto"/>
                                <w:bottom w:val="none" w:sz="0" w:space="0" w:color="auto"/>
                                <w:right w:val="none" w:sz="0" w:space="0" w:color="auto"/>
                              </w:divBdr>
                              <w:divsChild>
                                <w:div w:id="281108255">
                                  <w:marLeft w:val="0"/>
                                  <w:marRight w:val="0"/>
                                  <w:marTop w:val="0"/>
                                  <w:marBottom w:val="0"/>
                                  <w:divBdr>
                                    <w:top w:val="none" w:sz="0" w:space="0" w:color="auto"/>
                                    <w:left w:val="none" w:sz="0" w:space="0" w:color="auto"/>
                                    <w:bottom w:val="none" w:sz="0" w:space="0" w:color="auto"/>
                                    <w:right w:val="none" w:sz="0" w:space="0" w:color="auto"/>
                                  </w:divBdr>
                                  <w:divsChild>
                                    <w:div w:id="105207209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515997912">
                              <w:marLeft w:val="0"/>
                              <w:marRight w:val="30"/>
                              <w:marTop w:val="0"/>
                              <w:marBottom w:val="0"/>
                              <w:divBdr>
                                <w:top w:val="none" w:sz="0" w:space="0" w:color="auto"/>
                                <w:left w:val="none" w:sz="0" w:space="0" w:color="auto"/>
                                <w:bottom w:val="none" w:sz="0" w:space="0" w:color="auto"/>
                                <w:right w:val="none" w:sz="0" w:space="0" w:color="auto"/>
                              </w:divBdr>
                              <w:divsChild>
                                <w:div w:id="162860355">
                                  <w:marLeft w:val="0"/>
                                  <w:marRight w:val="0"/>
                                  <w:marTop w:val="0"/>
                                  <w:marBottom w:val="0"/>
                                  <w:divBdr>
                                    <w:top w:val="none" w:sz="0" w:space="0" w:color="auto"/>
                                    <w:left w:val="none" w:sz="0" w:space="0" w:color="auto"/>
                                    <w:bottom w:val="none" w:sz="0" w:space="0" w:color="auto"/>
                                    <w:right w:val="none" w:sz="0" w:space="0" w:color="auto"/>
                                  </w:divBdr>
                                  <w:divsChild>
                                    <w:div w:id="1312560139">
                                      <w:marLeft w:val="0"/>
                                      <w:marRight w:val="0"/>
                                      <w:marTop w:val="0"/>
                                      <w:marBottom w:val="0"/>
                                      <w:divBdr>
                                        <w:top w:val="none" w:sz="0" w:space="0" w:color="auto"/>
                                        <w:left w:val="none" w:sz="0" w:space="0" w:color="auto"/>
                                        <w:bottom w:val="none" w:sz="0" w:space="0" w:color="auto"/>
                                        <w:right w:val="none" w:sz="0" w:space="0" w:color="auto"/>
                                      </w:divBdr>
                                      <w:divsChild>
                                        <w:div w:id="967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0556">
                              <w:marLeft w:val="45"/>
                              <w:marRight w:val="0"/>
                              <w:marTop w:val="0"/>
                              <w:marBottom w:val="0"/>
                              <w:divBdr>
                                <w:top w:val="none" w:sz="0" w:space="0" w:color="auto"/>
                                <w:left w:val="none" w:sz="0" w:space="0" w:color="auto"/>
                                <w:bottom w:val="none" w:sz="0" w:space="0" w:color="auto"/>
                                <w:right w:val="none" w:sz="0" w:space="0" w:color="auto"/>
                              </w:divBdr>
                            </w:div>
                          </w:divsChild>
                        </w:div>
                        <w:div w:id="1851676713">
                          <w:marLeft w:val="135"/>
                          <w:marRight w:val="45"/>
                          <w:marTop w:val="60"/>
                          <w:marBottom w:val="60"/>
                          <w:divBdr>
                            <w:top w:val="none" w:sz="0" w:space="0" w:color="auto"/>
                            <w:left w:val="none" w:sz="0" w:space="0" w:color="auto"/>
                            <w:bottom w:val="none" w:sz="0" w:space="0" w:color="auto"/>
                            <w:right w:val="none" w:sz="0" w:space="0" w:color="auto"/>
                          </w:divBdr>
                          <w:divsChild>
                            <w:div w:id="191573321">
                              <w:marLeft w:val="0"/>
                              <w:marRight w:val="0"/>
                              <w:marTop w:val="0"/>
                              <w:marBottom w:val="0"/>
                              <w:divBdr>
                                <w:top w:val="none" w:sz="0" w:space="0" w:color="auto"/>
                                <w:left w:val="none" w:sz="0" w:space="0" w:color="auto"/>
                                <w:bottom w:val="none" w:sz="0" w:space="0" w:color="auto"/>
                                <w:right w:val="none" w:sz="0" w:space="0" w:color="auto"/>
                              </w:divBdr>
                              <w:divsChild>
                                <w:div w:id="715391120">
                                  <w:marLeft w:val="0"/>
                                  <w:marRight w:val="150"/>
                                  <w:marTop w:val="0"/>
                                  <w:marBottom w:val="0"/>
                                  <w:divBdr>
                                    <w:top w:val="none" w:sz="0" w:space="0" w:color="auto"/>
                                    <w:left w:val="none" w:sz="0" w:space="0" w:color="auto"/>
                                    <w:bottom w:val="none" w:sz="0" w:space="0" w:color="auto"/>
                                    <w:right w:val="none" w:sz="0" w:space="0" w:color="auto"/>
                                  </w:divBdr>
                                </w:div>
                                <w:div w:id="19604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9767">
                      <w:marLeft w:val="30"/>
                      <w:marRight w:val="30"/>
                      <w:marTop w:val="0"/>
                      <w:marBottom w:val="0"/>
                      <w:divBdr>
                        <w:top w:val="none" w:sz="0" w:space="0" w:color="auto"/>
                        <w:left w:val="none" w:sz="0" w:space="0" w:color="auto"/>
                        <w:bottom w:val="none" w:sz="0" w:space="0" w:color="auto"/>
                        <w:right w:val="none" w:sz="0" w:space="0" w:color="auto"/>
                      </w:divBdr>
                      <w:divsChild>
                        <w:div w:id="1017344461">
                          <w:marLeft w:val="135"/>
                          <w:marRight w:val="45"/>
                          <w:marTop w:val="60"/>
                          <w:marBottom w:val="60"/>
                          <w:divBdr>
                            <w:top w:val="none" w:sz="0" w:space="0" w:color="auto"/>
                            <w:left w:val="none" w:sz="0" w:space="0" w:color="auto"/>
                            <w:bottom w:val="none" w:sz="0" w:space="0" w:color="auto"/>
                            <w:right w:val="none" w:sz="0" w:space="0" w:color="auto"/>
                          </w:divBdr>
                          <w:divsChild>
                            <w:div w:id="1628857159">
                              <w:marLeft w:val="0"/>
                              <w:marRight w:val="0"/>
                              <w:marTop w:val="0"/>
                              <w:marBottom w:val="0"/>
                              <w:divBdr>
                                <w:top w:val="none" w:sz="0" w:space="0" w:color="auto"/>
                                <w:left w:val="none" w:sz="0" w:space="0" w:color="auto"/>
                                <w:bottom w:val="none" w:sz="0" w:space="0" w:color="auto"/>
                                <w:right w:val="none" w:sz="0" w:space="0" w:color="auto"/>
                              </w:divBdr>
                              <w:divsChild>
                                <w:div w:id="229270868">
                                  <w:marLeft w:val="0"/>
                                  <w:marRight w:val="0"/>
                                  <w:marTop w:val="0"/>
                                  <w:marBottom w:val="0"/>
                                  <w:divBdr>
                                    <w:top w:val="none" w:sz="0" w:space="0" w:color="auto"/>
                                    <w:left w:val="none" w:sz="0" w:space="0" w:color="auto"/>
                                    <w:bottom w:val="none" w:sz="0" w:space="0" w:color="auto"/>
                                    <w:right w:val="none" w:sz="0" w:space="0" w:color="auto"/>
                                  </w:divBdr>
                                </w:div>
                                <w:div w:id="16673253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98479494">
                          <w:marLeft w:val="0"/>
                          <w:marRight w:val="90"/>
                          <w:marTop w:val="90"/>
                          <w:marBottom w:val="30"/>
                          <w:divBdr>
                            <w:top w:val="none" w:sz="0" w:space="0" w:color="auto"/>
                            <w:left w:val="none" w:sz="0" w:space="0" w:color="auto"/>
                            <w:bottom w:val="none" w:sz="0" w:space="0" w:color="auto"/>
                            <w:right w:val="none" w:sz="0" w:space="0" w:color="auto"/>
                          </w:divBdr>
                          <w:divsChild>
                            <w:div w:id="1568999321">
                              <w:marLeft w:val="0"/>
                              <w:marRight w:val="0"/>
                              <w:marTop w:val="0"/>
                              <w:marBottom w:val="0"/>
                              <w:divBdr>
                                <w:top w:val="none" w:sz="0" w:space="0" w:color="auto"/>
                                <w:left w:val="none" w:sz="0" w:space="0" w:color="auto"/>
                                <w:bottom w:val="none" w:sz="0" w:space="0" w:color="auto"/>
                                <w:right w:val="none" w:sz="0" w:space="0" w:color="auto"/>
                              </w:divBdr>
                              <w:divsChild>
                                <w:div w:id="2830145">
                                  <w:marLeft w:val="0"/>
                                  <w:marRight w:val="0"/>
                                  <w:marTop w:val="0"/>
                                  <w:marBottom w:val="0"/>
                                  <w:divBdr>
                                    <w:top w:val="none" w:sz="0" w:space="0" w:color="auto"/>
                                    <w:left w:val="none" w:sz="0" w:space="0" w:color="auto"/>
                                    <w:bottom w:val="none" w:sz="0" w:space="0" w:color="auto"/>
                                    <w:right w:val="none" w:sz="0" w:space="0" w:color="auto"/>
                                  </w:divBdr>
                                  <w:divsChild>
                                    <w:div w:id="212010349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766074854">
                              <w:marLeft w:val="0"/>
                              <w:marRight w:val="30"/>
                              <w:marTop w:val="0"/>
                              <w:marBottom w:val="0"/>
                              <w:divBdr>
                                <w:top w:val="none" w:sz="0" w:space="0" w:color="auto"/>
                                <w:left w:val="none" w:sz="0" w:space="0" w:color="auto"/>
                                <w:bottom w:val="none" w:sz="0" w:space="0" w:color="auto"/>
                                <w:right w:val="none" w:sz="0" w:space="0" w:color="auto"/>
                              </w:divBdr>
                              <w:divsChild>
                                <w:div w:id="2102531663">
                                  <w:marLeft w:val="0"/>
                                  <w:marRight w:val="0"/>
                                  <w:marTop w:val="0"/>
                                  <w:marBottom w:val="0"/>
                                  <w:divBdr>
                                    <w:top w:val="none" w:sz="0" w:space="0" w:color="auto"/>
                                    <w:left w:val="none" w:sz="0" w:space="0" w:color="auto"/>
                                    <w:bottom w:val="none" w:sz="0" w:space="0" w:color="auto"/>
                                    <w:right w:val="none" w:sz="0" w:space="0" w:color="auto"/>
                                  </w:divBdr>
                                  <w:divsChild>
                                    <w:div w:id="484517574">
                                      <w:marLeft w:val="0"/>
                                      <w:marRight w:val="0"/>
                                      <w:marTop w:val="0"/>
                                      <w:marBottom w:val="0"/>
                                      <w:divBdr>
                                        <w:top w:val="none" w:sz="0" w:space="0" w:color="auto"/>
                                        <w:left w:val="none" w:sz="0" w:space="0" w:color="auto"/>
                                        <w:bottom w:val="none" w:sz="0" w:space="0" w:color="auto"/>
                                        <w:right w:val="none" w:sz="0" w:space="0" w:color="auto"/>
                                      </w:divBdr>
                                      <w:divsChild>
                                        <w:div w:id="74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6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43371234">
                      <w:marLeft w:val="30"/>
                      <w:marRight w:val="30"/>
                      <w:marTop w:val="0"/>
                      <w:marBottom w:val="0"/>
                      <w:divBdr>
                        <w:top w:val="none" w:sz="0" w:space="0" w:color="auto"/>
                        <w:left w:val="none" w:sz="0" w:space="0" w:color="auto"/>
                        <w:bottom w:val="none" w:sz="0" w:space="0" w:color="auto"/>
                        <w:right w:val="none" w:sz="0" w:space="0" w:color="auto"/>
                      </w:divBdr>
                      <w:divsChild>
                        <w:div w:id="333067265">
                          <w:marLeft w:val="0"/>
                          <w:marRight w:val="90"/>
                          <w:marTop w:val="90"/>
                          <w:marBottom w:val="30"/>
                          <w:divBdr>
                            <w:top w:val="none" w:sz="0" w:space="0" w:color="auto"/>
                            <w:left w:val="none" w:sz="0" w:space="0" w:color="auto"/>
                            <w:bottom w:val="none" w:sz="0" w:space="0" w:color="auto"/>
                            <w:right w:val="none" w:sz="0" w:space="0" w:color="auto"/>
                          </w:divBdr>
                          <w:divsChild>
                            <w:div w:id="13774485">
                              <w:marLeft w:val="45"/>
                              <w:marRight w:val="0"/>
                              <w:marTop w:val="0"/>
                              <w:marBottom w:val="0"/>
                              <w:divBdr>
                                <w:top w:val="none" w:sz="0" w:space="0" w:color="auto"/>
                                <w:left w:val="none" w:sz="0" w:space="0" w:color="auto"/>
                                <w:bottom w:val="none" w:sz="0" w:space="0" w:color="auto"/>
                                <w:right w:val="none" w:sz="0" w:space="0" w:color="auto"/>
                              </w:divBdr>
                            </w:div>
                            <w:div w:id="1076322437">
                              <w:marLeft w:val="0"/>
                              <w:marRight w:val="0"/>
                              <w:marTop w:val="0"/>
                              <w:marBottom w:val="0"/>
                              <w:divBdr>
                                <w:top w:val="none" w:sz="0" w:space="0" w:color="auto"/>
                                <w:left w:val="none" w:sz="0" w:space="0" w:color="auto"/>
                                <w:bottom w:val="none" w:sz="0" w:space="0" w:color="auto"/>
                                <w:right w:val="none" w:sz="0" w:space="0" w:color="auto"/>
                              </w:divBdr>
                              <w:divsChild>
                                <w:div w:id="1827671253">
                                  <w:marLeft w:val="0"/>
                                  <w:marRight w:val="0"/>
                                  <w:marTop w:val="0"/>
                                  <w:marBottom w:val="0"/>
                                  <w:divBdr>
                                    <w:top w:val="none" w:sz="0" w:space="0" w:color="auto"/>
                                    <w:left w:val="none" w:sz="0" w:space="0" w:color="auto"/>
                                    <w:bottom w:val="none" w:sz="0" w:space="0" w:color="auto"/>
                                    <w:right w:val="none" w:sz="0" w:space="0" w:color="auto"/>
                                  </w:divBdr>
                                  <w:divsChild>
                                    <w:div w:id="206768258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455100759">
                              <w:marLeft w:val="0"/>
                              <w:marRight w:val="30"/>
                              <w:marTop w:val="0"/>
                              <w:marBottom w:val="0"/>
                              <w:divBdr>
                                <w:top w:val="none" w:sz="0" w:space="0" w:color="auto"/>
                                <w:left w:val="none" w:sz="0" w:space="0" w:color="auto"/>
                                <w:bottom w:val="none" w:sz="0" w:space="0" w:color="auto"/>
                                <w:right w:val="none" w:sz="0" w:space="0" w:color="auto"/>
                              </w:divBdr>
                              <w:divsChild>
                                <w:div w:id="1715152190">
                                  <w:marLeft w:val="0"/>
                                  <w:marRight w:val="0"/>
                                  <w:marTop w:val="0"/>
                                  <w:marBottom w:val="0"/>
                                  <w:divBdr>
                                    <w:top w:val="none" w:sz="0" w:space="0" w:color="auto"/>
                                    <w:left w:val="none" w:sz="0" w:space="0" w:color="auto"/>
                                    <w:bottom w:val="none" w:sz="0" w:space="0" w:color="auto"/>
                                    <w:right w:val="none" w:sz="0" w:space="0" w:color="auto"/>
                                  </w:divBdr>
                                  <w:divsChild>
                                    <w:div w:id="1642342732">
                                      <w:marLeft w:val="0"/>
                                      <w:marRight w:val="0"/>
                                      <w:marTop w:val="0"/>
                                      <w:marBottom w:val="0"/>
                                      <w:divBdr>
                                        <w:top w:val="none" w:sz="0" w:space="0" w:color="auto"/>
                                        <w:left w:val="none" w:sz="0" w:space="0" w:color="auto"/>
                                        <w:bottom w:val="none" w:sz="0" w:space="0" w:color="auto"/>
                                        <w:right w:val="none" w:sz="0" w:space="0" w:color="auto"/>
                                      </w:divBdr>
                                      <w:divsChild>
                                        <w:div w:id="602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7698">
                          <w:marLeft w:val="135"/>
                          <w:marRight w:val="45"/>
                          <w:marTop w:val="60"/>
                          <w:marBottom w:val="60"/>
                          <w:divBdr>
                            <w:top w:val="none" w:sz="0" w:space="0" w:color="auto"/>
                            <w:left w:val="none" w:sz="0" w:space="0" w:color="auto"/>
                            <w:bottom w:val="none" w:sz="0" w:space="0" w:color="auto"/>
                            <w:right w:val="none" w:sz="0" w:space="0" w:color="auto"/>
                          </w:divBdr>
                          <w:divsChild>
                            <w:div w:id="2019499502">
                              <w:marLeft w:val="0"/>
                              <w:marRight w:val="0"/>
                              <w:marTop w:val="0"/>
                              <w:marBottom w:val="0"/>
                              <w:divBdr>
                                <w:top w:val="none" w:sz="0" w:space="0" w:color="auto"/>
                                <w:left w:val="none" w:sz="0" w:space="0" w:color="auto"/>
                                <w:bottom w:val="none" w:sz="0" w:space="0" w:color="auto"/>
                                <w:right w:val="none" w:sz="0" w:space="0" w:color="auto"/>
                              </w:divBdr>
                              <w:divsChild>
                                <w:div w:id="782265908">
                                  <w:marLeft w:val="0"/>
                                  <w:marRight w:val="150"/>
                                  <w:marTop w:val="0"/>
                                  <w:marBottom w:val="0"/>
                                  <w:divBdr>
                                    <w:top w:val="none" w:sz="0" w:space="0" w:color="auto"/>
                                    <w:left w:val="none" w:sz="0" w:space="0" w:color="auto"/>
                                    <w:bottom w:val="none" w:sz="0" w:space="0" w:color="auto"/>
                                    <w:right w:val="none" w:sz="0" w:space="0" w:color="auto"/>
                                  </w:divBdr>
                                </w:div>
                                <w:div w:id="1041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7932">
                      <w:marLeft w:val="30"/>
                      <w:marRight w:val="30"/>
                      <w:marTop w:val="0"/>
                      <w:marBottom w:val="0"/>
                      <w:divBdr>
                        <w:top w:val="none" w:sz="0" w:space="0" w:color="auto"/>
                        <w:left w:val="none" w:sz="0" w:space="0" w:color="auto"/>
                        <w:bottom w:val="none" w:sz="0" w:space="0" w:color="auto"/>
                        <w:right w:val="none" w:sz="0" w:space="0" w:color="auto"/>
                      </w:divBdr>
                      <w:divsChild>
                        <w:div w:id="1178617777">
                          <w:marLeft w:val="180"/>
                          <w:marRight w:val="210"/>
                          <w:marTop w:val="0"/>
                          <w:marBottom w:val="30"/>
                          <w:divBdr>
                            <w:top w:val="none" w:sz="0" w:space="0" w:color="auto"/>
                            <w:left w:val="none" w:sz="0" w:space="0" w:color="auto"/>
                            <w:bottom w:val="none" w:sz="0" w:space="0" w:color="auto"/>
                            <w:right w:val="none" w:sz="0" w:space="0" w:color="auto"/>
                          </w:divBdr>
                          <w:divsChild>
                            <w:div w:id="904604106">
                              <w:marLeft w:val="45"/>
                              <w:marRight w:val="0"/>
                              <w:marTop w:val="0"/>
                              <w:marBottom w:val="0"/>
                              <w:divBdr>
                                <w:top w:val="none" w:sz="0" w:space="0" w:color="auto"/>
                                <w:left w:val="none" w:sz="0" w:space="0" w:color="auto"/>
                                <w:bottom w:val="none" w:sz="0" w:space="0" w:color="auto"/>
                                <w:right w:val="none" w:sz="0" w:space="0" w:color="auto"/>
                              </w:divBdr>
                            </w:div>
                            <w:div w:id="1790540817">
                              <w:marLeft w:val="0"/>
                              <w:marRight w:val="30"/>
                              <w:marTop w:val="0"/>
                              <w:marBottom w:val="0"/>
                              <w:divBdr>
                                <w:top w:val="none" w:sz="0" w:space="0" w:color="auto"/>
                                <w:left w:val="none" w:sz="0" w:space="0" w:color="auto"/>
                                <w:bottom w:val="none" w:sz="0" w:space="0" w:color="auto"/>
                                <w:right w:val="none" w:sz="0" w:space="0" w:color="auto"/>
                              </w:divBdr>
                              <w:divsChild>
                                <w:div w:id="618028728">
                                  <w:marLeft w:val="0"/>
                                  <w:marRight w:val="0"/>
                                  <w:marTop w:val="0"/>
                                  <w:marBottom w:val="0"/>
                                  <w:divBdr>
                                    <w:top w:val="none" w:sz="0" w:space="0" w:color="auto"/>
                                    <w:left w:val="none" w:sz="0" w:space="0" w:color="auto"/>
                                    <w:bottom w:val="none" w:sz="0" w:space="0" w:color="auto"/>
                                    <w:right w:val="none" w:sz="0" w:space="0" w:color="auto"/>
                                  </w:divBdr>
                                  <w:divsChild>
                                    <w:div w:id="972440765">
                                      <w:marLeft w:val="0"/>
                                      <w:marRight w:val="0"/>
                                      <w:marTop w:val="0"/>
                                      <w:marBottom w:val="0"/>
                                      <w:divBdr>
                                        <w:top w:val="none" w:sz="0" w:space="0" w:color="auto"/>
                                        <w:left w:val="none" w:sz="0" w:space="0" w:color="auto"/>
                                        <w:bottom w:val="none" w:sz="0" w:space="0" w:color="auto"/>
                                        <w:right w:val="none" w:sz="0" w:space="0" w:color="auto"/>
                                      </w:divBdr>
                                      <w:divsChild>
                                        <w:div w:id="14153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077810">
      <w:bodyDiv w:val="1"/>
      <w:marLeft w:val="0"/>
      <w:marRight w:val="0"/>
      <w:marTop w:val="0"/>
      <w:marBottom w:val="0"/>
      <w:divBdr>
        <w:top w:val="none" w:sz="0" w:space="0" w:color="auto"/>
        <w:left w:val="none" w:sz="0" w:space="0" w:color="auto"/>
        <w:bottom w:val="none" w:sz="0" w:space="0" w:color="auto"/>
        <w:right w:val="none" w:sz="0" w:space="0" w:color="auto"/>
      </w:divBdr>
      <w:divsChild>
        <w:div w:id="506092778">
          <w:marLeft w:val="0"/>
          <w:marRight w:val="0"/>
          <w:marTop w:val="0"/>
          <w:marBottom w:val="0"/>
          <w:divBdr>
            <w:top w:val="none" w:sz="0" w:space="0" w:color="auto"/>
            <w:left w:val="none" w:sz="0" w:space="0" w:color="auto"/>
            <w:bottom w:val="none" w:sz="0" w:space="0" w:color="auto"/>
            <w:right w:val="none" w:sz="0" w:space="0" w:color="auto"/>
          </w:divBdr>
          <w:divsChild>
            <w:div w:id="911547238">
              <w:marLeft w:val="0"/>
              <w:marRight w:val="0"/>
              <w:marTop w:val="0"/>
              <w:marBottom w:val="0"/>
              <w:divBdr>
                <w:top w:val="none" w:sz="0" w:space="0" w:color="auto"/>
                <w:left w:val="none" w:sz="0" w:space="0" w:color="auto"/>
                <w:bottom w:val="none" w:sz="0" w:space="0" w:color="auto"/>
                <w:right w:val="none" w:sz="0" w:space="0" w:color="auto"/>
              </w:divBdr>
              <w:divsChild>
                <w:div w:id="2139763940">
                  <w:marLeft w:val="0"/>
                  <w:marRight w:val="0"/>
                  <w:marTop w:val="0"/>
                  <w:marBottom w:val="0"/>
                  <w:divBdr>
                    <w:top w:val="none" w:sz="0" w:space="0" w:color="auto"/>
                    <w:left w:val="none" w:sz="0" w:space="0" w:color="auto"/>
                    <w:bottom w:val="none" w:sz="0" w:space="0" w:color="auto"/>
                    <w:right w:val="none" w:sz="0" w:space="0" w:color="auto"/>
                  </w:divBdr>
                  <w:divsChild>
                    <w:div w:id="940837999">
                      <w:marLeft w:val="30"/>
                      <w:marRight w:val="30"/>
                      <w:marTop w:val="0"/>
                      <w:marBottom w:val="0"/>
                      <w:divBdr>
                        <w:top w:val="none" w:sz="0" w:space="0" w:color="auto"/>
                        <w:left w:val="none" w:sz="0" w:space="0" w:color="auto"/>
                        <w:bottom w:val="none" w:sz="0" w:space="0" w:color="auto"/>
                        <w:right w:val="none" w:sz="0" w:space="0" w:color="auto"/>
                      </w:divBdr>
                      <w:divsChild>
                        <w:div w:id="1110396652">
                          <w:marLeft w:val="135"/>
                          <w:marRight w:val="45"/>
                          <w:marTop w:val="60"/>
                          <w:marBottom w:val="60"/>
                          <w:divBdr>
                            <w:top w:val="none" w:sz="0" w:space="0" w:color="auto"/>
                            <w:left w:val="none" w:sz="0" w:space="0" w:color="auto"/>
                            <w:bottom w:val="none" w:sz="0" w:space="0" w:color="auto"/>
                            <w:right w:val="none" w:sz="0" w:space="0" w:color="auto"/>
                          </w:divBdr>
                          <w:divsChild>
                            <w:div w:id="521280882">
                              <w:marLeft w:val="0"/>
                              <w:marRight w:val="0"/>
                              <w:marTop w:val="0"/>
                              <w:marBottom w:val="0"/>
                              <w:divBdr>
                                <w:top w:val="none" w:sz="0" w:space="0" w:color="auto"/>
                                <w:left w:val="none" w:sz="0" w:space="0" w:color="auto"/>
                                <w:bottom w:val="none" w:sz="0" w:space="0" w:color="auto"/>
                                <w:right w:val="none" w:sz="0" w:space="0" w:color="auto"/>
                              </w:divBdr>
                              <w:divsChild>
                                <w:div w:id="1242527059">
                                  <w:marLeft w:val="0"/>
                                  <w:marRight w:val="150"/>
                                  <w:marTop w:val="0"/>
                                  <w:marBottom w:val="0"/>
                                  <w:divBdr>
                                    <w:top w:val="none" w:sz="0" w:space="0" w:color="auto"/>
                                    <w:left w:val="none" w:sz="0" w:space="0" w:color="auto"/>
                                    <w:bottom w:val="none" w:sz="0" w:space="0" w:color="auto"/>
                                    <w:right w:val="none" w:sz="0" w:space="0" w:color="auto"/>
                                  </w:divBdr>
                                </w:div>
                                <w:div w:id="195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5152">
                          <w:marLeft w:val="0"/>
                          <w:marRight w:val="90"/>
                          <w:marTop w:val="90"/>
                          <w:marBottom w:val="30"/>
                          <w:divBdr>
                            <w:top w:val="none" w:sz="0" w:space="0" w:color="auto"/>
                            <w:left w:val="none" w:sz="0" w:space="0" w:color="auto"/>
                            <w:bottom w:val="none" w:sz="0" w:space="0" w:color="auto"/>
                            <w:right w:val="none" w:sz="0" w:space="0" w:color="auto"/>
                          </w:divBdr>
                          <w:divsChild>
                            <w:div w:id="1559975549">
                              <w:marLeft w:val="0"/>
                              <w:marRight w:val="0"/>
                              <w:marTop w:val="0"/>
                              <w:marBottom w:val="0"/>
                              <w:divBdr>
                                <w:top w:val="none" w:sz="0" w:space="0" w:color="auto"/>
                                <w:left w:val="none" w:sz="0" w:space="0" w:color="auto"/>
                                <w:bottom w:val="none" w:sz="0" w:space="0" w:color="auto"/>
                                <w:right w:val="none" w:sz="0" w:space="0" w:color="auto"/>
                              </w:divBdr>
                              <w:divsChild>
                                <w:div w:id="1296567913">
                                  <w:marLeft w:val="45"/>
                                  <w:marRight w:val="0"/>
                                  <w:marTop w:val="0"/>
                                  <w:marBottom w:val="15"/>
                                  <w:divBdr>
                                    <w:top w:val="none" w:sz="0" w:space="0" w:color="auto"/>
                                    <w:left w:val="none" w:sz="0" w:space="0" w:color="auto"/>
                                    <w:bottom w:val="none" w:sz="0" w:space="0" w:color="auto"/>
                                    <w:right w:val="none" w:sz="0" w:space="0" w:color="auto"/>
                                  </w:divBdr>
                                </w:div>
                              </w:divsChild>
                            </w:div>
                            <w:div w:id="2006518167">
                              <w:marLeft w:val="0"/>
                              <w:marRight w:val="30"/>
                              <w:marTop w:val="0"/>
                              <w:marBottom w:val="0"/>
                              <w:divBdr>
                                <w:top w:val="none" w:sz="0" w:space="0" w:color="auto"/>
                                <w:left w:val="none" w:sz="0" w:space="0" w:color="auto"/>
                                <w:bottom w:val="none" w:sz="0" w:space="0" w:color="auto"/>
                                <w:right w:val="none" w:sz="0" w:space="0" w:color="auto"/>
                              </w:divBdr>
                              <w:divsChild>
                                <w:div w:id="981230589">
                                  <w:marLeft w:val="0"/>
                                  <w:marRight w:val="0"/>
                                  <w:marTop w:val="0"/>
                                  <w:marBottom w:val="0"/>
                                  <w:divBdr>
                                    <w:top w:val="none" w:sz="0" w:space="0" w:color="auto"/>
                                    <w:left w:val="none" w:sz="0" w:space="0" w:color="auto"/>
                                    <w:bottom w:val="none" w:sz="0" w:space="0" w:color="auto"/>
                                    <w:right w:val="none" w:sz="0" w:space="0" w:color="auto"/>
                                  </w:divBdr>
                                  <w:divsChild>
                                    <w:div w:id="128519347">
                                      <w:marLeft w:val="0"/>
                                      <w:marRight w:val="0"/>
                                      <w:marTop w:val="0"/>
                                      <w:marBottom w:val="0"/>
                                      <w:divBdr>
                                        <w:top w:val="none" w:sz="0" w:space="0" w:color="auto"/>
                                        <w:left w:val="none" w:sz="0" w:space="0" w:color="auto"/>
                                        <w:bottom w:val="none" w:sz="0" w:space="0" w:color="auto"/>
                                        <w:right w:val="none" w:sz="0" w:space="0" w:color="auto"/>
                                      </w:divBdr>
                                      <w:divsChild>
                                        <w:div w:id="55786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805450">
                      <w:marLeft w:val="30"/>
                      <w:marRight w:val="30"/>
                      <w:marTop w:val="0"/>
                      <w:marBottom w:val="0"/>
                      <w:divBdr>
                        <w:top w:val="none" w:sz="0" w:space="0" w:color="auto"/>
                        <w:left w:val="none" w:sz="0" w:space="0" w:color="auto"/>
                        <w:bottom w:val="none" w:sz="0" w:space="0" w:color="auto"/>
                        <w:right w:val="none" w:sz="0" w:space="0" w:color="auto"/>
                      </w:divBdr>
                      <w:divsChild>
                        <w:div w:id="738022172">
                          <w:marLeft w:val="180"/>
                          <w:marRight w:val="210"/>
                          <w:marTop w:val="0"/>
                          <w:marBottom w:val="30"/>
                          <w:divBdr>
                            <w:top w:val="none" w:sz="0" w:space="0" w:color="auto"/>
                            <w:left w:val="none" w:sz="0" w:space="0" w:color="auto"/>
                            <w:bottom w:val="none" w:sz="0" w:space="0" w:color="auto"/>
                            <w:right w:val="none" w:sz="0" w:space="0" w:color="auto"/>
                          </w:divBdr>
                          <w:divsChild>
                            <w:div w:id="316421930">
                              <w:marLeft w:val="0"/>
                              <w:marRight w:val="30"/>
                              <w:marTop w:val="0"/>
                              <w:marBottom w:val="0"/>
                              <w:divBdr>
                                <w:top w:val="none" w:sz="0" w:space="0" w:color="auto"/>
                                <w:left w:val="none" w:sz="0" w:space="0" w:color="auto"/>
                                <w:bottom w:val="none" w:sz="0" w:space="0" w:color="auto"/>
                                <w:right w:val="none" w:sz="0" w:space="0" w:color="auto"/>
                              </w:divBdr>
                              <w:divsChild>
                                <w:div w:id="2027830483">
                                  <w:marLeft w:val="0"/>
                                  <w:marRight w:val="0"/>
                                  <w:marTop w:val="0"/>
                                  <w:marBottom w:val="0"/>
                                  <w:divBdr>
                                    <w:top w:val="none" w:sz="0" w:space="0" w:color="auto"/>
                                    <w:left w:val="none" w:sz="0" w:space="0" w:color="auto"/>
                                    <w:bottom w:val="none" w:sz="0" w:space="0" w:color="auto"/>
                                    <w:right w:val="none" w:sz="0" w:space="0" w:color="auto"/>
                                  </w:divBdr>
                                  <w:divsChild>
                                    <w:div w:id="1607158996">
                                      <w:marLeft w:val="0"/>
                                      <w:marRight w:val="0"/>
                                      <w:marTop w:val="0"/>
                                      <w:marBottom w:val="0"/>
                                      <w:divBdr>
                                        <w:top w:val="none" w:sz="0" w:space="0" w:color="auto"/>
                                        <w:left w:val="none" w:sz="0" w:space="0" w:color="auto"/>
                                        <w:bottom w:val="none" w:sz="0" w:space="0" w:color="auto"/>
                                        <w:right w:val="none" w:sz="0" w:space="0" w:color="auto"/>
                                      </w:divBdr>
                                      <w:divsChild>
                                        <w:div w:id="11645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26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3684">
          <w:marLeft w:val="0"/>
          <w:marRight w:val="0"/>
          <w:marTop w:val="0"/>
          <w:marBottom w:val="0"/>
          <w:divBdr>
            <w:top w:val="none" w:sz="0" w:space="0" w:color="auto"/>
            <w:left w:val="none" w:sz="0" w:space="0" w:color="auto"/>
            <w:bottom w:val="none" w:sz="0" w:space="0" w:color="auto"/>
            <w:right w:val="none" w:sz="0" w:space="0" w:color="auto"/>
          </w:divBdr>
          <w:divsChild>
            <w:div w:id="563878280">
              <w:marLeft w:val="210"/>
              <w:marRight w:val="0"/>
              <w:marTop w:val="120"/>
              <w:marBottom w:val="0"/>
              <w:divBdr>
                <w:top w:val="none" w:sz="0" w:space="0" w:color="auto"/>
                <w:left w:val="none" w:sz="0" w:space="0" w:color="auto"/>
                <w:bottom w:val="none" w:sz="0" w:space="0" w:color="auto"/>
                <w:right w:val="none" w:sz="0" w:space="0" w:color="auto"/>
              </w:divBdr>
              <w:divsChild>
                <w:div w:id="764426298">
                  <w:marLeft w:val="0"/>
                  <w:marRight w:val="0"/>
                  <w:marTop w:val="0"/>
                  <w:marBottom w:val="0"/>
                  <w:divBdr>
                    <w:top w:val="none" w:sz="0" w:space="0" w:color="auto"/>
                    <w:left w:val="none" w:sz="0" w:space="0" w:color="auto"/>
                    <w:bottom w:val="none" w:sz="0" w:space="0" w:color="auto"/>
                    <w:right w:val="none" w:sz="0" w:space="0" w:color="auto"/>
                  </w:divBdr>
                  <w:divsChild>
                    <w:div w:id="92622885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858198909">
      <w:bodyDiv w:val="1"/>
      <w:marLeft w:val="0"/>
      <w:marRight w:val="0"/>
      <w:marTop w:val="0"/>
      <w:marBottom w:val="0"/>
      <w:divBdr>
        <w:top w:val="none" w:sz="0" w:space="0" w:color="auto"/>
        <w:left w:val="none" w:sz="0" w:space="0" w:color="auto"/>
        <w:bottom w:val="none" w:sz="0" w:space="0" w:color="auto"/>
        <w:right w:val="none" w:sz="0" w:space="0" w:color="auto"/>
      </w:divBdr>
    </w:div>
    <w:div w:id="870999504">
      <w:bodyDiv w:val="1"/>
      <w:marLeft w:val="0"/>
      <w:marRight w:val="0"/>
      <w:marTop w:val="0"/>
      <w:marBottom w:val="0"/>
      <w:divBdr>
        <w:top w:val="none" w:sz="0" w:space="0" w:color="auto"/>
        <w:left w:val="none" w:sz="0" w:space="0" w:color="auto"/>
        <w:bottom w:val="none" w:sz="0" w:space="0" w:color="auto"/>
        <w:right w:val="none" w:sz="0" w:space="0" w:color="auto"/>
      </w:divBdr>
    </w:div>
    <w:div w:id="908148602">
      <w:bodyDiv w:val="1"/>
      <w:marLeft w:val="0"/>
      <w:marRight w:val="0"/>
      <w:marTop w:val="0"/>
      <w:marBottom w:val="0"/>
      <w:divBdr>
        <w:top w:val="none" w:sz="0" w:space="0" w:color="auto"/>
        <w:left w:val="none" w:sz="0" w:space="0" w:color="auto"/>
        <w:bottom w:val="none" w:sz="0" w:space="0" w:color="auto"/>
        <w:right w:val="none" w:sz="0" w:space="0" w:color="auto"/>
      </w:divBdr>
      <w:divsChild>
        <w:div w:id="27991789">
          <w:marLeft w:val="0"/>
          <w:marRight w:val="0"/>
          <w:marTop w:val="0"/>
          <w:marBottom w:val="0"/>
          <w:divBdr>
            <w:top w:val="none" w:sz="0" w:space="0" w:color="auto"/>
            <w:left w:val="none" w:sz="0" w:space="0" w:color="auto"/>
            <w:bottom w:val="none" w:sz="0" w:space="0" w:color="auto"/>
            <w:right w:val="none" w:sz="0" w:space="0" w:color="auto"/>
          </w:divBdr>
          <w:divsChild>
            <w:div w:id="714543619">
              <w:marLeft w:val="210"/>
              <w:marRight w:val="0"/>
              <w:marTop w:val="120"/>
              <w:marBottom w:val="0"/>
              <w:divBdr>
                <w:top w:val="none" w:sz="0" w:space="0" w:color="auto"/>
                <w:left w:val="none" w:sz="0" w:space="0" w:color="auto"/>
                <w:bottom w:val="none" w:sz="0" w:space="0" w:color="auto"/>
                <w:right w:val="none" w:sz="0" w:space="0" w:color="auto"/>
              </w:divBdr>
              <w:divsChild>
                <w:div w:id="1190680983">
                  <w:marLeft w:val="0"/>
                  <w:marRight w:val="0"/>
                  <w:marTop w:val="0"/>
                  <w:marBottom w:val="0"/>
                  <w:divBdr>
                    <w:top w:val="none" w:sz="0" w:space="0" w:color="auto"/>
                    <w:left w:val="none" w:sz="0" w:space="0" w:color="auto"/>
                    <w:bottom w:val="none" w:sz="0" w:space="0" w:color="auto"/>
                    <w:right w:val="none" w:sz="0" w:space="0" w:color="auto"/>
                  </w:divBdr>
                  <w:divsChild>
                    <w:div w:id="18344686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20343812">
          <w:marLeft w:val="0"/>
          <w:marRight w:val="0"/>
          <w:marTop w:val="0"/>
          <w:marBottom w:val="0"/>
          <w:divBdr>
            <w:top w:val="none" w:sz="0" w:space="0" w:color="auto"/>
            <w:left w:val="none" w:sz="0" w:space="0" w:color="auto"/>
            <w:bottom w:val="none" w:sz="0" w:space="0" w:color="auto"/>
            <w:right w:val="none" w:sz="0" w:space="0" w:color="auto"/>
          </w:divBdr>
          <w:divsChild>
            <w:div w:id="2064677143">
              <w:marLeft w:val="0"/>
              <w:marRight w:val="0"/>
              <w:marTop w:val="0"/>
              <w:marBottom w:val="0"/>
              <w:divBdr>
                <w:top w:val="none" w:sz="0" w:space="0" w:color="auto"/>
                <w:left w:val="none" w:sz="0" w:space="0" w:color="auto"/>
                <w:bottom w:val="none" w:sz="0" w:space="0" w:color="auto"/>
                <w:right w:val="none" w:sz="0" w:space="0" w:color="auto"/>
              </w:divBdr>
              <w:divsChild>
                <w:div w:id="875854583">
                  <w:marLeft w:val="0"/>
                  <w:marRight w:val="0"/>
                  <w:marTop w:val="0"/>
                  <w:marBottom w:val="0"/>
                  <w:divBdr>
                    <w:top w:val="none" w:sz="0" w:space="0" w:color="auto"/>
                    <w:left w:val="none" w:sz="0" w:space="0" w:color="auto"/>
                    <w:bottom w:val="none" w:sz="0" w:space="0" w:color="auto"/>
                    <w:right w:val="none" w:sz="0" w:space="0" w:color="auto"/>
                  </w:divBdr>
                  <w:divsChild>
                    <w:div w:id="58600199">
                      <w:marLeft w:val="30"/>
                      <w:marRight w:val="30"/>
                      <w:marTop w:val="0"/>
                      <w:marBottom w:val="0"/>
                      <w:divBdr>
                        <w:top w:val="none" w:sz="0" w:space="0" w:color="auto"/>
                        <w:left w:val="none" w:sz="0" w:space="0" w:color="auto"/>
                        <w:bottom w:val="none" w:sz="0" w:space="0" w:color="auto"/>
                        <w:right w:val="none" w:sz="0" w:space="0" w:color="auto"/>
                      </w:divBdr>
                      <w:divsChild>
                        <w:div w:id="157884278">
                          <w:marLeft w:val="0"/>
                          <w:marRight w:val="90"/>
                          <w:marTop w:val="90"/>
                          <w:marBottom w:val="30"/>
                          <w:divBdr>
                            <w:top w:val="none" w:sz="0" w:space="0" w:color="auto"/>
                            <w:left w:val="none" w:sz="0" w:space="0" w:color="auto"/>
                            <w:bottom w:val="none" w:sz="0" w:space="0" w:color="auto"/>
                            <w:right w:val="none" w:sz="0" w:space="0" w:color="auto"/>
                          </w:divBdr>
                          <w:divsChild>
                            <w:div w:id="102848108">
                              <w:marLeft w:val="45"/>
                              <w:marRight w:val="0"/>
                              <w:marTop w:val="0"/>
                              <w:marBottom w:val="0"/>
                              <w:divBdr>
                                <w:top w:val="none" w:sz="0" w:space="0" w:color="auto"/>
                                <w:left w:val="none" w:sz="0" w:space="0" w:color="auto"/>
                                <w:bottom w:val="none" w:sz="0" w:space="0" w:color="auto"/>
                                <w:right w:val="none" w:sz="0" w:space="0" w:color="auto"/>
                              </w:divBdr>
                            </w:div>
                            <w:div w:id="434596736">
                              <w:marLeft w:val="0"/>
                              <w:marRight w:val="0"/>
                              <w:marTop w:val="0"/>
                              <w:marBottom w:val="0"/>
                              <w:divBdr>
                                <w:top w:val="none" w:sz="0" w:space="0" w:color="auto"/>
                                <w:left w:val="none" w:sz="0" w:space="0" w:color="auto"/>
                                <w:bottom w:val="none" w:sz="0" w:space="0" w:color="auto"/>
                                <w:right w:val="none" w:sz="0" w:space="0" w:color="auto"/>
                              </w:divBdr>
                              <w:divsChild>
                                <w:div w:id="1731952639">
                                  <w:marLeft w:val="0"/>
                                  <w:marRight w:val="0"/>
                                  <w:marTop w:val="0"/>
                                  <w:marBottom w:val="0"/>
                                  <w:divBdr>
                                    <w:top w:val="none" w:sz="0" w:space="0" w:color="auto"/>
                                    <w:left w:val="none" w:sz="0" w:space="0" w:color="auto"/>
                                    <w:bottom w:val="none" w:sz="0" w:space="0" w:color="auto"/>
                                    <w:right w:val="none" w:sz="0" w:space="0" w:color="auto"/>
                                  </w:divBdr>
                                  <w:divsChild>
                                    <w:div w:id="173231396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455107124">
                              <w:marLeft w:val="0"/>
                              <w:marRight w:val="30"/>
                              <w:marTop w:val="0"/>
                              <w:marBottom w:val="0"/>
                              <w:divBdr>
                                <w:top w:val="none" w:sz="0" w:space="0" w:color="auto"/>
                                <w:left w:val="none" w:sz="0" w:space="0" w:color="auto"/>
                                <w:bottom w:val="none" w:sz="0" w:space="0" w:color="auto"/>
                                <w:right w:val="none" w:sz="0" w:space="0" w:color="auto"/>
                              </w:divBdr>
                              <w:divsChild>
                                <w:div w:id="1014112826">
                                  <w:marLeft w:val="0"/>
                                  <w:marRight w:val="0"/>
                                  <w:marTop w:val="0"/>
                                  <w:marBottom w:val="0"/>
                                  <w:divBdr>
                                    <w:top w:val="none" w:sz="0" w:space="0" w:color="auto"/>
                                    <w:left w:val="none" w:sz="0" w:space="0" w:color="auto"/>
                                    <w:bottom w:val="none" w:sz="0" w:space="0" w:color="auto"/>
                                    <w:right w:val="none" w:sz="0" w:space="0" w:color="auto"/>
                                  </w:divBdr>
                                  <w:divsChild>
                                    <w:div w:id="1067992854">
                                      <w:marLeft w:val="0"/>
                                      <w:marRight w:val="0"/>
                                      <w:marTop w:val="0"/>
                                      <w:marBottom w:val="0"/>
                                      <w:divBdr>
                                        <w:top w:val="none" w:sz="0" w:space="0" w:color="auto"/>
                                        <w:left w:val="none" w:sz="0" w:space="0" w:color="auto"/>
                                        <w:bottom w:val="none" w:sz="0" w:space="0" w:color="auto"/>
                                        <w:right w:val="none" w:sz="0" w:space="0" w:color="auto"/>
                                      </w:divBdr>
                                      <w:divsChild>
                                        <w:div w:id="9071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40389">
                          <w:marLeft w:val="135"/>
                          <w:marRight w:val="45"/>
                          <w:marTop w:val="60"/>
                          <w:marBottom w:val="60"/>
                          <w:divBdr>
                            <w:top w:val="none" w:sz="0" w:space="0" w:color="auto"/>
                            <w:left w:val="none" w:sz="0" w:space="0" w:color="auto"/>
                            <w:bottom w:val="none" w:sz="0" w:space="0" w:color="auto"/>
                            <w:right w:val="none" w:sz="0" w:space="0" w:color="auto"/>
                          </w:divBdr>
                          <w:divsChild>
                            <w:div w:id="373194149">
                              <w:marLeft w:val="0"/>
                              <w:marRight w:val="0"/>
                              <w:marTop w:val="0"/>
                              <w:marBottom w:val="0"/>
                              <w:divBdr>
                                <w:top w:val="none" w:sz="0" w:space="0" w:color="auto"/>
                                <w:left w:val="none" w:sz="0" w:space="0" w:color="auto"/>
                                <w:bottom w:val="none" w:sz="0" w:space="0" w:color="auto"/>
                                <w:right w:val="none" w:sz="0" w:space="0" w:color="auto"/>
                              </w:divBdr>
                              <w:divsChild>
                                <w:div w:id="1878882867">
                                  <w:marLeft w:val="0"/>
                                  <w:marRight w:val="150"/>
                                  <w:marTop w:val="0"/>
                                  <w:marBottom w:val="0"/>
                                  <w:divBdr>
                                    <w:top w:val="none" w:sz="0" w:space="0" w:color="auto"/>
                                    <w:left w:val="none" w:sz="0" w:space="0" w:color="auto"/>
                                    <w:bottom w:val="none" w:sz="0" w:space="0" w:color="auto"/>
                                    <w:right w:val="none" w:sz="0" w:space="0" w:color="auto"/>
                                  </w:divBdr>
                                </w:div>
                                <w:div w:id="1995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04243">
                      <w:marLeft w:val="30"/>
                      <w:marRight w:val="30"/>
                      <w:marTop w:val="0"/>
                      <w:marBottom w:val="0"/>
                      <w:divBdr>
                        <w:top w:val="none" w:sz="0" w:space="0" w:color="auto"/>
                        <w:left w:val="none" w:sz="0" w:space="0" w:color="auto"/>
                        <w:bottom w:val="none" w:sz="0" w:space="0" w:color="auto"/>
                        <w:right w:val="none" w:sz="0" w:space="0" w:color="auto"/>
                      </w:divBdr>
                      <w:divsChild>
                        <w:div w:id="335351430">
                          <w:marLeft w:val="0"/>
                          <w:marRight w:val="90"/>
                          <w:marTop w:val="90"/>
                          <w:marBottom w:val="30"/>
                          <w:divBdr>
                            <w:top w:val="none" w:sz="0" w:space="0" w:color="auto"/>
                            <w:left w:val="none" w:sz="0" w:space="0" w:color="auto"/>
                            <w:bottom w:val="none" w:sz="0" w:space="0" w:color="auto"/>
                            <w:right w:val="none" w:sz="0" w:space="0" w:color="auto"/>
                          </w:divBdr>
                          <w:divsChild>
                            <w:div w:id="379745034">
                              <w:marLeft w:val="0"/>
                              <w:marRight w:val="30"/>
                              <w:marTop w:val="0"/>
                              <w:marBottom w:val="0"/>
                              <w:divBdr>
                                <w:top w:val="none" w:sz="0" w:space="0" w:color="auto"/>
                                <w:left w:val="none" w:sz="0" w:space="0" w:color="auto"/>
                                <w:bottom w:val="none" w:sz="0" w:space="0" w:color="auto"/>
                                <w:right w:val="none" w:sz="0" w:space="0" w:color="auto"/>
                              </w:divBdr>
                              <w:divsChild>
                                <w:div w:id="1389501336">
                                  <w:marLeft w:val="0"/>
                                  <w:marRight w:val="0"/>
                                  <w:marTop w:val="0"/>
                                  <w:marBottom w:val="0"/>
                                  <w:divBdr>
                                    <w:top w:val="none" w:sz="0" w:space="0" w:color="auto"/>
                                    <w:left w:val="none" w:sz="0" w:space="0" w:color="auto"/>
                                    <w:bottom w:val="none" w:sz="0" w:space="0" w:color="auto"/>
                                    <w:right w:val="none" w:sz="0" w:space="0" w:color="auto"/>
                                  </w:divBdr>
                                  <w:divsChild>
                                    <w:div w:id="1060784522">
                                      <w:marLeft w:val="0"/>
                                      <w:marRight w:val="0"/>
                                      <w:marTop w:val="0"/>
                                      <w:marBottom w:val="0"/>
                                      <w:divBdr>
                                        <w:top w:val="none" w:sz="0" w:space="0" w:color="auto"/>
                                        <w:left w:val="none" w:sz="0" w:space="0" w:color="auto"/>
                                        <w:bottom w:val="none" w:sz="0" w:space="0" w:color="auto"/>
                                        <w:right w:val="none" w:sz="0" w:space="0" w:color="auto"/>
                                      </w:divBdr>
                                      <w:divsChild>
                                        <w:div w:id="17468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75818">
                              <w:marLeft w:val="0"/>
                              <w:marRight w:val="0"/>
                              <w:marTop w:val="0"/>
                              <w:marBottom w:val="0"/>
                              <w:divBdr>
                                <w:top w:val="none" w:sz="0" w:space="0" w:color="auto"/>
                                <w:left w:val="none" w:sz="0" w:space="0" w:color="auto"/>
                                <w:bottom w:val="none" w:sz="0" w:space="0" w:color="auto"/>
                                <w:right w:val="none" w:sz="0" w:space="0" w:color="auto"/>
                              </w:divBdr>
                              <w:divsChild>
                                <w:div w:id="928585023">
                                  <w:marLeft w:val="0"/>
                                  <w:marRight w:val="0"/>
                                  <w:marTop w:val="0"/>
                                  <w:marBottom w:val="0"/>
                                  <w:divBdr>
                                    <w:top w:val="none" w:sz="0" w:space="0" w:color="auto"/>
                                    <w:left w:val="none" w:sz="0" w:space="0" w:color="auto"/>
                                    <w:bottom w:val="none" w:sz="0" w:space="0" w:color="auto"/>
                                    <w:right w:val="none" w:sz="0" w:space="0" w:color="auto"/>
                                  </w:divBdr>
                                  <w:divsChild>
                                    <w:div w:id="198385239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40846169">
                              <w:marLeft w:val="45"/>
                              <w:marRight w:val="0"/>
                              <w:marTop w:val="0"/>
                              <w:marBottom w:val="0"/>
                              <w:divBdr>
                                <w:top w:val="none" w:sz="0" w:space="0" w:color="auto"/>
                                <w:left w:val="none" w:sz="0" w:space="0" w:color="auto"/>
                                <w:bottom w:val="none" w:sz="0" w:space="0" w:color="auto"/>
                                <w:right w:val="none" w:sz="0" w:space="0" w:color="auto"/>
                              </w:divBdr>
                            </w:div>
                          </w:divsChild>
                        </w:div>
                        <w:div w:id="2085910289">
                          <w:marLeft w:val="135"/>
                          <w:marRight w:val="45"/>
                          <w:marTop w:val="60"/>
                          <w:marBottom w:val="60"/>
                          <w:divBdr>
                            <w:top w:val="none" w:sz="0" w:space="0" w:color="auto"/>
                            <w:left w:val="none" w:sz="0" w:space="0" w:color="auto"/>
                            <w:bottom w:val="none" w:sz="0" w:space="0" w:color="auto"/>
                            <w:right w:val="none" w:sz="0" w:space="0" w:color="auto"/>
                          </w:divBdr>
                          <w:divsChild>
                            <w:div w:id="619454563">
                              <w:marLeft w:val="0"/>
                              <w:marRight w:val="0"/>
                              <w:marTop w:val="0"/>
                              <w:marBottom w:val="0"/>
                              <w:divBdr>
                                <w:top w:val="none" w:sz="0" w:space="0" w:color="auto"/>
                                <w:left w:val="none" w:sz="0" w:space="0" w:color="auto"/>
                                <w:bottom w:val="none" w:sz="0" w:space="0" w:color="auto"/>
                                <w:right w:val="none" w:sz="0" w:space="0" w:color="auto"/>
                              </w:divBdr>
                              <w:divsChild>
                                <w:div w:id="845481535">
                                  <w:marLeft w:val="0"/>
                                  <w:marRight w:val="150"/>
                                  <w:marTop w:val="0"/>
                                  <w:marBottom w:val="0"/>
                                  <w:divBdr>
                                    <w:top w:val="none" w:sz="0" w:space="0" w:color="auto"/>
                                    <w:left w:val="none" w:sz="0" w:space="0" w:color="auto"/>
                                    <w:bottom w:val="none" w:sz="0" w:space="0" w:color="auto"/>
                                    <w:right w:val="none" w:sz="0" w:space="0" w:color="auto"/>
                                  </w:divBdr>
                                </w:div>
                                <w:div w:id="17197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09353">
                      <w:marLeft w:val="30"/>
                      <w:marRight w:val="30"/>
                      <w:marTop w:val="0"/>
                      <w:marBottom w:val="0"/>
                      <w:divBdr>
                        <w:top w:val="none" w:sz="0" w:space="0" w:color="auto"/>
                        <w:left w:val="none" w:sz="0" w:space="0" w:color="auto"/>
                        <w:bottom w:val="none" w:sz="0" w:space="0" w:color="auto"/>
                        <w:right w:val="none" w:sz="0" w:space="0" w:color="auto"/>
                      </w:divBdr>
                      <w:divsChild>
                        <w:div w:id="1508255049">
                          <w:marLeft w:val="180"/>
                          <w:marRight w:val="210"/>
                          <w:marTop w:val="0"/>
                          <w:marBottom w:val="30"/>
                          <w:divBdr>
                            <w:top w:val="none" w:sz="0" w:space="0" w:color="auto"/>
                            <w:left w:val="none" w:sz="0" w:space="0" w:color="auto"/>
                            <w:bottom w:val="none" w:sz="0" w:space="0" w:color="auto"/>
                            <w:right w:val="none" w:sz="0" w:space="0" w:color="auto"/>
                          </w:divBdr>
                          <w:divsChild>
                            <w:div w:id="1374883837">
                              <w:marLeft w:val="45"/>
                              <w:marRight w:val="0"/>
                              <w:marTop w:val="0"/>
                              <w:marBottom w:val="0"/>
                              <w:divBdr>
                                <w:top w:val="none" w:sz="0" w:space="0" w:color="auto"/>
                                <w:left w:val="none" w:sz="0" w:space="0" w:color="auto"/>
                                <w:bottom w:val="none" w:sz="0" w:space="0" w:color="auto"/>
                                <w:right w:val="none" w:sz="0" w:space="0" w:color="auto"/>
                              </w:divBdr>
                            </w:div>
                            <w:div w:id="2132744903">
                              <w:marLeft w:val="0"/>
                              <w:marRight w:val="30"/>
                              <w:marTop w:val="0"/>
                              <w:marBottom w:val="0"/>
                              <w:divBdr>
                                <w:top w:val="none" w:sz="0" w:space="0" w:color="auto"/>
                                <w:left w:val="none" w:sz="0" w:space="0" w:color="auto"/>
                                <w:bottom w:val="none" w:sz="0" w:space="0" w:color="auto"/>
                                <w:right w:val="none" w:sz="0" w:space="0" w:color="auto"/>
                              </w:divBdr>
                              <w:divsChild>
                                <w:div w:id="561840905">
                                  <w:marLeft w:val="0"/>
                                  <w:marRight w:val="0"/>
                                  <w:marTop w:val="0"/>
                                  <w:marBottom w:val="0"/>
                                  <w:divBdr>
                                    <w:top w:val="none" w:sz="0" w:space="0" w:color="auto"/>
                                    <w:left w:val="none" w:sz="0" w:space="0" w:color="auto"/>
                                    <w:bottom w:val="none" w:sz="0" w:space="0" w:color="auto"/>
                                    <w:right w:val="none" w:sz="0" w:space="0" w:color="auto"/>
                                  </w:divBdr>
                                  <w:divsChild>
                                    <w:div w:id="1952710760">
                                      <w:marLeft w:val="0"/>
                                      <w:marRight w:val="0"/>
                                      <w:marTop w:val="0"/>
                                      <w:marBottom w:val="0"/>
                                      <w:divBdr>
                                        <w:top w:val="none" w:sz="0" w:space="0" w:color="auto"/>
                                        <w:left w:val="none" w:sz="0" w:space="0" w:color="auto"/>
                                        <w:bottom w:val="none" w:sz="0" w:space="0" w:color="auto"/>
                                        <w:right w:val="none" w:sz="0" w:space="0" w:color="auto"/>
                                      </w:divBdr>
                                      <w:divsChild>
                                        <w:div w:id="21276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7302">
                      <w:marLeft w:val="30"/>
                      <w:marRight w:val="30"/>
                      <w:marTop w:val="0"/>
                      <w:marBottom w:val="0"/>
                      <w:divBdr>
                        <w:top w:val="none" w:sz="0" w:space="0" w:color="auto"/>
                        <w:left w:val="none" w:sz="0" w:space="0" w:color="auto"/>
                        <w:bottom w:val="none" w:sz="0" w:space="0" w:color="auto"/>
                        <w:right w:val="none" w:sz="0" w:space="0" w:color="auto"/>
                      </w:divBdr>
                      <w:divsChild>
                        <w:div w:id="622659185">
                          <w:marLeft w:val="135"/>
                          <w:marRight w:val="45"/>
                          <w:marTop w:val="60"/>
                          <w:marBottom w:val="60"/>
                          <w:divBdr>
                            <w:top w:val="none" w:sz="0" w:space="0" w:color="auto"/>
                            <w:left w:val="none" w:sz="0" w:space="0" w:color="auto"/>
                            <w:bottom w:val="none" w:sz="0" w:space="0" w:color="auto"/>
                            <w:right w:val="none" w:sz="0" w:space="0" w:color="auto"/>
                          </w:divBdr>
                          <w:divsChild>
                            <w:div w:id="152989304">
                              <w:marLeft w:val="0"/>
                              <w:marRight w:val="0"/>
                              <w:marTop w:val="0"/>
                              <w:marBottom w:val="0"/>
                              <w:divBdr>
                                <w:top w:val="none" w:sz="0" w:space="0" w:color="auto"/>
                                <w:left w:val="none" w:sz="0" w:space="0" w:color="auto"/>
                                <w:bottom w:val="none" w:sz="0" w:space="0" w:color="auto"/>
                                <w:right w:val="none" w:sz="0" w:space="0" w:color="auto"/>
                              </w:divBdr>
                              <w:divsChild>
                                <w:div w:id="242644597">
                                  <w:marLeft w:val="0"/>
                                  <w:marRight w:val="150"/>
                                  <w:marTop w:val="0"/>
                                  <w:marBottom w:val="0"/>
                                  <w:divBdr>
                                    <w:top w:val="none" w:sz="0" w:space="0" w:color="auto"/>
                                    <w:left w:val="none" w:sz="0" w:space="0" w:color="auto"/>
                                    <w:bottom w:val="none" w:sz="0" w:space="0" w:color="auto"/>
                                    <w:right w:val="none" w:sz="0" w:space="0" w:color="auto"/>
                                  </w:divBdr>
                                </w:div>
                                <w:div w:id="6516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1132">
                          <w:marLeft w:val="0"/>
                          <w:marRight w:val="90"/>
                          <w:marTop w:val="90"/>
                          <w:marBottom w:val="30"/>
                          <w:divBdr>
                            <w:top w:val="none" w:sz="0" w:space="0" w:color="auto"/>
                            <w:left w:val="none" w:sz="0" w:space="0" w:color="auto"/>
                            <w:bottom w:val="none" w:sz="0" w:space="0" w:color="auto"/>
                            <w:right w:val="none" w:sz="0" w:space="0" w:color="auto"/>
                          </w:divBdr>
                          <w:divsChild>
                            <w:div w:id="1142842467">
                              <w:marLeft w:val="0"/>
                              <w:marRight w:val="30"/>
                              <w:marTop w:val="0"/>
                              <w:marBottom w:val="0"/>
                              <w:divBdr>
                                <w:top w:val="none" w:sz="0" w:space="0" w:color="auto"/>
                                <w:left w:val="none" w:sz="0" w:space="0" w:color="auto"/>
                                <w:bottom w:val="none" w:sz="0" w:space="0" w:color="auto"/>
                                <w:right w:val="none" w:sz="0" w:space="0" w:color="auto"/>
                              </w:divBdr>
                              <w:divsChild>
                                <w:div w:id="1034501586">
                                  <w:marLeft w:val="0"/>
                                  <w:marRight w:val="0"/>
                                  <w:marTop w:val="0"/>
                                  <w:marBottom w:val="0"/>
                                  <w:divBdr>
                                    <w:top w:val="none" w:sz="0" w:space="0" w:color="auto"/>
                                    <w:left w:val="none" w:sz="0" w:space="0" w:color="auto"/>
                                    <w:bottom w:val="none" w:sz="0" w:space="0" w:color="auto"/>
                                    <w:right w:val="none" w:sz="0" w:space="0" w:color="auto"/>
                                  </w:divBdr>
                                  <w:divsChild>
                                    <w:div w:id="479427911">
                                      <w:marLeft w:val="0"/>
                                      <w:marRight w:val="0"/>
                                      <w:marTop w:val="0"/>
                                      <w:marBottom w:val="0"/>
                                      <w:divBdr>
                                        <w:top w:val="none" w:sz="0" w:space="0" w:color="auto"/>
                                        <w:left w:val="none" w:sz="0" w:space="0" w:color="auto"/>
                                        <w:bottom w:val="none" w:sz="0" w:space="0" w:color="auto"/>
                                        <w:right w:val="none" w:sz="0" w:space="0" w:color="auto"/>
                                      </w:divBdr>
                                      <w:divsChild>
                                        <w:div w:id="3182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2449">
                              <w:marLeft w:val="0"/>
                              <w:marRight w:val="0"/>
                              <w:marTop w:val="0"/>
                              <w:marBottom w:val="0"/>
                              <w:divBdr>
                                <w:top w:val="none" w:sz="0" w:space="0" w:color="auto"/>
                                <w:left w:val="none" w:sz="0" w:space="0" w:color="auto"/>
                                <w:bottom w:val="none" w:sz="0" w:space="0" w:color="auto"/>
                                <w:right w:val="none" w:sz="0" w:space="0" w:color="auto"/>
                              </w:divBdr>
                              <w:divsChild>
                                <w:div w:id="721904619">
                                  <w:marLeft w:val="0"/>
                                  <w:marRight w:val="0"/>
                                  <w:marTop w:val="0"/>
                                  <w:marBottom w:val="0"/>
                                  <w:divBdr>
                                    <w:top w:val="none" w:sz="0" w:space="0" w:color="auto"/>
                                    <w:left w:val="none" w:sz="0" w:space="0" w:color="auto"/>
                                    <w:bottom w:val="none" w:sz="0" w:space="0" w:color="auto"/>
                                    <w:right w:val="none" w:sz="0" w:space="0" w:color="auto"/>
                                  </w:divBdr>
                                  <w:divsChild>
                                    <w:div w:id="83180032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326831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04070">
      <w:bodyDiv w:val="1"/>
      <w:marLeft w:val="0"/>
      <w:marRight w:val="0"/>
      <w:marTop w:val="0"/>
      <w:marBottom w:val="0"/>
      <w:divBdr>
        <w:top w:val="none" w:sz="0" w:space="0" w:color="auto"/>
        <w:left w:val="none" w:sz="0" w:space="0" w:color="auto"/>
        <w:bottom w:val="none" w:sz="0" w:space="0" w:color="auto"/>
        <w:right w:val="none" w:sz="0" w:space="0" w:color="auto"/>
      </w:divBdr>
      <w:divsChild>
        <w:div w:id="86001489">
          <w:marLeft w:val="1166"/>
          <w:marRight w:val="0"/>
          <w:marTop w:val="0"/>
          <w:marBottom w:val="0"/>
          <w:divBdr>
            <w:top w:val="none" w:sz="0" w:space="0" w:color="auto"/>
            <w:left w:val="none" w:sz="0" w:space="0" w:color="auto"/>
            <w:bottom w:val="none" w:sz="0" w:space="0" w:color="auto"/>
            <w:right w:val="none" w:sz="0" w:space="0" w:color="auto"/>
          </w:divBdr>
        </w:div>
        <w:div w:id="261497330">
          <w:marLeft w:val="1886"/>
          <w:marRight w:val="0"/>
          <w:marTop w:val="0"/>
          <w:marBottom w:val="0"/>
          <w:divBdr>
            <w:top w:val="none" w:sz="0" w:space="0" w:color="auto"/>
            <w:left w:val="none" w:sz="0" w:space="0" w:color="auto"/>
            <w:bottom w:val="none" w:sz="0" w:space="0" w:color="auto"/>
            <w:right w:val="none" w:sz="0" w:space="0" w:color="auto"/>
          </w:divBdr>
        </w:div>
        <w:div w:id="345522714">
          <w:marLeft w:val="1886"/>
          <w:marRight w:val="0"/>
          <w:marTop w:val="0"/>
          <w:marBottom w:val="0"/>
          <w:divBdr>
            <w:top w:val="none" w:sz="0" w:space="0" w:color="auto"/>
            <w:left w:val="none" w:sz="0" w:space="0" w:color="auto"/>
            <w:bottom w:val="none" w:sz="0" w:space="0" w:color="auto"/>
            <w:right w:val="none" w:sz="0" w:space="0" w:color="auto"/>
          </w:divBdr>
        </w:div>
        <w:div w:id="624240282">
          <w:marLeft w:val="1166"/>
          <w:marRight w:val="0"/>
          <w:marTop w:val="0"/>
          <w:marBottom w:val="0"/>
          <w:divBdr>
            <w:top w:val="none" w:sz="0" w:space="0" w:color="auto"/>
            <w:left w:val="none" w:sz="0" w:space="0" w:color="auto"/>
            <w:bottom w:val="none" w:sz="0" w:space="0" w:color="auto"/>
            <w:right w:val="none" w:sz="0" w:space="0" w:color="auto"/>
          </w:divBdr>
        </w:div>
        <w:div w:id="810252555">
          <w:marLeft w:val="1166"/>
          <w:marRight w:val="0"/>
          <w:marTop w:val="0"/>
          <w:marBottom w:val="0"/>
          <w:divBdr>
            <w:top w:val="none" w:sz="0" w:space="0" w:color="auto"/>
            <w:left w:val="none" w:sz="0" w:space="0" w:color="auto"/>
            <w:bottom w:val="none" w:sz="0" w:space="0" w:color="auto"/>
            <w:right w:val="none" w:sz="0" w:space="0" w:color="auto"/>
          </w:divBdr>
        </w:div>
        <w:div w:id="840511896">
          <w:marLeft w:val="1166"/>
          <w:marRight w:val="0"/>
          <w:marTop w:val="0"/>
          <w:marBottom w:val="0"/>
          <w:divBdr>
            <w:top w:val="none" w:sz="0" w:space="0" w:color="auto"/>
            <w:left w:val="none" w:sz="0" w:space="0" w:color="auto"/>
            <w:bottom w:val="none" w:sz="0" w:space="0" w:color="auto"/>
            <w:right w:val="none" w:sz="0" w:space="0" w:color="auto"/>
          </w:divBdr>
        </w:div>
        <w:div w:id="1005788533">
          <w:marLeft w:val="1166"/>
          <w:marRight w:val="0"/>
          <w:marTop w:val="0"/>
          <w:marBottom w:val="0"/>
          <w:divBdr>
            <w:top w:val="none" w:sz="0" w:space="0" w:color="auto"/>
            <w:left w:val="none" w:sz="0" w:space="0" w:color="auto"/>
            <w:bottom w:val="none" w:sz="0" w:space="0" w:color="auto"/>
            <w:right w:val="none" w:sz="0" w:space="0" w:color="auto"/>
          </w:divBdr>
        </w:div>
        <w:div w:id="1290550490">
          <w:marLeft w:val="1886"/>
          <w:marRight w:val="0"/>
          <w:marTop w:val="0"/>
          <w:marBottom w:val="0"/>
          <w:divBdr>
            <w:top w:val="none" w:sz="0" w:space="0" w:color="auto"/>
            <w:left w:val="none" w:sz="0" w:space="0" w:color="auto"/>
            <w:bottom w:val="none" w:sz="0" w:space="0" w:color="auto"/>
            <w:right w:val="none" w:sz="0" w:space="0" w:color="auto"/>
          </w:divBdr>
        </w:div>
      </w:divsChild>
    </w:div>
    <w:div w:id="926617681">
      <w:bodyDiv w:val="1"/>
      <w:marLeft w:val="0"/>
      <w:marRight w:val="0"/>
      <w:marTop w:val="0"/>
      <w:marBottom w:val="0"/>
      <w:divBdr>
        <w:top w:val="none" w:sz="0" w:space="0" w:color="auto"/>
        <w:left w:val="none" w:sz="0" w:space="0" w:color="auto"/>
        <w:bottom w:val="none" w:sz="0" w:space="0" w:color="auto"/>
        <w:right w:val="none" w:sz="0" w:space="0" w:color="auto"/>
      </w:divBdr>
      <w:divsChild>
        <w:div w:id="1882671224">
          <w:marLeft w:val="0"/>
          <w:marRight w:val="0"/>
          <w:marTop w:val="0"/>
          <w:marBottom w:val="0"/>
          <w:divBdr>
            <w:top w:val="none" w:sz="0" w:space="0" w:color="auto"/>
            <w:left w:val="none" w:sz="0" w:space="0" w:color="auto"/>
            <w:bottom w:val="none" w:sz="0" w:space="0" w:color="auto"/>
            <w:right w:val="none" w:sz="0" w:space="0" w:color="auto"/>
          </w:divBdr>
        </w:div>
        <w:div w:id="2081443083">
          <w:marLeft w:val="0"/>
          <w:marRight w:val="0"/>
          <w:marTop w:val="0"/>
          <w:marBottom w:val="0"/>
          <w:divBdr>
            <w:top w:val="single" w:sz="2" w:space="0" w:color="D9D9E3"/>
            <w:left w:val="single" w:sz="2" w:space="0" w:color="D9D9E3"/>
            <w:bottom w:val="single" w:sz="2" w:space="0" w:color="D9D9E3"/>
            <w:right w:val="single" w:sz="2" w:space="0" w:color="D9D9E3"/>
          </w:divBdr>
          <w:divsChild>
            <w:div w:id="1694921015">
              <w:marLeft w:val="0"/>
              <w:marRight w:val="0"/>
              <w:marTop w:val="0"/>
              <w:marBottom w:val="0"/>
              <w:divBdr>
                <w:top w:val="single" w:sz="2" w:space="0" w:color="D9D9E3"/>
                <w:left w:val="single" w:sz="2" w:space="0" w:color="D9D9E3"/>
                <w:bottom w:val="single" w:sz="2" w:space="0" w:color="D9D9E3"/>
                <w:right w:val="single" w:sz="2" w:space="0" w:color="D9D9E3"/>
              </w:divBdr>
              <w:divsChild>
                <w:div w:id="249042388">
                  <w:marLeft w:val="0"/>
                  <w:marRight w:val="0"/>
                  <w:marTop w:val="0"/>
                  <w:marBottom w:val="0"/>
                  <w:divBdr>
                    <w:top w:val="single" w:sz="2" w:space="0" w:color="D9D9E3"/>
                    <w:left w:val="single" w:sz="2" w:space="0" w:color="D9D9E3"/>
                    <w:bottom w:val="single" w:sz="2" w:space="0" w:color="D9D9E3"/>
                    <w:right w:val="single" w:sz="2" w:space="0" w:color="D9D9E3"/>
                  </w:divBdr>
                  <w:divsChild>
                    <w:div w:id="405684412">
                      <w:marLeft w:val="0"/>
                      <w:marRight w:val="0"/>
                      <w:marTop w:val="0"/>
                      <w:marBottom w:val="0"/>
                      <w:divBdr>
                        <w:top w:val="single" w:sz="2" w:space="0" w:color="D9D9E3"/>
                        <w:left w:val="single" w:sz="2" w:space="0" w:color="D9D9E3"/>
                        <w:bottom w:val="single" w:sz="2" w:space="0" w:color="D9D9E3"/>
                        <w:right w:val="single" w:sz="2" w:space="0" w:color="D9D9E3"/>
                      </w:divBdr>
                      <w:divsChild>
                        <w:div w:id="593393970">
                          <w:marLeft w:val="0"/>
                          <w:marRight w:val="0"/>
                          <w:marTop w:val="0"/>
                          <w:marBottom w:val="0"/>
                          <w:divBdr>
                            <w:top w:val="single" w:sz="2" w:space="0" w:color="D9D9E3"/>
                            <w:left w:val="single" w:sz="2" w:space="0" w:color="D9D9E3"/>
                            <w:bottom w:val="single" w:sz="2" w:space="0" w:color="D9D9E3"/>
                            <w:right w:val="single" w:sz="2" w:space="0" w:color="D9D9E3"/>
                          </w:divBdr>
                          <w:divsChild>
                            <w:div w:id="1858886633">
                              <w:marLeft w:val="0"/>
                              <w:marRight w:val="0"/>
                              <w:marTop w:val="100"/>
                              <w:marBottom w:val="100"/>
                              <w:divBdr>
                                <w:top w:val="single" w:sz="2" w:space="0" w:color="D9D9E3"/>
                                <w:left w:val="single" w:sz="2" w:space="0" w:color="D9D9E3"/>
                                <w:bottom w:val="single" w:sz="2" w:space="0" w:color="D9D9E3"/>
                                <w:right w:val="single" w:sz="2" w:space="0" w:color="D9D9E3"/>
                              </w:divBdr>
                              <w:divsChild>
                                <w:div w:id="733165318">
                                  <w:marLeft w:val="0"/>
                                  <w:marRight w:val="0"/>
                                  <w:marTop w:val="0"/>
                                  <w:marBottom w:val="0"/>
                                  <w:divBdr>
                                    <w:top w:val="single" w:sz="2" w:space="0" w:color="D9D9E3"/>
                                    <w:left w:val="single" w:sz="2" w:space="0" w:color="D9D9E3"/>
                                    <w:bottom w:val="single" w:sz="2" w:space="0" w:color="D9D9E3"/>
                                    <w:right w:val="single" w:sz="2" w:space="0" w:color="D9D9E3"/>
                                  </w:divBdr>
                                  <w:divsChild>
                                    <w:div w:id="1741712956">
                                      <w:marLeft w:val="0"/>
                                      <w:marRight w:val="0"/>
                                      <w:marTop w:val="0"/>
                                      <w:marBottom w:val="0"/>
                                      <w:divBdr>
                                        <w:top w:val="single" w:sz="2" w:space="0" w:color="D9D9E3"/>
                                        <w:left w:val="single" w:sz="2" w:space="0" w:color="D9D9E3"/>
                                        <w:bottom w:val="single" w:sz="2" w:space="0" w:color="D9D9E3"/>
                                        <w:right w:val="single" w:sz="2" w:space="0" w:color="D9D9E3"/>
                                      </w:divBdr>
                                      <w:divsChild>
                                        <w:div w:id="76172990">
                                          <w:marLeft w:val="0"/>
                                          <w:marRight w:val="0"/>
                                          <w:marTop w:val="0"/>
                                          <w:marBottom w:val="0"/>
                                          <w:divBdr>
                                            <w:top w:val="single" w:sz="2" w:space="0" w:color="D9D9E3"/>
                                            <w:left w:val="single" w:sz="2" w:space="0" w:color="D9D9E3"/>
                                            <w:bottom w:val="single" w:sz="2" w:space="0" w:color="D9D9E3"/>
                                            <w:right w:val="single" w:sz="2" w:space="0" w:color="D9D9E3"/>
                                          </w:divBdr>
                                          <w:divsChild>
                                            <w:div w:id="1415971527">
                                              <w:marLeft w:val="0"/>
                                              <w:marRight w:val="0"/>
                                              <w:marTop w:val="0"/>
                                              <w:marBottom w:val="0"/>
                                              <w:divBdr>
                                                <w:top w:val="single" w:sz="2" w:space="0" w:color="D9D9E3"/>
                                                <w:left w:val="single" w:sz="2" w:space="0" w:color="D9D9E3"/>
                                                <w:bottom w:val="single" w:sz="2" w:space="0" w:color="D9D9E3"/>
                                                <w:right w:val="single" w:sz="2" w:space="0" w:color="D9D9E3"/>
                                              </w:divBdr>
                                              <w:divsChild>
                                                <w:div w:id="222643564">
                                                  <w:marLeft w:val="0"/>
                                                  <w:marRight w:val="0"/>
                                                  <w:marTop w:val="0"/>
                                                  <w:marBottom w:val="0"/>
                                                  <w:divBdr>
                                                    <w:top w:val="single" w:sz="2" w:space="0" w:color="D9D9E3"/>
                                                    <w:left w:val="single" w:sz="2" w:space="0" w:color="D9D9E3"/>
                                                    <w:bottom w:val="single" w:sz="2" w:space="0" w:color="D9D9E3"/>
                                                    <w:right w:val="single" w:sz="2" w:space="0" w:color="D9D9E3"/>
                                                  </w:divBdr>
                                                  <w:divsChild>
                                                    <w:div w:id="1033309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48513063">
      <w:bodyDiv w:val="1"/>
      <w:marLeft w:val="0"/>
      <w:marRight w:val="0"/>
      <w:marTop w:val="0"/>
      <w:marBottom w:val="0"/>
      <w:divBdr>
        <w:top w:val="none" w:sz="0" w:space="0" w:color="auto"/>
        <w:left w:val="none" w:sz="0" w:space="0" w:color="auto"/>
        <w:bottom w:val="none" w:sz="0" w:space="0" w:color="auto"/>
        <w:right w:val="none" w:sz="0" w:space="0" w:color="auto"/>
      </w:divBdr>
      <w:divsChild>
        <w:div w:id="466320755">
          <w:marLeft w:val="0"/>
          <w:marRight w:val="0"/>
          <w:marTop w:val="0"/>
          <w:marBottom w:val="0"/>
          <w:divBdr>
            <w:top w:val="none" w:sz="0" w:space="0" w:color="auto"/>
            <w:left w:val="none" w:sz="0" w:space="0" w:color="auto"/>
            <w:bottom w:val="none" w:sz="0" w:space="0" w:color="auto"/>
            <w:right w:val="none" w:sz="0" w:space="0" w:color="auto"/>
          </w:divBdr>
          <w:divsChild>
            <w:div w:id="1080711045">
              <w:marLeft w:val="210"/>
              <w:marRight w:val="0"/>
              <w:marTop w:val="120"/>
              <w:marBottom w:val="0"/>
              <w:divBdr>
                <w:top w:val="none" w:sz="0" w:space="0" w:color="auto"/>
                <w:left w:val="none" w:sz="0" w:space="0" w:color="auto"/>
                <w:bottom w:val="none" w:sz="0" w:space="0" w:color="auto"/>
                <w:right w:val="none" w:sz="0" w:space="0" w:color="auto"/>
              </w:divBdr>
              <w:divsChild>
                <w:div w:id="193228392">
                  <w:marLeft w:val="0"/>
                  <w:marRight w:val="0"/>
                  <w:marTop w:val="0"/>
                  <w:marBottom w:val="0"/>
                  <w:divBdr>
                    <w:top w:val="none" w:sz="0" w:space="0" w:color="auto"/>
                    <w:left w:val="none" w:sz="0" w:space="0" w:color="auto"/>
                    <w:bottom w:val="none" w:sz="0" w:space="0" w:color="auto"/>
                    <w:right w:val="none" w:sz="0" w:space="0" w:color="auto"/>
                  </w:divBdr>
                  <w:divsChild>
                    <w:div w:id="97722535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77777714">
          <w:marLeft w:val="0"/>
          <w:marRight w:val="0"/>
          <w:marTop w:val="0"/>
          <w:marBottom w:val="0"/>
          <w:divBdr>
            <w:top w:val="none" w:sz="0" w:space="0" w:color="auto"/>
            <w:left w:val="none" w:sz="0" w:space="0" w:color="auto"/>
            <w:bottom w:val="none" w:sz="0" w:space="0" w:color="auto"/>
            <w:right w:val="none" w:sz="0" w:space="0" w:color="auto"/>
          </w:divBdr>
          <w:divsChild>
            <w:div w:id="1844008489">
              <w:marLeft w:val="0"/>
              <w:marRight w:val="0"/>
              <w:marTop w:val="0"/>
              <w:marBottom w:val="0"/>
              <w:divBdr>
                <w:top w:val="none" w:sz="0" w:space="0" w:color="auto"/>
                <w:left w:val="none" w:sz="0" w:space="0" w:color="auto"/>
                <w:bottom w:val="none" w:sz="0" w:space="0" w:color="auto"/>
                <w:right w:val="none" w:sz="0" w:space="0" w:color="auto"/>
              </w:divBdr>
              <w:divsChild>
                <w:div w:id="1839274796">
                  <w:marLeft w:val="0"/>
                  <w:marRight w:val="0"/>
                  <w:marTop w:val="0"/>
                  <w:marBottom w:val="0"/>
                  <w:divBdr>
                    <w:top w:val="none" w:sz="0" w:space="0" w:color="auto"/>
                    <w:left w:val="none" w:sz="0" w:space="0" w:color="auto"/>
                    <w:bottom w:val="none" w:sz="0" w:space="0" w:color="auto"/>
                    <w:right w:val="none" w:sz="0" w:space="0" w:color="auto"/>
                  </w:divBdr>
                  <w:divsChild>
                    <w:div w:id="164563097">
                      <w:marLeft w:val="30"/>
                      <w:marRight w:val="30"/>
                      <w:marTop w:val="0"/>
                      <w:marBottom w:val="0"/>
                      <w:divBdr>
                        <w:top w:val="none" w:sz="0" w:space="0" w:color="auto"/>
                        <w:left w:val="none" w:sz="0" w:space="0" w:color="auto"/>
                        <w:bottom w:val="none" w:sz="0" w:space="0" w:color="auto"/>
                        <w:right w:val="none" w:sz="0" w:space="0" w:color="auto"/>
                      </w:divBdr>
                      <w:divsChild>
                        <w:div w:id="789321706">
                          <w:marLeft w:val="180"/>
                          <w:marRight w:val="210"/>
                          <w:marTop w:val="0"/>
                          <w:marBottom w:val="30"/>
                          <w:divBdr>
                            <w:top w:val="none" w:sz="0" w:space="0" w:color="auto"/>
                            <w:left w:val="none" w:sz="0" w:space="0" w:color="auto"/>
                            <w:bottom w:val="none" w:sz="0" w:space="0" w:color="auto"/>
                            <w:right w:val="none" w:sz="0" w:space="0" w:color="auto"/>
                          </w:divBdr>
                          <w:divsChild>
                            <w:div w:id="1630283623">
                              <w:marLeft w:val="45"/>
                              <w:marRight w:val="0"/>
                              <w:marTop w:val="0"/>
                              <w:marBottom w:val="0"/>
                              <w:divBdr>
                                <w:top w:val="none" w:sz="0" w:space="0" w:color="auto"/>
                                <w:left w:val="none" w:sz="0" w:space="0" w:color="auto"/>
                                <w:bottom w:val="none" w:sz="0" w:space="0" w:color="auto"/>
                                <w:right w:val="none" w:sz="0" w:space="0" w:color="auto"/>
                              </w:divBdr>
                            </w:div>
                            <w:div w:id="1937203316">
                              <w:marLeft w:val="0"/>
                              <w:marRight w:val="30"/>
                              <w:marTop w:val="0"/>
                              <w:marBottom w:val="0"/>
                              <w:divBdr>
                                <w:top w:val="none" w:sz="0" w:space="0" w:color="auto"/>
                                <w:left w:val="none" w:sz="0" w:space="0" w:color="auto"/>
                                <w:bottom w:val="none" w:sz="0" w:space="0" w:color="auto"/>
                                <w:right w:val="none" w:sz="0" w:space="0" w:color="auto"/>
                              </w:divBdr>
                              <w:divsChild>
                                <w:div w:id="821313183">
                                  <w:marLeft w:val="0"/>
                                  <w:marRight w:val="0"/>
                                  <w:marTop w:val="0"/>
                                  <w:marBottom w:val="0"/>
                                  <w:divBdr>
                                    <w:top w:val="none" w:sz="0" w:space="0" w:color="auto"/>
                                    <w:left w:val="none" w:sz="0" w:space="0" w:color="auto"/>
                                    <w:bottom w:val="none" w:sz="0" w:space="0" w:color="auto"/>
                                    <w:right w:val="none" w:sz="0" w:space="0" w:color="auto"/>
                                  </w:divBdr>
                                  <w:divsChild>
                                    <w:div w:id="2096201721">
                                      <w:marLeft w:val="0"/>
                                      <w:marRight w:val="0"/>
                                      <w:marTop w:val="0"/>
                                      <w:marBottom w:val="0"/>
                                      <w:divBdr>
                                        <w:top w:val="none" w:sz="0" w:space="0" w:color="auto"/>
                                        <w:left w:val="none" w:sz="0" w:space="0" w:color="auto"/>
                                        <w:bottom w:val="none" w:sz="0" w:space="0" w:color="auto"/>
                                        <w:right w:val="none" w:sz="0" w:space="0" w:color="auto"/>
                                      </w:divBdr>
                                      <w:divsChild>
                                        <w:div w:id="10795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560601">
      <w:bodyDiv w:val="1"/>
      <w:marLeft w:val="0"/>
      <w:marRight w:val="0"/>
      <w:marTop w:val="0"/>
      <w:marBottom w:val="0"/>
      <w:divBdr>
        <w:top w:val="none" w:sz="0" w:space="0" w:color="auto"/>
        <w:left w:val="none" w:sz="0" w:space="0" w:color="auto"/>
        <w:bottom w:val="none" w:sz="0" w:space="0" w:color="auto"/>
        <w:right w:val="none" w:sz="0" w:space="0" w:color="auto"/>
      </w:divBdr>
    </w:div>
    <w:div w:id="960038951">
      <w:bodyDiv w:val="1"/>
      <w:marLeft w:val="0"/>
      <w:marRight w:val="0"/>
      <w:marTop w:val="0"/>
      <w:marBottom w:val="0"/>
      <w:divBdr>
        <w:top w:val="none" w:sz="0" w:space="0" w:color="auto"/>
        <w:left w:val="none" w:sz="0" w:space="0" w:color="auto"/>
        <w:bottom w:val="none" w:sz="0" w:space="0" w:color="auto"/>
        <w:right w:val="none" w:sz="0" w:space="0" w:color="auto"/>
      </w:divBdr>
    </w:div>
    <w:div w:id="970523005">
      <w:bodyDiv w:val="1"/>
      <w:marLeft w:val="0"/>
      <w:marRight w:val="0"/>
      <w:marTop w:val="0"/>
      <w:marBottom w:val="0"/>
      <w:divBdr>
        <w:top w:val="none" w:sz="0" w:space="0" w:color="auto"/>
        <w:left w:val="none" w:sz="0" w:space="0" w:color="auto"/>
        <w:bottom w:val="none" w:sz="0" w:space="0" w:color="auto"/>
        <w:right w:val="none" w:sz="0" w:space="0" w:color="auto"/>
      </w:divBdr>
      <w:divsChild>
        <w:div w:id="93062974">
          <w:marLeft w:val="0"/>
          <w:marRight w:val="30"/>
          <w:marTop w:val="0"/>
          <w:marBottom w:val="0"/>
          <w:divBdr>
            <w:top w:val="none" w:sz="0" w:space="0" w:color="auto"/>
            <w:left w:val="none" w:sz="0" w:space="0" w:color="auto"/>
            <w:bottom w:val="none" w:sz="0" w:space="0" w:color="auto"/>
            <w:right w:val="none" w:sz="0" w:space="0" w:color="auto"/>
          </w:divBdr>
          <w:divsChild>
            <w:div w:id="229968350">
              <w:marLeft w:val="0"/>
              <w:marRight w:val="0"/>
              <w:marTop w:val="0"/>
              <w:marBottom w:val="0"/>
              <w:divBdr>
                <w:top w:val="none" w:sz="0" w:space="0" w:color="auto"/>
                <w:left w:val="none" w:sz="0" w:space="0" w:color="auto"/>
                <w:bottom w:val="none" w:sz="0" w:space="0" w:color="auto"/>
                <w:right w:val="none" w:sz="0" w:space="0" w:color="auto"/>
              </w:divBdr>
              <w:divsChild>
                <w:div w:id="1560096695">
                  <w:marLeft w:val="0"/>
                  <w:marRight w:val="0"/>
                  <w:marTop w:val="0"/>
                  <w:marBottom w:val="0"/>
                  <w:divBdr>
                    <w:top w:val="none" w:sz="0" w:space="0" w:color="auto"/>
                    <w:left w:val="none" w:sz="0" w:space="0" w:color="auto"/>
                    <w:bottom w:val="none" w:sz="0" w:space="0" w:color="auto"/>
                    <w:right w:val="none" w:sz="0" w:space="0" w:color="auto"/>
                  </w:divBdr>
                  <w:divsChild>
                    <w:div w:id="17721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8972">
          <w:marLeft w:val="45"/>
          <w:marRight w:val="0"/>
          <w:marTop w:val="0"/>
          <w:marBottom w:val="0"/>
          <w:divBdr>
            <w:top w:val="none" w:sz="0" w:space="0" w:color="auto"/>
            <w:left w:val="none" w:sz="0" w:space="0" w:color="auto"/>
            <w:bottom w:val="none" w:sz="0" w:space="0" w:color="auto"/>
            <w:right w:val="none" w:sz="0" w:space="0" w:color="auto"/>
          </w:divBdr>
        </w:div>
      </w:divsChild>
    </w:div>
    <w:div w:id="973483829">
      <w:bodyDiv w:val="1"/>
      <w:marLeft w:val="0"/>
      <w:marRight w:val="0"/>
      <w:marTop w:val="0"/>
      <w:marBottom w:val="0"/>
      <w:divBdr>
        <w:top w:val="none" w:sz="0" w:space="0" w:color="auto"/>
        <w:left w:val="none" w:sz="0" w:space="0" w:color="auto"/>
        <w:bottom w:val="none" w:sz="0" w:space="0" w:color="auto"/>
        <w:right w:val="none" w:sz="0" w:space="0" w:color="auto"/>
      </w:divBdr>
      <w:divsChild>
        <w:div w:id="479343588">
          <w:marLeft w:val="0"/>
          <w:marRight w:val="0"/>
          <w:marTop w:val="0"/>
          <w:marBottom w:val="0"/>
          <w:divBdr>
            <w:top w:val="none" w:sz="0" w:space="0" w:color="auto"/>
            <w:left w:val="none" w:sz="0" w:space="0" w:color="auto"/>
            <w:bottom w:val="none" w:sz="0" w:space="0" w:color="auto"/>
            <w:right w:val="none" w:sz="0" w:space="0" w:color="auto"/>
          </w:divBdr>
          <w:divsChild>
            <w:div w:id="1016227581">
              <w:marLeft w:val="0"/>
              <w:marRight w:val="0"/>
              <w:marTop w:val="0"/>
              <w:marBottom w:val="0"/>
              <w:divBdr>
                <w:top w:val="none" w:sz="0" w:space="0" w:color="auto"/>
                <w:left w:val="none" w:sz="0" w:space="0" w:color="auto"/>
                <w:bottom w:val="none" w:sz="0" w:space="0" w:color="auto"/>
                <w:right w:val="none" w:sz="0" w:space="0" w:color="auto"/>
              </w:divBdr>
              <w:divsChild>
                <w:div w:id="651834530">
                  <w:marLeft w:val="0"/>
                  <w:marRight w:val="0"/>
                  <w:marTop w:val="0"/>
                  <w:marBottom w:val="0"/>
                  <w:divBdr>
                    <w:top w:val="none" w:sz="0" w:space="0" w:color="auto"/>
                    <w:left w:val="none" w:sz="0" w:space="0" w:color="auto"/>
                    <w:bottom w:val="none" w:sz="0" w:space="0" w:color="auto"/>
                    <w:right w:val="none" w:sz="0" w:space="0" w:color="auto"/>
                  </w:divBdr>
                  <w:divsChild>
                    <w:div w:id="230653692">
                      <w:marLeft w:val="30"/>
                      <w:marRight w:val="30"/>
                      <w:marTop w:val="0"/>
                      <w:marBottom w:val="0"/>
                      <w:divBdr>
                        <w:top w:val="none" w:sz="0" w:space="0" w:color="auto"/>
                        <w:left w:val="none" w:sz="0" w:space="0" w:color="auto"/>
                        <w:bottom w:val="none" w:sz="0" w:space="0" w:color="auto"/>
                        <w:right w:val="none" w:sz="0" w:space="0" w:color="auto"/>
                      </w:divBdr>
                      <w:divsChild>
                        <w:div w:id="1833520968">
                          <w:marLeft w:val="180"/>
                          <w:marRight w:val="210"/>
                          <w:marTop w:val="0"/>
                          <w:marBottom w:val="30"/>
                          <w:divBdr>
                            <w:top w:val="none" w:sz="0" w:space="0" w:color="auto"/>
                            <w:left w:val="none" w:sz="0" w:space="0" w:color="auto"/>
                            <w:bottom w:val="none" w:sz="0" w:space="0" w:color="auto"/>
                            <w:right w:val="none" w:sz="0" w:space="0" w:color="auto"/>
                          </w:divBdr>
                          <w:divsChild>
                            <w:div w:id="990014440">
                              <w:marLeft w:val="0"/>
                              <w:marRight w:val="30"/>
                              <w:marTop w:val="0"/>
                              <w:marBottom w:val="0"/>
                              <w:divBdr>
                                <w:top w:val="none" w:sz="0" w:space="0" w:color="auto"/>
                                <w:left w:val="none" w:sz="0" w:space="0" w:color="auto"/>
                                <w:bottom w:val="none" w:sz="0" w:space="0" w:color="auto"/>
                                <w:right w:val="none" w:sz="0" w:space="0" w:color="auto"/>
                              </w:divBdr>
                              <w:divsChild>
                                <w:div w:id="344406105">
                                  <w:marLeft w:val="0"/>
                                  <w:marRight w:val="0"/>
                                  <w:marTop w:val="0"/>
                                  <w:marBottom w:val="0"/>
                                  <w:divBdr>
                                    <w:top w:val="none" w:sz="0" w:space="0" w:color="auto"/>
                                    <w:left w:val="none" w:sz="0" w:space="0" w:color="auto"/>
                                    <w:bottom w:val="none" w:sz="0" w:space="0" w:color="auto"/>
                                    <w:right w:val="none" w:sz="0" w:space="0" w:color="auto"/>
                                  </w:divBdr>
                                  <w:divsChild>
                                    <w:div w:id="901252437">
                                      <w:marLeft w:val="0"/>
                                      <w:marRight w:val="0"/>
                                      <w:marTop w:val="0"/>
                                      <w:marBottom w:val="0"/>
                                      <w:divBdr>
                                        <w:top w:val="none" w:sz="0" w:space="0" w:color="auto"/>
                                        <w:left w:val="none" w:sz="0" w:space="0" w:color="auto"/>
                                        <w:bottom w:val="none" w:sz="0" w:space="0" w:color="auto"/>
                                        <w:right w:val="none" w:sz="0" w:space="0" w:color="auto"/>
                                      </w:divBdr>
                                      <w:divsChild>
                                        <w:div w:id="16774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116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7189">
          <w:marLeft w:val="0"/>
          <w:marRight w:val="0"/>
          <w:marTop w:val="0"/>
          <w:marBottom w:val="0"/>
          <w:divBdr>
            <w:top w:val="none" w:sz="0" w:space="0" w:color="auto"/>
            <w:left w:val="none" w:sz="0" w:space="0" w:color="auto"/>
            <w:bottom w:val="none" w:sz="0" w:space="0" w:color="auto"/>
            <w:right w:val="none" w:sz="0" w:space="0" w:color="auto"/>
          </w:divBdr>
          <w:divsChild>
            <w:div w:id="1600605141">
              <w:marLeft w:val="210"/>
              <w:marRight w:val="0"/>
              <w:marTop w:val="120"/>
              <w:marBottom w:val="0"/>
              <w:divBdr>
                <w:top w:val="none" w:sz="0" w:space="0" w:color="auto"/>
                <w:left w:val="none" w:sz="0" w:space="0" w:color="auto"/>
                <w:bottom w:val="none" w:sz="0" w:space="0" w:color="auto"/>
                <w:right w:val="none" w:sz="0" w:space="0" w:color="auto"/>
              </w:divBdr>
              <w:divsChild>
                <w:div w:id="1992248948">
                  <w:marLeft w:val="0"/>
                  <w:marRight w:val="0"/>
                  <w:marTop w:val="0"/>
                  <w:marBottom w:val="0"/>
                  <w:divBdr>
                    <w:top w:val="none" w:sz="0" w:space="0" w:color="auto"/>
                    <w:left w:val="none" w:sz="0" w:space="0" w:color="auto"/>
                    <w:bottom w:val="none" w:sz="0" w:space="0" w:color="auto"/>
                    <w:right w:val="none" w:sz="0" w:space="0" w:color="auto"/>
                  </w:divBdr>
                  <w:divsChild>
                    <w:div w:id="90086793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975796063">
      <w:bodyDiv w:val="1"/>
      <w:marLeft w:val="0"/>
      <w:marRight w:val="0"/>
      <w:marTop w:val="0"/>
      <w:marBottom w:val="0"/>
      <w:divBdr>
        <w:top w:val="none" w:sz="0" w:space="0" w:color="auto"/>
        <w:left w:val="none" w:sz="0" w:space="0" w:color="auto"/>
        <w:bottom w:val="none" w:sz="0" w:space="0" w:color="auto"/>
        <w:right w:val="none" w:sz="0" w:space="0" w:color="auto"/>
      </w:divBdr>
      <w:divsChild>
        <w:div w:id="643654748">
          <w:marLeft w:val="0"/>
          <w:marRight w:val="0"/>
          <w:marTop w:val="0"/>
          <w:marBottom w:val="0"/>
          <w:divBdr>
            <w:top w:val="none" w:sz="0" w:space="0" w:color="auto"/>
            <w:left w:val="none" w:sz="0" w:space="0" w:color="auto"/>
            <w:bottom w:val="none" w:sz="0" w:space="0" w:color="auto"/>
            <w:right w:val="none" w:sz="0" w:space="0" w:color="auto"/>
          </w:divBdr>
          <w:divsChild>
            <w:div w:id="1888029628">
              <w:marLeft w:val="0"/>
              <w:marRight w:val="0"/>
              <w:marTop w:val="0"/>
              <w:marBottom w:val="0"/>
              <w:divBdr>
                <w:top w:val="none" w:sz="0" w:space="0" w:color="auto"/>
                <w:left w:val="none" w:sz="0" w:space="0" w:color="auto"/>
                <w:bottom w:val="none" w:sz="0" w:space="0" w:color="auto"/>
                <w:right w:val="none" w:sz="0" w:space="0" w:color="auto"/>
              </w:divBdr>
              <w:divsChild>
                <w:div w:id="888758442">
                  <w:marLeft w:val="0"/>
                  <w:marRight w:val="0"/>
                  <w:marTop w:val="0"/>
                  <w:marBottom w:val="0"/>
                  <w:divBdr>
                    <w:top w:val="none" w:sz="0" w:space="0" w:color="auto"/>
                    <w:left w:val="none" w:sz="0" w:space="0" w:color="auto"/>
                    <w:bottom w:val="none" w:sz="0" w:space="0" w:color="auto"/>
                    <w:right w:val="none" w:sz="0" w:space="0" w:color="auto"/>
                  </w:divBdr>
                  <w:divsChild>
                    <w:div w:id="1567764825">
                      <w:marLeft w:val="30"/>
                      <w:marRight w:val="30"/>
                      <w:marTop w:val="0"/>
                      <w:marBottom w:val="0"/>
                      <w:divBdr>
                        <w:top w:val="none" w:sz="0" w:space="0" w:color="auto"/>
                        <w:left w:val="none" w:sz="0" w:space="0" w:color="auto"/>
                        <w:bottom w:val="none" w:sz="0" w:space="0" w:color="auto"/>
                        <w:right w:val="none" w:sz="0" w:space="0" w:color="auto"/>
                      </w:divBdr>
                      <w:divsChild>
                        <w:div w:id="1336375697">
                          <w:marLeft w:val="0"/>
                          <w:marRight w:val="90"/>
                          <w:marTop w:val="90"/>
                          <w:marBottom w:val="30"/>
                          <w:divBdr>
                            <w:top w:val="none" w:sz="0" w:space="0" w:color="auto"/>
                            <w:left w:val="none" w:sz="0" w:space="0" w:color="auto"/>
                            <w:bottom w:val="none" w:sz="0" w:space="0" w:color="auto"/>
                            <w:right w:val="none" w:sz="0" w:space="0" w:color="auto"/>
                          </w:divBdr>
                          <w:divsChild>
                            <w:div w:id="797066180">
                              <w:marLeft w:val="45"/>
                              <w:marRight w:val="0"/>
                              <w:marTop w:val="0"/>
                              <w:marBottom w:val="0"/>
                              <w:divBdr>
                                <w:top w:val="none" w:sz="0" w:space="0" w:color="auto"/>
                                <w:left w:val="none" w:sz="0" w:space="0" w:color="auto"/>
                                <w:bottom w:val="none" w:sz="0" w:space="0" w:color="auto"/>
                                <w:right w:val="none" w:sz="0" w:space="0" w:color="auto"/>
                              </w:divBdr>
                            </w:div>
                            <w:div w:id="1434402414">
                              <w:marLeft w:val="0"/>
                              <w:marRight w:val="30"/>
                              <w:marTop w:val="0"/>
                              <w:marBottom w:val="0"/>
                              <w:divBdr>
                                <w:top w:val="none" w:sz="0" w:space="0" w:color="auto"/>
                                <w:left w:val="none" w:sz="0" w:space="0" w:color="auto"/>
                                <w:bottom w:val="none" w:sz="0" w:space="0" w:color="auto"/>
                                <w:right w:val="none" w:sz="0" w:space="0" w:color="auto"/>
                              </w:divBdr>
                              <w:divsChild>
                                <w:div w:id="54014605">
                                  <w:marLeft w:val="0"/>
                                  <w:marRight w:val="0"/>
                                  <w:marTop w:val="0"/>
                                  <w:marBottom w:val="0"/>
                                  <w:divBdr>
                                    <w:top w:val="none" w:sz="0" w:space="0" w:color="auto"/>
                                    <w:left w:val="none" w:sz="0" w:space="0" w:color="auto"/>
                                    <w:bottom w:val="none" w:sz="0" w:space="0" w:color="auto"/>
                                    <w:right w:val="none" w:sz="0" w:space="0" w:color="auto"/>
                                  </w:divBdr>
                                  <w:divsChild>
                                    <w:div w:id="1502504113">
                                      <w:marLeft w:val="0"/>
                                      <w:marRight w:val="0"/>
                                      <w:marTop w:val="0"/>
                                      <w:marBottom w:val="0"/>
                                      <w:divBdr>
                                        <w:top w:val="none" w:sz="0" w:space="0" w:color="auto"/>
                                        <w:left w:val="none" w:sz="0" w:space="0" w:color="auto"/>
                                        <w:bottom w:val="none" w:sz="0" w:space="0" w:color="auto"/>
                                        <w:right w:val="none" w:sz="0" w:space="0" w:color="auto"/>
                                      </w:divBdr>
                                      <w:divsChild>
                                        <w:div w:id="13183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3675">
                              <w:marLeft w:val="0"/>
                              <w:marRight w:val="0"/>
                              <w:marTop w:val="0"/>
                              <w:marBottom w:val="0"/>
                              <w:divBdr>
                                <w:top w:val="none" w:sz="0" w:space="0" w:color="auto"/>
                                <w:left w:val="none" w:sz="0" w:space="0" w:color="auto"/>
                                <w:bottom w:val="none" w:sz="0" w:space="0" w:color="auto"/>
                                <w:right w:val="none" w:sz="0" w:space="0" w:color="auto"/>
                              </w:divBdr>
                              <w:divsChild>
                                <w:div w:id="104525710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989628575">
                          <w:marLeft w:val="135"/>
                          <w:marRight w:val="45"/>
                          <w:marTop w:val="60"/>
                          <w:marBottom w:val="60"/>
                          <w:divBdr>
                            <w:top w:val="none" w:sz="0" w:space="0" w:color="auto"/>
                            <w:left w:val="none" w:sz="0" w:space="0" w:color="auto"/>
                            <w:bottom w:val="none" w:sz="0" w:space="0" w:color="auto"/>
                            <w:right w:val="none" w:sz="0" w:space="0" w:color="auto"/>
                          </w:divBdr>
                          <w:divsChild>
                            <w:div w:id="586574488">
                              <w:marLeft w:val="0"/>
                              <w:marRight w:val="0"/>
                              <w:marTop w:val="0"/>
                              <w:marBottom w:val="0"/>
                              <w:divBdr>
                                <w:top w:val="none" w:sz="0" w:space="0" w:color="auto"/>
                                <w:left w:val="none" w:sz="0" w:space="0" w:color="auto"/>
                                <w:bottom w:val="none" w:sz="0" w:space="0" w:color="auto"/>
                                <w:right w:val="none" w:sz="0" w:space="0" w:color="auto"/>
                              </w:divBdr>
                              <w:divsChild>
                                <w:div w:id="394205143">
                                  <w:marLeft w:val="0"/>
                                  <w:marRight w:val="150"/>
                                  <w:marTop w:val="0"/>
                                  <w:marBottom w:val="0"/>
                                  <w:divBdr>
                                    <w:top w:val="none" w:sz="0" w:space="0" w:color="auto"/>
                                    <w:left w:val="none" w:sz="0" w:space="0" w:color="auto"/>
                                    <w:bottom w:val="none" w:sz="0" w:space="0" w:color="auto"/>
                                    <w:right w:val="none" w:sz="0" w:space="0" w:color="auto"/>
                                  </w:divBdr>
                                </w:div>
                                <w:div w:id="20136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4606">
                      <w:marLeft w:val="30"/>
                      <w:marRight w:val="30"/>
                      <w:marTop w:val="0"/>
                      <w:marBottom w:val="0"/>
                      <w:divBdr>
                        <w:top w:val="none" w:sz="0" w:space="0" w:color="auto"/>
                        <w:left w:val="none" w:sz="0" w:space="0" w:color="auto"/>
                        <w:bottom w:val="none" w:sz="0" w:space="0" w:color="auto"/>
                        <w:right w:val="none" w:sz="0" w:space="0" w:color="auto"/>
                      </w:divBdr>
                      <w:divsChild>
                        <w:div w:id="1061099988">
                          <w:marLeft w:val="180"/>
                          <w:marRight w:val="210"/>
                          <w:marTop w:val="0"/>
                          <w:marBottom w:val="30"/>
                          <w:divBdr>
                            <w:top w:val="none" w:sz="0" w:space="0" w:color="auto"/>
                            <w:left w:val="none" w:sz="0" w:space="0" w:color="auto"/>
                            <w:bottom w:val="none" w:sz="0" w:space="0" w:color="auto"/>
                            <w:right w:val="none" w:sz="0" w:space="0" w:color="auto"/>
                          </w:divBdr>
                          <w:divsChild>
                            <w:div w:id="179583765">
                              <w:marLeft w:val="0"/>
                              <w:marRight w:val="30"/>
                              <w:marTop w:val="0"/>
                              <w:marBottom w:val="0"/>
                              <w:divBdr>
                                <w:top w:val="none" w:sz="0" w:space="0" w:color="auto"/>
                                <w:left w:val="none" w:sz="0" w:space="0" w:color="auto"/>
                                <w:bottom w:val="none" w:sz="0" w:space="0" w:color="auto"/>
                                <w:right w:val="none" w:sz="0" w:space="0" w:color="auto"/>
                              </w:divBdr>
                              <w:divsChild>
                                <w:div w:id="1633245841">
                                  <w:marLeft w:val="0"/>
                                  <w:marRight w:val="0"/>
                                  <w:marTop w:val="0"/>
                                  <w:marBottom w:val="0"/>
                                  <w:divBdr>
                                    <w:top w:val="none" w:sz="0" w:space="0" w:color="auto"/>
                                    <w:left w:val="none" w:sz="0" w:space="0" w:color="auto"/>
                                    <w:bottom w:val="none" w:sz="0" w:space="0" w:color="auto"/>
                                    <w:right w:val="none" w:sz="0" w:space="0" w:color="auto"/>
                                  </w:divBdr>
                                  <w:divsChild>
                                    <w:div w:id="166681048">
                                      <w:marLeft w:val="0"/>
                                      <w:marRight w:val="0"/>
                                      <w:marTop w:val="0"/>
                                      <w:marBottom w:val="0"/>
                                      <w:divBdr>
                                        <w:top w:val="none" w:sz="0" w:space="0" w:color="auto"/>
                                        <w:left w:val="none" w:sz="0" w:space="0" w:color="auto"/>
                                        <w:bottom w:val="none" w:sz="0" w:space="0" w:color="auto"/>
                                        <w:right w:val="none" w:sz="0" w:space="0" w:color="auto"/>
                                      </w:divBdr>
                                      <w:divsChild>
                                        <w:div w:id="18348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48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14712">
          <w:marLeft w:val="0"/>
          <w:marRight w:val="0"/>
          <w:marTop w:val="0"/>
          <w:marBottom w:val="0"/>
          <w:divBdr>
            <w:top w:val="none" w:sz="0" w:space="0" w:color="auto"/>
            <w:left w:val="none" w:sz="0" w:space="0" w:color="auto"/>
            <w:bottom w:val="none" w:sz="0" w:space="0" w:color="auto"/>
            <w:right w:val="none" w:sz="0" w:space="0" w:color="auto"/>
          </w:divBdr>
          <w:divsChild>
            <w:div w:id="1522737907">
              <w:marLeft w:val="210"/>
              <w:marRight w:val="0"/>
              <w:marTop w:val="120"/>
              <w:marBottom w:val="0"/>
              <w:divBdr>
                <w:top w:val="none" w:sz="0" w:space="0" w:color="auto"/>
                <w:left w:val="none" w:sz="0" w:space="0" w:color="auto"/>
                <w:bottom w:val="none" w:sz="0" w:space="0" w:color="auto"/>
                <w:right w:val="none" w:sz="0" w:space="0" w:color="auto"/>
              </w:divBdr>
              <w:divsChild>
                <w:div w:id="451749049">
                  <w:marLeft w:val="0"/>
                  <w:marRight w:val="0"/>
                  <w:marTop w:val="0"/>
                  <w:marBottom w:val="0"/>
                  <w:divBdr>
                    <w:top w:val="none" w:sz="0" w:space="0" w:color="auto"/>
                    <w:left w:val="none" w:sz="0" w:space="0" w:color="auto"/>
                    <w:bottom w:val="none" w:sz="0" w:space="0" w:color="auto"/>
                    <w:right w:val="none" w:sz="0" w:space="0" w:color="auto"/>
                  </w:divBdr>
                  <w:divsChild>
                    <w:div w:id="176758191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977686863">
      <w:bodyDiv w:val="1"/>
      <w:marLeft w:val="0"/>
      <w:marRight w:val="0"/>
      <w:marTop w:val="0"/>
      <w:marBottom w:val="0"/>
      <w:divBdr>
        <w:top w:val="none" w:sz="0" w:space="0" w:color="auto"/>
        <w:left w:val="none" w:sz="0" w:space="0" w:color="auto"/>
        <w:bottom w:val="none" w:sz="0" w:space="0" w:color="auto"/>
        <w:right w:val="none" w:sz="0" w:space="0" w:color="auto"/>
      </w:divBdr>
    </w:div>
    <w:div w:id="982854002">
      <w:bodyDiv w:val="1"/>
      <w:marLeft w:val="0"/>
      <w:marRight w:val="0"/>
      <w:marTop w:val="0"/>
      <w:marBottom w:val="0"/>
      <w:divBdr>
        <w:top w:val="none" w:sz="0" w:space="0" w:color="auto"/>
        <w:left w:val="none" w:sz="0" w:space="0" w:color="auto"/>
        <w:bottom w:val="none" w:sz="0" w:space="0" w:color="auto"/>
        <w:right w:val="none" w:sz="0" w:space="0" w:color="auto"/>
      </w:divBdr>
      <w:divsChild>
        <w:div w:id="644119295">
          <w:marLeft w:val="0"/>
          <w:marRight w:val="0"/>
          <w:marTop w:val="0"/>
          <w:marBottom w:val="0"/>
          <w:divBdr>
            <w:top w:val="none" w:sz="0" w:space="0" w:color="auto"/>
            <w:left w:val="none" w:sz="0" w:space="0" w:color="auto"/>
            <w:bottom w:val="none" w:sz="0" w:space="0" w:color="auto"/>
            <w:right w:val="none" w:sz="0" w:space="0" w:color="auto"/>
          </w:divBdr>
          <w:divsChild>
            <w:div w:id="1523015227">
              <w:marLeft w:val="0"/>
              <w:marRight w:val="0"/>
              <w:marTop w:val="0"/>
              <w:marBottom w:val="0"/>
              <w:divBdr>
                <w:top w:val="none" w:sz="0" w:space="0" w:color="auto"/>
                <w:left w:val="none" w:sz="0" w:space="0" w:color="auto"/>
                <w:bottom w:val="none" w:sz="0" w:space="0" w:color="auto"/>
                <w:right w:val="none" w:sz="0" w:space="0" w:color="auto"/>
              </w:divBdr>
              <w:divsChild>
                <w:div w:id="36587484">
                  <w:marLeft w:val="0"/>
                  <w:marRight w:val="0"/>
                  <w:marTop w:val="0"/>
                  <w:marBottom w:val="0"/>
                  <w:divBdr>
                    <w:top w:val="none" w:sz="0" w:space="0" w:color="auto"/>
                    <w:left w:val="none" w:sz="0" w:space="0" w:color="auto"/>
                    <w:bottom w:val="none" w:sz="0" w:space="0" w:color="auto"/>
                    <w:right w:val="none" w:sz="0" w:space="0" w:color="auto"/>
                  </w:divBdr>
                  <w:divsChild>
                    <w:div w:id="407926992">
                      <w:marLeft w:val="30"/>
                      <w:marRight w:val="30"/>
                      <w:marTop w:val="0"/>
                      <w:marBottom w:val="0"/>
                      <w:divBdr>
                        <w:top w:val="none" w:sz="0" w:space="0" w:color="auto"/>
                        <w:left w:val="none" w:sz="0" w:space="0" w:color="auto"/>
                        <w:bottom w:val="none" w:sz="0" w:space="0" w:color="auto"/>
                        <w:right w:val="none" w:sz="0" w:space="0" w:color="auto"/>
                      </w:divBdr>
                      <w:divsChild>
                        <w:div w:id="269510217">
                          <w:marLeft w:val="180"/>
                          <w:marRight w:val="210"/>
                          <w:marTop w:val="0"/>
                          <w:marBottom w:val="30"/>
                          <w:divBdr>
                            <w:top w:val="none" w:sz="0" w:space="0" w:color="auto"/>
                            <w:left w:val="none" w:sz="0" w:space="0" w:color="auto"/>
                            <w:bottom w:val="none" w:sz="0" w:space="0" w:color="auto"/>
                            <w:right w:val="none" w:sz="0" w:space="0" w:color="auto"/>
                          </w:divBdr>
                          <w:divsChild>
                            <w:div w:id="548538602">
                              <w:marLeft w:val="45"/>
                              <w:marRight w:val="0"/>
                              <w:marTop w:val="0"/>
                              <w:marBottom w:val="0"/>
                              <w:divBdr>
                                <w:top w:val="none" w:sz="0" w:space="0" w:color="auto"/>
                                <w:left w:val="none" w:sz="0" w:space="0" w:color="auto"/>
                                <w:bottom w:val="none" w:sz="0" w:space="0" w:color="auto"/>
                                <w:right w:val="none" w:sz="0" w:space="0" w:color="auto"/>
                              </w:divBdr>
                            </w:div>
                            <w:div w:id="1522620369">
                              <w:marLeft w:val="0"/>
                              <w:marRight w:val="30"/>
                              <w:marTop w:val="0"/>
                              <w:marBottom w:val="0"/>
                              <w:divBdr>
                                <w:top w:val="none" w:sz="0" w:space="0" w:color="auto"/>
                                <w:left w:val="none" w:sz="0" w:space="0" w:color="auto"/>
                                <w:bottom w:val="none" w:sz="0" w:space="0" w:color="auto"/>
                                <w:right w:val="none" w:sz="0" w:space="0" w:color="auto"/>
                              </w:divBdr>
                              <w:divsChild>
                                <w:div w:id="842474194">
                                  <w:marLeft w:val="0"/>
                                  <w:marRight w:val="0"/>
                                  <w:marTop w:val="0"/>
                                  <w:marBottom w:val="0"/>
                                  <w:divBdr>
                                    <w:top w:val="none" w:sz="0" w:space="0" w:color="auto"/>
                                    <w:left w:val="none" w:sz="0" w:space="0" w:color="auto"/>
                                    <w:bottom w:val="none" w:sz="0" w:space="0" w:color="auto"/>
                                    <w:right w:val="none" w:sz="0" w:space="0" w:color="auto"/>
                                  </w:divBdr>
                                  <w:divsChild>
                                    <w:div w:id="506097656">
                                      <w:marLeft w:val="0"/>
                                      <w:marRight w:val="0"/>
                                      <w:marTop w:val="0"/>
                                      <w:marBottom w:val="0"/>
                                      <w:divBdr>
                                        <w:top w:val="none" w:sz="0" w:space="0" w:color="auto"/>
                                        <w:left w:val="none" w:sz="0" w:space="0" w:color="auto"/>
                                        <w:bottom w:val="none" w:sz="0" w:space="0" w:color="auto"/>
                                        <w:right w:val="none" w:sz="0" w:space="0" w:color="auto"/>
                                      </w:divBdr>
                                      <w:divsChild>
                                        <w:div w:id="15289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970994">
          <w:marLeft w:val="0"/>
          <w:marRight w:val="0"/>
          <w:marTop w:val="0"/>
          <w:marBottom w:val="0"/>
          <w:divBdr>
            <w:top w:val="none" w:sz="0" w:space="0" w:color="auto"/>
            <w:left w:val="none" w:sz="0" w:space="0" w:color="auto"/>
            <w:bottom w:val="none" w:sz="0" w:space="0" w:color="auto"/>
            <w:right w:val="none" w:sz="0" w:space="0" w:color="auto"/>
          </w:divBdr>
          <w:divsChild>
            <w:div w:id="1061638201">
              <w:marLeft w:val="210"/>
              <w:marRight w:val="0"/>
              <w:marTop w:val="120"/>
              <w:marBottom w:val="0"/>
              <w:divBdr>
                <w:top w:val="none" w:sz="0" w:space="0" w:color="auto"/>
                <w:left w:val="none" w:sz="0" w:space="0" w:color="auto"/>
                <w:bottom w:val="none" w:sz="0" w:space="0" w:color="auto"/>
                <w:right w:val="none" w:sz="0" w:space="0" w:color="auto"/>
              </w:divBdr>
              <w:divsChild>
                <w:div w:id="2104259614">
                  <w:marLeft w:val="0"/>
                  <w:marRight w:val="0"/>
                  <w:marTop w:val="0"/>
                  <w:marBottom w:val="0"/>
                  <w:divBdr>
                    <w:top w:val="none" w:sz="0" w:space="0" w:color="auto"/>
                    <w:left w:val="none" w:sz="0" w:space="0" w:color="auto"/>
                    <w:bottom w:val="none" w:sz="0" w:space="0" w:color="auto"/>
                    <w:right w:val="none" w:sz="0" w:space="0" w:color="auto"/>
                  </w:divBdr>
                  <w:divsChild>
                    <w:div w:id="80327714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983243939">
      <w:bodyDiv w:val="1"/>
      <w:marLeft w:val="0"/>
      <w:marRight w:val="0"/>
      <w:marTop w:val="0"/>
      <w:marBottom w:val="0"/>
      <w:divBdr>
        <w:top w:val="none" w:sz="0" w:space="0" w:color="auto"/>
        <w:left w:val="none" w:sz="0" w:space="0" w:color="auto"/>
        <w:bottom w:val="none" w:sz="0" w:space="0" w:color="auto"/>
        <w:right w:val="none" w:sz="0" w:space="0" w:color="auto"/>
      </w:divBdr>
    </w:div>
    <w:div w:id="989865201">
      <w:bodyDiv w:val="1"/>
      <w:marLeft w:val="0"/>
      <w:marRight w:val="0"/>
      <w:marTop w:val="0"/>
      <w:marBottom w:val="0"/>
      <w:divBdr>
        <w:top w:val="none" w:sz="0" w:space="0" w:color="auto"/>
        <w:left w:val="none" w:sz="0" w:space="0" w:color="auto"/>
        <w:bottom w:val="none" w:sz="0" w:space="0" w:color="auto"/>
        <w:right w:val="none" w:sz="0" w:space="0" w:color="auto"/>
      </w:divBdr>
      <w:divsChild>
        <w:div w:id="606472221">
          <w:marLeft w:val="0"/>
          <w:marRight w:val="0"/>
          <w:marTop w:val="0"/>
          <w:marBottom w:val="0"/>
          <w:divBdr>
            <w:top w:val="none" w:sz="0" w:space="0" w:color="auto"/>
            <w:left w:val="none" w:sz="0" w:space="0" w:color="auto"/>
            <w:bottom w:val="none" w:sz="0" w:space="0" w:color="auto"/>
            <w:right w:val="none" w:sz="0" w:space="0" w:color="auto"/>
          </w:divBdr>
          <w:divsChild>
            <w:div w:id="1899897029">
              <w:marLeft w:val="0"/>
              <w:marRight w:val="0"/>
              <w:marTop w:val="0"/>
              <w:marBottom w:val="0"/>
              <w:divBdr>
                <w:top w:val="none" w:sz="0" w:space="0" w:color="auto"/>
                <w:left w:val="none" w:sz="0" w:space="0" w:color="auto"/>
                <w:bottom w:val="none" w:sz="0" w:space="0" w:color="auto"/>
                <w:right w:val="none" w:sz="0" w:space="0" w:color="auto"/>
              </w:divBdr>
              <w:divsChild>
                <w:div w:id="1302924485">
                  <w:marLeft w:val="0"/>
                  <w:marRight w:val="0"/>
                  <w:marTop w:val="0"/>
                  <w:marBottom w:val="0"/>
                  <w:divBdr>
                    <w:top w:val="none" w:sz="0" w:space="0" w:color="auto"/>
                    <w:left w:val="none" w:sz="0" w:space="0" w:color="auto"/>
                    <w:bottom w:val="none" w:sz="0" w:space="0" w:color="auto"/>
                    <w:right w:val="none" w:sz="0" w:space="0" w:color="auto"/>
                  </w:divBdr>
                  <w:divsChild>
                    <w:div w:id="1242104611">
                      <w:marLeft w:val="30"/>
                      <w:marRight w:val="30"/>
                      <w:marTop w:val="0"/>
                      <w:marBottom w:val="0"/>
                      <w:divBdr>
                        <w:top w:val="none" w:sz="0" w:space="0" w:color="auto"/>
                        <w:left w:val="none" w:sz="0" w:space="0" w:color="auto"/>
                        <w:bottom w:val="none" w:sz="0" w:space="0" w:color="auto"/>
                        <w:right w:val="none" w:sz="0" w:space="0" w:color="auto"/>
                      </w:divBdr>
                      <w:divsChild>
                        <w:div w:id="1922251845">
                          <w:marLeft w:val="180"/>
                          <w:marRight w:val="210"/>
                          <w:marTop w:val="0"/>
                          <w:marBottom w:val="30"/>
                          <w:divBdr>
                            <w:top w:val="none" w:sz="0" w:space="0" w:color="auto"/>
                            <w:left w:val="none" w:sz="0" w:space="0" w:color="auto"/>
                            <w:bottom w:val="none" w:sz="0" w:space="0" w:color="auto"/>
                            <w:right w:val="none" w:sz="0" w:space="0" w:color="auto"/>
                          </w:divBdr>
                          <w:divsChild>
                            <w:div w:id="364983262">
                              <w:marLeft w:val="45"/>
                              <w:marRight w:val="0"/>
                              <w:marTop w:val="0"/>
                              <w:marBottom w:val="0"/>
                              <w:divBdr>
                                <w:top w:val="none" w:sz="0" w:space="0" w:color="auto"/>
                                <w:left w:val="none" w:sz="0" w:space="0" w:color="auto"/>
                                <w:bottom w:val="none" w:sz="0" w:space="0" w:color="auto"/>
                                <w:right w:val="none" w:sz="0" w:space="0" w:color="auto"/>
                              </w:divBdr>
                            </w:div>
                            <w:div w:id="808478878">
                              <w:marLeft w:val="0"/>
                              <w:marRight w:val="30"/>
                              <w:marTop w:val="0"/>
                              <w:marBottom w:val="0"/>
                              <w:divBdr>
                                <w:top w:val="none" w:sz="0" w:space="0" w:color="auto"/>
                                <w:left w:val="none" w:sz="0" w:space="0" w:color="auto"/>
                                <w:bottom w:val="none" w:sz="0" w:space="0" w:color="auto"/>
                                <w:right w:val="none" w:sz="0" w:space="0" w:color="auto"/>
                              </w:divBdr>
                              <w:divsChild>
                                <w:div w:id="545221824">
                                  <w:marLeft w:val="0"/>
                                  <w:marRight w:val="0"/>
                                  <w:marTop w:val="0"/>
                                  <w:marBottom w:val="0"/>
                                  <w:divBdr>
                                    <w:top w:val="none" w:sz="0" w:space="0" w:color="auto"/>
                                    <w:left w:val="none" w:sz="0" w:space="0" w:color="auto"/>
                                    <w:bottom w:val="none" w:sz="0" w:space="0" w:color="auto"/>
                                    <w:right w:val="none" w:sz="0" w:space="0" w:color="auto"/>
                                  </w:divBdr>
                                  <w:divsChild>
                                    <w:div w:id="790048538">
                                      <w:marLeft w:val="0"/>
                                      <w:marRight w:val="0"/>
                                      <w:marTop w:val="0"/>
                                      <w:marBottom w:val="0"/>
                                      <w:divBdr>
                                        <w:top w:val="none" w:sz="0" w:space="0" w:color="auto"/>
                                        <w:left w:val="none" w:sz="0" w:space="0" w:color="auto"/>
                                        <w:bottom w:val="none" w:sz="0" w:space="0" w:color="auto"/>
                                        <w:right w:val="none" w:sz="0" w:space="0" w:color="auto"/>
                                      </w:divBdr>
                                      <w:divsChild>
                                        <w:div w:id="5653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16052">
          <w:marLeft w:val="0"/>
          <w:marRight w:val="0"/>
          <w:marTop w:val="0"/>
          <w:marBottom w:val="0"/>
          <w:divBdr>
            <w:top w:val="none" w:sz="0" w:space="0" w:color="auto"/>
            <w:left w:val="none" w:sz="0" w:space="0" w:color="auto"/>
            <w:bottom w:val="none" w:sz="0" w:space="0" w:color="auto"/>
            <w:right w:val="none" w:sz="0" w:space="0" w:color="auto"/>
          </w:divBdr>
          <w:divsChild>
            <w:div w:id="114561338">
              <w:marLeft w:val="210"/>
              <w:marRight w:val="0"/>
              <w:marTop w:val="120"/>
              <w:marBottom w:val="0"/>
              <w:divBdr>
                <w:top w:val="none" w:sz="0" w:space="0" w:color="auto"/>
                <w:left w:val="none" w:sz="0" w:space="0" w:color="auto"/>
                <w:bottom w:val="none" w:sz="0" w:space="0" w:color="auto"/>
                <w:right w:val="none" w:sz="0" w:space="0" w:color="auto"/>
              </w:divBdr>
              <w:divsChild>
                <w:div w:id="438375822">
                  <w:marLeft w:val="0"/>
                  <w:marRight w:val="0"/>
                  <w:marTop w:val="0"/>
                  <w:marBottom w:val="0"/>
                  <w:divBdr>
                    <w:top w:val="none" w:sz="0" w:space="0" w:color="auto"/>
                    <w:left w:val="none" w:sz="0" w:space="0" w:color="auto"/>
                    <w:bottom w:val="none" w:sz="0" w:space="0" w:color="auto"/>
                    <w:right w:val="none" w:sz="0" w:space="0" w:color="auto"/>
                  </w:divBdr>
                  <w:divsChild>
                    <w:div w:id="99661803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992829480">
      <w:bodyDiv w:val="1"/>
      <w:marLeft w:val="0"/>
      <w:marRight w:val="0"/>
      <w:marTop w:val="0"/>
      <w:marBottom w:val="0"/>
      <w:divBdr>
        <w:top w:val="none" w:sz="0" w:space="0" w:color="auto"/>
        <w:left w:val="none" w:sz="0" w:space="0" w:color="auto"/>
        <w:bottom w:val="none" w:sz="0" w:space="0" w:color="auto"/>
        <w:right w:val="none" w:sz="0" w:space="0" w:color="auto"/>
      </w:divBdr>
      <w:divsChild>
        <w:div w:id="370113202">
          <w:marLeft w:val="0"/>
          <w:marRight w:val="0"/>
          <w:marTop w:val="0"/>
          <w:marBottom w:val="0"/>
          <w:divBdr>
            <w:top w:val="none" w:sz="0" w:space="0" w:color="auto"/>
            <w:left w:val="none" w:sz="0" w:space="0" w:color="auto"/>
            <w:bottom w:val="none" w:sz="0" w:space="0" w:color="auto"/>
            <w:right w:val="none" w:sz="0" w:space="0" w:color="auto"/>
          </w:divBdr>
          <w:divsChild>
            <w:div w:id="1081024701">
              <w:marLeft w:val="0"/>
              <w:marRight w:val="0"/>
              <w:marTop w:val="0"/>
              <w:marBottom w:val="0"/>
              <w:divBdr>
                <w:top w:val="none" w:sz="0" w:space="0" w:color="auto"/>
                <w:left w:val="none" w:sz="0" w:space="0" w:color="auto"/>
                <w:bottom w:val="none" w:sz="0" w:space="0" w:color="auto"/>
                <w:right w:val="none" w:sz="0" w:space="0" w:color="auto"/>
              </w:divBdr>
              <w:divsChild>
                <w:div w:id="1144586909">
                  <w:marLeft w:val="0"/>
                  <w:marRight w:val="0"/>
                  <w:marTop w:val="0"/>
                  <w:marBottom w:val="0"/>
                  <w:divBdr>
                    <w:top w:val="none" w:sz="0" w:space="0" w:color="auto"/>
                    <w:left w:val="none" w:sz="0" w:space="0" w:color="auto"/>
                    <w:bottom w:val="none" w:sz="0" w:space="0" w:color="auto"/>
                    <w:right w:val="none" w:sz="0" w:space="0" w:color="auto"/>
                  </w:divBdr>
                  <w:divsChild>
                    <w:div w:id="425081578">
                      <w:marLeft w:val="30"/>
                      <w:marRight w:val="30"/>
                      <w:marTop w:val="0"/>
                      <w:marBottom w:val="0"/>
                      <w:divBdr>
                        <w:top w:val="none" w:sz="0" w:space="0" w:color="auto"/>
                        <w:left w:val="none" w:sz="0" w:space="0" w:color="auto"/>
                        <w:bottom w:val="none" w:sz="0" w:space="0" w:color="auto"/>
                        <w:right w:val="none" w:sz="0" w:space="0" w:color="auto"/>
                      </w:divBdr>
                      <w:divsChild>
                        <w:div w:id="696854251">
                          <w:marLeft w:val="0"/>
                          <w:marRight w:val="90"/>
                          <w:marTop w:val="90"/>
                          <w:marBottom w:val="30"/>
                          <w:divBdr>
                            <w:top w:val="none" w:sz="0" w:space="0" w:color="auto"/>
                            <w:left w:val="none" w:sz="0" w:space="0" w:color="auto"/>
                            <w:bottom w:val="none" w:sz="0" w:space="0" w:color="auto"/>
                            <w:right w:val="none" w:sz="0" w:space="0" w:color="auto"/>
                          </w:divBdr>
                          <w:divsChild>
                            <w:div w:id="168447933">
                              <w:marLeft w:val="45"/>
                              <w:marRight w:val="0"/>
                              <w:marTop w:val="0"/>
                              <w:marBottom w:val="0"/>
                              <w:divBdr>
                                <w:top w:val="none" w:sz="0" w:space="0" w:color="auto"/>
                                <w:left w:val="none" w:sz="0" w:space="0" w:color="auto"/>
                                <w:bottom w:val="none" w:sz="0" w:space="0" w:color="auto"/>
                                <w:right w:val="none" w:sz="0" w:space="0" w:color="auto"/>
                              </w:divBdr>
                            </w:div>
                            <w:div w:id="300617382">
                              <w:marLeft w:val="0"/>
                              <w:marRight w:val="0"/>
                              <w:marTop w:val="0"/>
                              <w:marBottom w:val="0"/>
                              <w:divBdr>
                                <w:top w:val="none" w:sz="0" w:space="0" w:color="auto"/>
                                <w:left w:val="none" w:sz="0" w:space="0" w:color="auto"/>
                                <w:bottom w:val="none" w:sz="0" w:space="0" w:color="auto"/>
                                <w:right w:val="none" w:sz="0" w:space="0" w:color="auto"/>
                              </w:divBdr>
                              <w:divsChild>
                                <w:div w:id="1223715648">
                                  <w:marLeft w:val="45"/>
                                  <w:marRight w:val="0"/>
                                  <w:marTop w:val="0"/>
                                  <w:marBottom w:val="15"/>
                                  <w:divBdr>
                                    <w:top w:val="none" w:sz="0" w:space="0" w:color="auto"/>
                                    <w:left w:val="none" w:sz="0" w:space="0" w:color="auto"/>
                                    <w:bottom w:val="none" w:sz="0" w:space="0" w:color="auto"/>
                                    <w:right w:val="none" w:sz="0" w:space="0" w:color="auto"/>
                                  </w:divBdr>
                                </w:div>
                              </w:divsChild>
                            </w:div>
                            <w:div w:id="1500343581">
                              <w:marLeft w:val="0"/>
                              <w:marRight w:val="30"/>
                              <w:marTop w:val="0"/>
                              <w:marBottom w:val="0"/>
                              <w:divBdr>
                                <w:top w:val="none" w:sz="0" w:space="0" w:color="auto"/>
                                <w:left w:val="none" w:sz="0" w:space="0" w:color="auto"/>
                                <w:bottom w:val="none" w:sz="0" w:space="0" w:color="auto"/>
                                <w:right w:val="none" w:sz="0" w:space="0" w:color="auto"/>
                              </w:divBdr>
                              <w:divsChild>
                                <w:div w:id="810908786">
                                  <w:marLeft w:val="0"/>
                                  <w:marRight w:val="0"/>
                                  <w:marTop w:val="0"/>
                                  <w:marBottom w:val="0"/>
                                  <w:divBdr>
                                    <w:top w:val="none" w:sz="0" w:space="0" w:color="auto"/>
                                    <w:left w:val="none" w:sz="0" w:space="0" w:color="auto"/>
                                    <w:bottom w:val="none" w:sz="0" w:space="0" w:color="auto"/>
                                    <w:right w:val="none" w:sz="0" w:space="0" w:color="auto"/>
                                  </w:divBdr>
                                  <w:divsChild>
                                    <w:div w:id="1015381269">
                                      <w:marLeft w:val="0"/>
                                      <w:marRight w:val="0"/>
                                      <w:marTop w:val="0"/>
                                      <w:marBottom w:val="0"/>
                                      <w:divBdr>
                                        <w:top w:val="none" w:sz="0" w:space="0" w:color="auto"/>
                                        <w:left w:val="none" w:sz="0" w:space="0" w:color="auto"/>
                                        <w:bottom w:val="none" w:sz="0" w:space="0" w:color="auto"/>
                                        <w:right w:val="none" w:sz="0" w:space="0" w:color="auto"/>
                                      </w:divBdr>
                                      <w:divsChild>
                                        <w:div w:id="19372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25019">
                          <w:marLeft w:val="135"/>
                          <w:marRight w:val="45"/>
                          <w:marTop w:val="60"/>
                          <w:marBottom w:val="60"/>
                          <w:divBdr>
                            <w:top w:val="none" w:sz="0" w:space="0" w:color="auto"/>
                            <w:left w:val="none" w:sz="0" w:space="0" w:color="auto"/>
                            <w:bottom w:val="none" w:sz="0" w:space="0" w:color="auto"/>
                            <w:right w:val="none" w:sz="0" w:space="0" w:color="auto"/>
                          </w:divBdr>
                          <w:divsChild>
                            <w:div w:id="1106929481">
                              <w:marLeft w:val="0"/>
                              <w:marRight w:val="0"/>
                              <w:marTop w:val="0"/>
                              <w:marBottom w:val="0"/>
                              <w:divBdr>
                                <w:top w:val="none" w:sz="0" w:space="0" w:color="auto"/>
                                <w:left w:val="none" w:sz="0" w:space="0" w:color="auto"/>
                                <w:bottom w:val="none" w:sz="0" w:space="0" w:color="auto"/>
                                <w:right w:val="none" w:sz="0" w:space="0" w:color="auto"/>
                              </w:divBdr>
                              <w:divsChild>
                                <w:div w:id="357589341">
                                  <w:marLeft w:val="0"/>
                                  <w:marRight w:val="150"/>
                                  <w:marTop w:val="0"/>
                                  <w:marBottom w:val="0"/>
                                  <w:divBdr>
                                    <w:top w:val="none" w:sz="0" w:space="0" w:color="auto"/>
                                    <w:left w:val="none" w:sz="0" w:space="0" w:color="auto"/>
                                    <w:bottom w:val="none" w:sz="0" w:space="0" w:color="auto"/>
                                    <w:right w:val="none" w:sz="0" w:space="0" w:color="auto"/>
                                  </w:divBdr>
                                </w:div>
                                <w:div w:id="5555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3457">
                      <w:marLeft w:val="30"/>
                      <w:marRight w:val="30"/>
                      <w:marTop w:val="0"/>
                      <w:marBottom w:val="0"/>
                      <w:divBdr>
                        <w:top w:val="none" w:sz="0" w:space="0" w:color="auto"/>
                        <w:left w:val="none" w:sz="0" w:space="0" w:color="auto"/>
                        <w:bottom w:val="none" w:sz="0" w:space="0" w:color="auto"/>
                        <w:right w:val="none" w:sz="0" w:space="0" w:color="auto"/>
                      </w:divBdr>
                      <w:divsChild>
                        <w:div w:id="1686011045">
                          <w:marLeft w:val="180"/>
                          <w:marRight w:val="210"/>
                          <w:marTop w:val="0"/>
                          <w:marBottom w:val="30"/>
                          <w:divBdr>
                            <w:top w:val="none" w:sz="0" w:space="0" w:color="auto"/>
                            <w:left w:val="none" w:sz="0" w:space="0" w:color="auto"/>
                            <w:bottom w:val="none" w:sz="0" w:space="0" w:color="auto"/>
                            <w:right w:val="none" w:sz="0" w:space="0" w:color="auto"/>
                          </w:divBdr>
                          <w:divsChild>
                            <w:div w:id="116415724">
                              <w:marLeft w:val="45"/>
                              <w:marRight w:val="0"/>
                              <w:marTop w:val="0"/>
                              <w:marBottom w:val="0"/>
                              <w:divBdr>
                                <w:top w:val="none" w:sz="0" w:space="0" w:color="auto"/>
                                <w:left w:val="none" w:sz="0" w:space="0" w:color="auto"/>
                                <w:bottom w:val="none" w:sz="0" w:space="0" w:color="auto"/>
                                <w:right w:val="none" w:sz="0" w:space="0" w:color="auto"/>
                              </w:divBdr>
                            </w:div>
                            <w:div w:id="344746395">
                              <w:marLeft w:val="0"/>
                              <w:marRight w:val="30"/>
                              <w:marTop w:val="0"/>
                              <w:marBottom w:val="0"/>
                              <w:divBdr>
                                <w:top w:val="none" w:sz="0" w:space="0" w:color="auto"/>
                                <w:left w:val="none" w:sz="0" w:space="0" w:color="auto"/>
                                <w:bottom w:val="none" w:sz="0" w:space="0" w:color="auto"/>
                                <w:right w:val="none" w:sz="0" w:space="0" w:color="auto"/>
                              </w:divBdr>
                              <w:divsChild>
                                <w:div w:id="1723598635">
                                  <w:marLeft w:val="0"/>
                                  <w:marRight w:val="0"/>
                                  <w:marTop w:val="0"/>
                                  <w:marBottom w:val="0"/>
                                  <w:divBdr>
                                    <w:top w:val="none" w:sz="0" w:space="0" w:color="auto"/>
                                    <w:left w:val="none" w:sz="0" w:space="0" w:color="auto"/>
                                    <w:bottom w:val="none" w:sz="0" w:space="0" w:color="auto"/>
                                    <w:right w:val="none" w:sz="0" w:space="0" w:color="auto"/>
                                  </w:divBdr>
                                  <w:divsChild>
                                    <w:div w:id="930744473">
                                      <w:marLeft w:val="0"/>
                                      <w:marRight w:val="0"/>
                                      <w:marTop w:val="0"/>
                                      <w:marBottom w:val="0"/>
                                      <w:divBdr>
                                        <w:top w:val="none" w:sz="0" w:space="0" w:color="auto"/>
                                        <w:left w:val="none" w:sz="0" w:space="0" w:color="auto"/>
                                        <w:bottom w:val="none" w:sz="0" w:space="0" w:color="auto"/>
                                        <w:right w:val="none" w:sz="0" w:space="0" w:color="auto"/>
                                      </w:divBdr>
                                      <w:divsChild>
                                        <w:div w:id="1443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921137">
          <w:marLeft w:val="0"/>
          <w:marRight w:val="0"/>
          <w:marTop w:val="0"/>
          <w:marBottom w:val="0"/>
          <w:divBdr>
            <w:top w:val="none" w:sz="0" w:space="0" w:color="auto"/>
            <w:left w:val="none" w:sz="0" w:space="0" w:color="auto"/>
            <w:bottom w:val="none" w:sz="0" w:space="0" w:color="auto"/>
            <w:right w:val="none" w:sz="0" w:space="0" w:color="auto"/>
          </w:divBdr>
          <w:divsChild>
            <w:div w:id="2030830289">
              <w:marLeft w:val="210"/>
              <w:marRight w:val="0"/>
              <w:marTop w:val="120"/>
              <w:marBottom w:val="0"/>
              <w:divBdr>
                <w:top w:val="none" w:sz="0" w:space="0" w:color="auto"/>
                <w:left w:val="none" w:sz="0" w:space="0" w:color="auto"/>
                <w:bottom w:val="none" w:sz="0" w:space="0" w:color="auto"/>
                <w:right w:val="none" w:sz="0" w:space="0" w:color="auto"/>
              </w:divBdr>
              <w:divsChild>
                <w:div w:id="1323848242">
                  <w:marLeft w:val="0"/>
                  <w:marRight w:val="0"/>
                  <w:marTop w:val="0"/>
                  <w:marBottom w:val="0"/>
                  <w:divBdr>
                    <w:top w:val="none" w:sz="0" w:space="0" w:color="auto"/>
                    <w:left w:val="none" w:sz="0" w:space="0" w:color="auto"/>
                    <w:bottom w:val="none" w:sz="0" w:space="0" w:color="auto"/>
                    <w:right w:val="none" w:sz="0" w:space="0" w:color="auto"/>
                  </w:divBdr>
                  <w:divsChild>
                    <w:div w:id="114690132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999775307">
      <w:bodyDiv w:val="1"/>
      <w:marLeft w:val="0"/>
      <w:marRight w:val="0"/>
      <w:marTop w:val="0"/>
      <w:marBottom w:val="0"/>
      <w:divBdr>
        <w:top w:val="none" w:sz="0" w:space="0" w:color="auto"/>
        <w:left w:val="none" w:sz="0" w:space="0" w:color="auto"/>
        <w:bottom w:val="none" w:sz="0" w:space="0" w:color="auto"/>
        <w:right w:val="none" w:sz="0" w:space="0" w:color="auto"/>
      </w:divBdr>
      <w:divsChild>
        <w:div w:id="890068817">
          <w:marLeft w:val="0"/>
          <w:marRight w:val="0"/>
          <w:marTop w:val="0"/>
          <w:marBottom w:val="0"/>
          <w:divBdr>
            <w:top w:val="none" w:sz="0" w:space="0" w:color="auto"/>
            <w:left w:val="none" w:sz="0" w:space="0" w:color="auto"/>
            <w:bottom w:val="none" w:sz="0" w:space="0" w:color="auto"/>
            <w:right w:val="none" w:sz="0" w:space="0" w:color="auto"/>
          </w:divBdr>
          <w:divsChild>
            <w:div w:id="986396187">
              <w:marLeft w:val="0"/>
              <w:marRight w:val="0"/>
              <w:marTop w:val="0"/>
              <w:marBottom w:val="0"/>
              <w:divBdr>
                <w:top w:val="none" w:sz="0" w:space="0" w:color="auto"/>
                <w:left w:val="none" w:sz="0" w:space="0" w:color="auto"/>
                <w:bottom w:val="none" w:sz="0" w:space="0" w:color="auto"/>
                <w:right w:val="none" w:sz="0" w:space="0" w:color="auto"/>
              </w:divBdr>
              <w:divsChild>
                <w:div w:id="935017691">
                  <w:marLeft w:val="0"/>
                  <w:marRight w:val="0"/>
                  <w:marTop w:val="0"/>
                  <w:marBottom w:val="0"/>
                  <w:divBdr>
                    <w:top w:val="none" w:sz="0" w:space="0" w:color="auto"/>
                    <w:left w:val="none" w:sz="0" w:space="0" w:color="auto"/>
                    <w:bottom w:val="none" w:sz="0" w:space="0" w:color="auto"/>
                    <w:right w:val="none" w:sz="0" w:space="0" w:color="auto"/>
                  </w:divBdr>
                  <w:divsChild>
                    <w:div w:id="1807315047">
                      <w:marLeft w:val="0"/>
                      <w:marRight w:val="0"/>
                      <w:marTop w:val="0"/>
                      <w:marBottom w:val="0"/>
                      <w:divBdr>
                        <w:top w:val="none" w:sz="0" w:space="0" w:color="auto"/>
                        <w:left w:val="none" w:sz="0" w:space="0" w:color="auto"/>
                        <w:bottom w:val="none" w:sz="0" w:space="0" w:color="auto"/>
                        <w:right w:val="none" w:sz="0" w:space="0" w:color="auto"/>
                      </w:divBdr>
                      <w:divsChild>
                        <w:div w:id="1323122478">
                          <w:marLeft w:val="0"/>
                          <w:marRight w:val="0"/>
                          <w:marTop w:val="0"/>
                          <w:marBottom w:val="0"/>
                          <w:divBdr>
                            <w:top w:val="none" w:sz="0" w:space="0" w:color="auto"/>
                            <w:left w:val="none" w:sz="0" w:space="0" w:color="auto"/>
                            <w:bottom w:val="none" w:sz="0" w:space="0" w:color="auto"/>
                            <w:right w:val="none" w:sz="0" w:space="0" w:color="auto"/>
                          </w:divBdr>
                          <w:divsChild>
                            <w:div w:id="1389845202">
                              <w:marLeft w:val="0"/>
                              <w:marRight w:val="0"/>
                              <w:marTop w:val="0"/>
                              <w:marBottom w:val="0"/>
                              <w:divBdr>
                                <w:top w:val="none" w:sz="0" w:space="0" w:color="auto"/>
                                <w:left w:val="none" w:sz="0" w:space="0" w:color="auto"/>
                                <w:bottom w:val="none" w:sz="0" w:space="0" w:color="auto"/>
                                <w:right w:val="none" w:sz="0" w:space="0" w:color="auto"/>
                              </w:divBdr>
                              <w:divsChild>
                                <w:div w:id="1101413029">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007173121">
      <w:bodyDiv w:val="1"/>
      <w:marLeft w:val="0"/>
      <w:marRight w:val="0"/>
      <w:marTop w:val="0"/>
      <w:marBottom w:val="0"/>
      <w:divBdr>
        <w:top w:val="none" w:sz="0" w:space="0" w:color="auto"/>
        <w:left w:val="none" w:sz="0" w:space="0" w:color="auto"/>
        <w:bottom w:val="none" w:sz="0" w:space="0" w:color="auto"/>
        <w:right w:val="none" w:sz="0" w:space="0" w:color="auto"/>
      </w:divBdr>
    </w:div>
    <w:div w:id="1008361769">
      <w:bodyDiv w:val="1"/>
      <w:marLeft w:val="0"/>
      <w:marRight w:val="0"/>
      <w:marTop w:val="0"/>
      <w:marBottom w:val="0"/>
      <w:divBdr>
        <w:top w:val="none" w:sz="0" w:space="0" w:color="auto"/>
        <w:left w:val="none" w:sz="0" w:space="0" w:color="auto"/>
        <w:bottom w:val="none" w:sz="0" w:space="0" w:color="auto"/>
        <w:right w:val="none" w:sz="0" w:space="0" w:color="auto"/>
      </w:divBdr>
    </w:div>
    <w:div w:id="1016617739">
      <w:bodyDiv w:val="1"/>
      <w:marLeft w:val="0"/>
      <w:marRight w:val="0"/>
      <w:marTop w:val="0"/>
      <w:marBottom w:val="0"/>
      <w:divBdr>
        <w:top w:val="none" w:sz="0" w:space="0" w:color="auto"/>
        <w:left w:val="none" w:sz="0" w:space="0" w:color="auto"/>
        <w:bottom w:val="none" w:sz="0" w:space="0" w:color="auto"/>
        <w:right w:val="none" w:sz="0" w:space="0" w:color="auto"/>
      </w:divBdr>
      <w:divsChild>
        <w:div w:id="60296494">
          <w:marLeft w:val="0"/>
          <w:marRight w:val="0"/>
          <w:marTop w:val="0"/>
          <w:marBottom w:val="0"/>
          <w:divBdr>
            <w:top w:val="none" w:sz="0" w:space="0" w:color="auto"/>
            <w:left w:val="none" w:sz="0" w:space="0" w:color="auto"/>
            <w:bottom w:val="none" w:sz="0" w:space="0" w:color="auto"/>
            <w:right w:val="none" w:sz="0" w:space="0" w:color="auto"/>
          </w:divBdr>
          <w:divsChild>
            <w:div w:id="1995258851">
              <w:marLeft w:val="0"/>
              <w:marRight w:val="0"/>
              <w:marTop w:val="0"/>
              <w:marBottom w:val="0"/>
              <w:divBdr>
                <w:top w:val="none" w:sz="0" w:space="0" w:color="auto"/>
                <w:left w:val="none" w:sz="0" w:space="0" w:color="auto"/>
                <w:bottom w:val="none" w:sz="0" w:space="0" w:color="auto"/>
                <w:right w:val="none" w:sz="0" w:space="0" w:color="auto"/>
              </w:divBdr>
              <w:divsChild>
                <w:div w:id="1882788541">
                  <w:marLeft w:val="0"/>
                  <w:marRight w:val="0"/>
                  <w:marTop w:val="0"/>
                  <w:marBottom w:val="0"/>
                  <w:divBdr>
                    <w:top w:val="none" w:sz="0" w:space="0" w:color="auto"/>
                    <w:left w:val="none" w:sz="0" w:space="0" w:color="auto"/>
                    <w:bottom w:val="none" w:sz="0" w:space="0" w:color="auto"/>
                    <w:right w:val="none" w:sz="0" w:space="0" w:color="auto"/>
                  </w:divBdr>
                  <w:divsChild>
                    <w:div w:id="467742848">
                      <w:marLeft w:val="30"/>
                      <w:marRight w:val="30"/>
                      <w:marTop w:val="0"/>
                      <w:marBottom w:val="0"/>
                      <w:divBdr>
                        <w:top w:val="none" w:sz="0" w:space="0" w:color="auto"/>
                        <w:left w:val="none" w:sz="0" w:space="0" w:color="auto"/>
                        <w:bottom w:val="none" w:sz="0" w:space="0" w:color="auto"/>
                        <w:right w:val="none" w:sz="0" w:space="0" w:color="auto"/>
                      </w:divBdr>
                      <w:divsChild>
                        <w:div w:id="1446270926">
                          <w:marLeft w:val="180"/>
                          <w:marRight w:val="210"/>
                          <w:marTop w:val="0"/>
                          <w:marBottom w:val="30"/>
                          <w:divBdr>
                            <w:top w:val="none" w:sz="0" w:space="0" w:color="auto"/>
                            <w:left w:val="none" w:sz="0" w:space="0" w:color="auto"/>
                            <w:bottom w:val="none" w:sz="0" w:space="0" w:color="auto"/>
                            <w:right w:val="none" w:sz="0" w:space="0" w:color="auto"/>
                          </w:divBdr>
                          <w:divsChild>
                            <w:div w:id="746465099">
                              <w:marLeft w:val="0"/>
                              <w:marRight w:val="30"/>
                              <w:marTop w:val="0"/>
                              <w:marBottom w:val="0"/>
                              <w:divBdr>
                                <w:top w:val="none" w:sz="0" w:space="0" w:color="auto"/>
                                <w:left w:val="none" w:sz="0" w:space="0" w:color="auto"/>
                                <w:bottom w:val="none" w:sz="0" w:space="0" w:color="auto"/>
                                <w:right w:val="none" w:sz="0" w:space="0" w:color="auto"/>
                              </w:divBdr>
                              <w:divsChild>
                                <w:div w:id="2099668283">
                                  <w:marLeft w:val="0"/>
                                  <w:marRight w:val="0"/>
                                  <w:marTop w:val="0"/>
                                  <w:marBottom w:val="0"/>
                                  <w:divBdr>
                                    <w:top w:val="none" w:sz="0" w:space="0" w:color="auto"/>
                                    <w:left w:val="none" w:sz="0" w:space="0" w:color="auto"/>
                                    <w:bottom w:val="none" w:sz="0" w:space="0" w:color="auto"/>
                                    <w:right w:val="none" w:sz="0" w:space="0" w:color="auto"/>
                                  </w:divBdr>
                                  <w:divsChild>
                                    <w:div w:id="1414741576">
                                      <w:marLeft w:val="0"/>
                                      <w:marRight w:val="0"/>
                                      <w:marTop w:val="0"/>
                                      <w:marBottom w:val="0"/>
                                      <w:divBdr>
                                        <w:top w:val="none" w:sz="0" w:space="0" w:color="auto"/>
                                        <w:left w:val="none" w:sz="0" w:space="0" w:color="auto"/>
                                        <w:bottom w:val="none" w:sz="0" w:space="0" w:color="auto"/>
                                        <w:right w:val="none" w:sz="0" w:space="0" w:color="auto"/>
                                      </w:divBdr>
                                      <w:divsChild>
                                        <w:div w:id="19850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25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10443699">
                      <w:marLeft w:val="30"/>
                      <w:marRight w:val="30"/>
                      <w:marTop w:val="0"/>
                      <w:marBottom w:val="0"/>
                      <w:divBdr>
                        <w:top w:val="none" w:sz="0" w:space="0" w:color="auto"/>
                        <w:left w:val="none" w:sz="0" w:space="0" w:color="auto"/>
                        <w:bottom w:val="none" w:sz="0" w:space="0" w:color="auto"/>
                        <w:right w:val="none" w:sz="0" w:space="0" w:color="auto"/>
                      </w:divBdr>
                      <w:divsChild>
                        <w:div w:id="48698754">
                          <w:marLeft w:val="0"/>
                          <w:marRight w:val="90"/>
                          <w:marTop w:val="90"/>
                          <w:marBottom w:val="30"/>
                          <w:divBdr>
                            <w:top w:val="none" w:sz="0" w:space="0" w:color="auto"/>
                            <w:left w:val="none" w:sz="0" w:space="0" w:color="auto"/>
                            <w:bottom w:val="none" w:sz="0" w:space="0" w:color="auto"/>
                            <w:right w:val="none" w:sz="0" w:space="0" w:color="auto"/>
                          </w:divBdr>
                          <w:divsChild>
                            <w:div w:id="138691788">
                              <w:marLeft w:val="0"/>
                              <w:marRight w:val="0"/>
                              <w:marTop w:val="0"/>
                              <w:marBottom w:val="0"/>
                              <w:divBdr>
                                <w:top w:val="none" w:sz="0" w:space="0" w:color="auto"/>
                                <w:left w:val="none" w:sz="0" w:space="0" w:color="auto"/>
                                <w:bottom w:val="none" w:sz="0" w:space="0" w:color="auto"/>
                                <w:right w:val="none" w:sz="0" w:space="0" w:color="auto"/>
                              </w:divBdr>
                              <w:divsChild>
                                <w:div w:id="1566722614">
                                  <w:marLeft w:val="45"/>
                                  <w:marRight w:val="0"/>
                                  <w:marTop w:val="0"/>
                                  <w:marBottom w:val="15"/>
                                  <w:divBdr>
                                    <w:top w:val="none" w:sz="0" w:space="0" w:color="auto"/>
                                    <w:left w:val="none" w:sz="0" w:space="0" w:color="auto"/>
                                    <w:bottom w:val="none" w:sz="0" w:space="0" w:color="auto"/>
                                    <w:right w:val="none" w:sz="0" w:space="0" w:color="auto"/>
                                  </w:divBdr>
                                </w:div>
                              </w:divsChild>
                            </w:div>
                            <w:div w:id="636184730">
                              <w:marLeft w:val="0"/>
                              <w:marRight w:val="30"/>
                              <w:marTop w:val="0"/>
                              <w:marBottom w:val="0"/>
                              <w:divBdr>
                                <w:top w:val="none" w:sz="0" w:space="0" w:color="auto"/>
                                <w:left w:val="none" w:sz="0" w:space="0" w:color="auto"/>
                                <w:bottom w:val="none" w:sz="0" w:space="0" w:color="auto"/>
                                <w:right w:val="none" w:sz="0" w:space="0" w:color="auto"/>
                              </w:divBdr>
                              <w:divsChild>
                                <w:div w:id="511995979">
                                  <w:marLeft w:val="0"/>
                                  <w:marRight w:val="0"/>
                                  <w:marTop w:val="0"/>
                                  <w:marBottom w:val="0"/>
                                  <w:divBdr>
                                    <w:top w:val="none" w:sz="0" w:space="0" w:color="auto"/>
                                    <w:left w:val="none" w:sz="0" w:space="0" w:color="auto"/>
                                    <w:bottom w:val="none" w:sz="0" w:space="0" w:color="auto"/>
                                    <w:right w:val="none" w:sz="0" w:space="0" w:color="auto"/>
                                  </w:divBdr>
                                  <w:divsChild>
                                    <w:div w:id="44136687">
                                      <w:marLeft w:val="0"/>
                                      <w:marRight w:val="0"/>
                                      <w:marTop w:val="0"/>
                                      <w:marBottom w:val="0"/>
                                      <w:divBdr>
                                        <w:top w:val="none" w:sz="0" w:space="0" w:color="auto"/>
                                        <w:left w:val="none" w:sz="0" w:space="0" w:color="auto"/>
                                        <w:bottom w:val="none" w:sz="0" w:space="0" w:color="auto"/>
                                        <w:right w:val="none" w:sz="0" w:space="0" w:color="auto"/>
                                      </w:divBdr>
                                      <w:divsChild>
                                        <w:div w:id="14731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32819">
                              <w:marLeft w:val="45"/>
                              <w:marRight w:val="0"/>
                              <w:marTop w:val="0"/>
                              <w:marBottom w:val="0"/>
                              <w:divBdr>
                                <w:top w:val="none" w:sz="0" w:space="0" w:color="auto"/>
                                <w:left w:val="none" w:sz="0" w:space="0" w:color="auto"/>
                                <w:bottom w:val="none" w:sz="0" w:space="0" w:color="auto"/>
                                <w:right w:val="none" w:sz="0" w:space="0" w:color="auto"/>
                              </w:divBdr>
                            </w:div>
                          </w:divsChild>
                        </w:div>
                        <w:div w:id="417210239">
                          <w:marLeft w:val="135"/>
                          <w:marRight w:val="45"/>
                          <w:marTop w:val="60"/>
                          <w:marBottom w:val="60"/>
                          <w:divBdr>
                            <w:top w:val="none" w:sz="0" w:space="0" w:color="auto"/>
                            <w:left w:val="none" w:sz="0" w:space="0" w:color="auto"/>
                            <w:bottom w:val="none" w:sz="0" w:space="0" w:color="auto"/>
                            <w:right w:val="none" w:sz="0" w:space="0" w:color="auto"/>
                          </w:divBdr>
                          <w:divsChild>
                            <w:div w:id="1860466420">
                              <w:marLeft w:val="0"/>
                              <w:marRight w:val="0"/>
                              <w:marTop w:val="0"/>
                              <w:marBottom w:val="0"/>
                              <w:divBdr>
                                <w:top w:val="none" w:sz="0" w:space="0" w:color="auto"/>
                                <w:left w:val="none" w:sz="0" w:space="0" w:color="auto"/>
                                <w:bottom w:val="none" w:sz="0" w:space="0" w:color="auto"/>
                                <w:right w:val="none" w:sz="0" w:space="0" w:color="auto"/>
                              </w:divBdr>
                              <w:divsChild>
                                <w:div w:id="752746632">
                                  <w:marLeft w:val="0"/>
                                  <w:marRight w:val="0"/>
                                  <w:marTop w:val="0"/>
                                  <w:marBottom w:val="0"/>
                                  <w:divBdr>
                                    <w:top w:val="none" w:sz="0" w:space="0" w:color="auto"/>
                                    <w:left w:val="none" w:sz="0" w:space="0" w:color="auto"/>
                                    <w:bottom w:val="none" w:sz="0" w:space="0" w:color="auto"/>
                                    <w:right w:val="none" w:sz="0" w:space="0" w:color="auto"/>
                                  </w:divBdr>
                                </w:div>
                                <w:div w:id="16134366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56462">
          <w:marLeft w:val="0"/>
          <w:marRight w:val="0"/>
          <w:marTop w:val="0"/>
          <w:marBottom w:val="0"/>
          <w:divBdr>
            <w:top w:val="none" w:sz="0" w:space="0" w:color="auto"/>
            <w:left w:val="none" w:sz="0" w:space="0" w:color="auto"/>
            <w:bottom w:val="none" w:sz="0" w:space="0" w:color="auto"/>
            <w:right w:val="none" w:sz="0" w:space="0" w:color="auto"/>
          </w:divBdr>
          <w:divsChild>
            <w:div w:id="818110780">
              <w:marLeft w:val="210"/>
              <w:marRight w:val="0"/>
              <w:marTop w:val="120"/>
              <w:marBottom w:val="0"/>
              <w:divBdr>
                <w:top w:val="none" w:sz="0" w:space="0" w:color="auto"/>
                <w:left w:val="none" w:sz="0" w:space="0" w:color="auto"/>
                <w:bottom w:val="none" w:sz="0" w:space="0" w:color="auto"/>
                <w:right w:val="none" w:sz="0" w:space="0" w:color="auto"/>
              </w:divBdr>
              <w:divsChild>
                <w:div w:id="736703172">
                  <w:marLeft w:val="0"/>
                  <w:marRight w:val="0"/>
                  <w:marTop w:val="0"/>
                  <w:marBottom w:val="0"/>
                  <w:divBdr>
                    <w:top w:val="none" w:sz="0" w:space="0" w:color="auto"/>
                    <w:left w:val="none" w:sz="0" w:space="0" w:color="auto"/>
                    <w:bottom w:val="none" w:sz="0" w:space="0" w:color="auto"/>
                    <w:right w:val="none" w:sz="0" w:space="0" w:color="auto"/>
                  </w:divBdr>
                  <w:divsChild>
                    <w:div w:id="15692179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17198687">
      <w:bodyDiv w:val="1"/>
      <w:marLeft w:val="0"/>
      <w:marRight w:val="0"/>
      <w:marTop w:val="0"/>
      <w:marBottom w:val="0"/>
      <w:divBdr>
        <w:top w:val="none" w:sz="0" w:space="0" w:color="auto"/>
        <w:left w:val="none" w:sz="0" w:space="0" w:color="auto"/>
        <w:bottom w:val="none" w:sz="0" w:space="0" w:color="auto"/>
        <w:right w:val="none" w:sz="0" w:space="0" w:color="auto"/>
      </w:divBdr>
      <w:divsChild>
        <w:div w:id="503403284">
          <w:marLeft w:val="0"/>
          <w:marRight w:val="0"/>
          <w:marTop w:val="0"/>
          <w:marBottom w:val="0"/>
          <w:divBdr>
            <w:top w:val="none" w:sz="0" w:space="0" w:color="auto"/>
            <w:left w:val="none" w:sz="0" w:space="0" w:color="auto"/>
            <w:bottom w:val="none" w:sz="0" w:space="0" w:color="auto"/>
            <w:right w:val="none" w:sz="0" w:space="0" w:color="auto"/>
          </w:divBdr>
          <w:divsChild>
            <w:div w:id="388848140">
              <w:marLeft w:val="0"/>
              <w:marRight w:val="0"/>
              <w:marTop w:val="0"/>
              <w:marBottom w:val="0"/>
              <w:divBdr>
                <w:top w:val="none" w:sz="0" w:space="0" w:color="auto"/>
                <w:left w:val="none" w:sz="0" w:space="0" w:color="auto"/>
                <w:bottom w:val="none" w:sz="0" w:space="0" w:color="auto"/>
                <w:right w:val="none" w:sz="0" w:space="0" w:color="auto"/>
              </w:divBdr>
              <w:divsChild>
                <w:div w:id="1735659201">
                  <w:marLeft w:val="0"/>
                  <w:marRight w:val="0"/>
                  <w:marTop w:val="0"/>
                  <w:marBottom w:val="0"/>
                  <w:divBdr>
                    <w:top w:val="none" w:sz="0" w:space="0" w:color="auto"/>
                    <w:left w:val="none" w:sz="0" w:space="0" w:color="auto"/>
                    <w:bottom w:val="none" w:sz="0" w:space="0" w:color="auto"/>
                    <w:right w:val="none" w:sz="0" w:space="0" w:color="auto"/>
                  </w:divBdr>
                  <w:divsChild>
                    <w:div w:id="601645803">
                      <w:marLeft w:val="0"/>
                      <w:marRight w:val="0"/>
                      <w:marTop w:val="0"/>
                      <w:marBottom w:val="0"/>
                      <w:divBdr>
                        <w:top w:val="none" w:sz="0" w:space="0" w:color="auto"/>
                        <w:left w:val="none" w:sz="0" w:space="0" w:color="auto"/>
                        <w:bottom w:val="none" w:sz="0" w:space="0" w:color="auto"/>
                        <w:right w:val="none" w:sz="0" w:space="0" w:color="auto"/>
                      </w:divBdr>
                      <w:divsChild>
                        <w:div w:id="860825850">
                          <w:marLeft w:val="0"/>
                          <w:marRight w:val="0"/>
                          <w:marTop w:val="0"/>
                          <w:marBottom w:val="0"/>
                          <w:divBdr>
                            <w:top w:val="none" w:sz="0" w:space="0" w:color="auto"/>
                            <w:left w:val="none" w:sz="0" w:space="0" w:color="auto"/>
                            <w:bottom w:val="none" w:sz="0" w:space="0" w:color="auto"/>
                            <w:right w:val="none" w:sz="0" w:space="0" w:color="auto"/>
                          </w:divBdr>
                          <w:divsChild>
                            <w:div w:id="1885752937">
                              <w:marLeft w:val="0"/>
                              <w:marRight w:val="0"/>
                              <w:marTop w:val="0"/>
                              <w:marBottom w:val="0"/>
                              <w:divBdr>
                                <w:top w:val="none" w:sz="0" w:space="0" w:color="auto"/>
                                <w:left w:val="none" w:sz="0" w:space="0" w:color="auto"/>
                                <w:bottom w:val="none" w:sz="0" w:space="0" w:color="auto"/>
                                <w:right w:val="none" w:sz="0" w:space="0" w:color="auto"/>
                              </w:divBdr>
                              <w:divsChild>
                                <w:div w:id="1396203593">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022975132">
      <w:bodyDiv w:val="1"/>
      <w:marLeft w:val="0"/>
      <w:marRight w:val="0"/>
      <w:marTop w:val="0"/>
      <w:marBottom w:val="0"/>
      <w:divBdr>
        <w:top w:val="none" w:sz="0" w:space="0" w:color="auto"/>
        <w:left w:val="none" w:sz="0" w:space="0" w:color="auto"/>
        <w:bottom w:val="none" w:sz="0" w:space="0" w:color="auto"/>
        <w:right w:val="none" w:sz="0" w:space="0" w:color="auto"/>
      </w:divBdr>
      <w:divsChild>
        <w:div w:id="574510124">
          <w:marLeft w:val="0"/>
          <w:marRight w:val="0"/>
          <w:marTop w:val="0"/>
          <w:marBottom w:val="0"/>
          <w:divBdr>
            <w:top w:val="none" w:sz="0" w:space="0" w:color="auto"/>
            <w:left w:val="none" w:sz="0" w:space="0" w:color="auto"/>
            <w:bottom w:val="none" w:sz="0" w:space="0" w:color="auto"/>
            <w:right w:val="none" w:sz="0" w:space="0" w:color="auto"/>
          </w:divBdr>
          <w:divsChild>
            <w:div w:id="12389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8114">
      <w:bodyDiv w:val="1"/>
      <w:marLeft w:val="0"/>
      <w:marRight w:val="0"/>
      <w:marTop w:val="0"/>
      <w:marBottom w:val="0"/>
      <w:divBdr>
        <w:top w:val="none" w:sz="0" w:space="0" w:color="auto"/>
        <w:left w:val="none" w:sz="0" w:space="0" w:color="auto"/>
        <w:bottom w:val="none" w:sz="0" w:space="0" w:color="auto"/>
        <w:right w:val="none" w:sz="0" w:space="0" w:color="auto"/>
      </w:divBdr>
    </w:div>
    <w:div w:id="1028532790">
      <w:bodyDiv w:val="1"/>
      <w:marLeft w:val="0"/>
      <w:marRight w:val="0"/>
      <w:marTop w:val="0"/>
      <w:marBottom w:val="0"/>
      <w:divBdr>
        <w:top w:val="none" w:sz="0" w:space="0" w:color="auto"/>
        <w:left w:val="none" w:sz="0" w:space="0" w:color="auto"/>
        <w:bottom w:val="none" w:sz="0" w:space="0" w:color="auto"/>
        <w:right w:val="none" w:sz="0" w:space="0" w:color="auto"/>
      </w:divBdr>
      <w:divsChild>
        <w:div w:id="438108931">
          <w:marLeft w:val="0"/>
          <w:marRight w:val="0"/>
          <w:marTop w:val="0"/>
          <w:marBottom w:val="0"/>
          <w:divBdr>
            <w:top w:val="none" w:sz="0" w:space="0" w:color="auto"/>
            <w:left w:val="none" w:sz="0" w:space="0" w:color="auto"/>
            <w:bottom w:val="none" w:sz="0" w:space="0" w:color="auto"/>
            <w:right w:val="none" w:sz="0" w:space="0" w:color="auto"/>
          </w:divBdr>
          <w:divsChild>
            <w:div w:id="1478524284">
              <w:marLeft w:val="210"/>
              <w:marRight w:val="0"/>
              <w:marTop w:val="120"/>
              <w:marBottom w:val="0"/>
              <w:divBdr>
                <w:top w:val="none" w:sz="0" w:space="0" w:color="auto"/>
                <w:left w:val="none" w:sz="0" w:space="0" w:color="auto"/>
                <w:bottom w:val="none" w:sz="0" w:space="0" w:color="auto"/>
                <w:right w:val="none" w:sz="0" w:space="0" w:color="auto"/>
              </w:divBdr>
              <w:divsChild>
                <w:div w:id="2120493288">
                  <w:marLeft w:val="0"/>
                  <w:marRight w:val="0"/>
                  <w:marTop w:val="0"/>
                  <w:marBottom w:val="0"/>
                  <w:divBdr>
                    <w:top w:val="none" w:sz="0" w:space="0" w:color="auto"/>
                    <w:left w:val="none" w:sz="0" w:space="0" w:color="auto"/>
                    <w:bottom w:val="none" w:sz="0" w:space="0" w:color="auto"/>
                    <w:right w:val="none" w:sz="0" w:space="0" w:color="auto"/>
                  </w:divBdr>
                  <w:divsChild>
                    <w:div w:id="114034364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988366067">
          <w:marLeft w:val="0"/>
          <w:marRight w:val="0"/>
          <w:marTop w:val="0"/>
          <w:marBottom w:val="0"/>
          <w:divBdr>
            <w:top w:val="none" w:sz="0" w:space="0" w:color="auto"/>
            <w:left w:val="none" w:sz="0" w:space="0" w:color="auto"/>
            <w:bottom w:val="none" w:sz="0" w:space="0" w:color="auto"/>
            <w:right w:val="none" w:sz="0" w:space="0" w:color="auto"/>
          </w:divBdr>
          <w:divsChild>
            <w:div w:id="2105955575">
              <w:marLeft w:val="0"/>
              <w:marRight w:val="0"/>
              <w:marTop w:val="0"/>
              <w:marBottom w:val="0"/>
              <w:divBdr>
                <w:top w:val="none" w:sz="0" w:space="0" w:color="auto"/>
                <w:left w:val="none" w:sz="0" w:space="0" w:color="auto"/>
                <w:bottom w:val="none" w:sz="0" w:space="0" w:color="auto"/>
                <w:right w:val="none" w:sz="0" w:space="0" w:color="auto"/>
              </w:divBdr>
              <w:divsChild>
                <w:div w:id="177476232">
                  <w:marLeft w:val="0"/>
                  <w:marRight w:val="0"/>
                  <w:marTop w:val="0"/>
                  <w:marBottom w:val="0"/>
                  <w:divBdr>
                    <w:top w:val="none" w:sz="0" w:space="0" w:color="auto"/>
                    <w:left w:val="none" w:sz="0" w:space="0" w:color="auto"/>
                    <w:bottom w:val="none" w:sz="0" w:space="0" w:color="auto"/>
                    <w:right w:val="none" w:sz="0" w:space="0" w:color="auto"/>
                  </w:divBdr>
                  <w:divsChild>
                    <w:div w:id="7761351">
                      <w:marLeft w:val="30"/>
                      <w:marRight w:val="30"/>
                      <w:marTop w:val="0"/>
                      <w:marBottom w:val="0"/>
                      <w:divBdr>
                        <w:top w:val="none" w:sz="0" w:space="0" w:color="auto"/>
                        <w:left w:val="none" w:sz="0" w:space="0" w:color="auto"/>
                        <w:bottom w:val="none" w:sz="0" w:space="0" w:color="auto"/>
                        <w:right w:val="none" w:sz="0" w:space="0" w:color="auto"/>
                      </w:divBdr>
                      <w:divsChild>
                        <w:div w:id="506141344">
                          <w:marLeft w:val="180"/>
                          <w:marRight w:val="210"/>
                          <w:marTop w:val="0"/>
                          <w:marBottom w:val="30"/>
                          <w:divBdr>
                            <w:top w:val="none" w:sz="0" w:space="0" w:color="auto"/>
                            <w:left w:val="none" w:sz="0" w:space="0" w:color="auto"/>
                            <w:bottom w:val="none" w:sz="0" w:space="0" w:color="auto"/>
                            <w:right w:val="none" w:sz="0" w:space="0" w:color="auto"/>
                          </w:divBdr>
                          <w:divsChild>
                            <w:div w:id="1705667138">
                              <w:marLeft w:val="0"/>
                              <w:marRight w:val="30"/>
                              <w:marTop w:val="0"/>
                              <w:marBottom w:val="0"/>
                              <w:divBdr>
                                <w:top w:val="none" w:sz="0" w:space="0" w:color="auto"/>
                                <w:left w:val="none" w:sz="0" w:space="0" w:color="auto"/>
                                <w:bottom w:val="none" w:sz="0" w:space="0" w:color="auto"/>
                                <w:right w:val="none" w:sz="0" w:space="0" w:color="auto"/>
                              </w:divBdr>
                              <w:divsChild>
                                <w:div w:id="197548007">
                                  <w:marLeft w:val="0"/>
                                  <w:marRight w:val="0"/>
                                  <w:marTop w:val="0"/>
                                  <w:marBottom w:val="0"/>
                                  <w:divBdr>
                                    <w:top w:val="none" w:sz="0" w:space="0" w:color="auto"/>
                                    <w:left w:val="none" w:sz="0" w:space="0" w:color="auto"/>
                                    <w:bottom w:val="none" w:sz="0" w:space="0" w:color="auto"/>
                                    <w:right w:val="none" w:sz="0" w:space="0" w:color="auto"/>
                                  </w:divBdr>
                                  <w:divsChild>
                                    <w:div w:id="104348199">
                                      <w:marLeft w:val="0"/>
                                      <w:marRight w:val="0"/>
                                      <w:marTop w:val="0"/>
                                      <w:marBottom w:val="0"/>
                                      <w:divBdr>
                                        <w:top w:val="none" w:sz="0" w:space="0" w:color="auto"/>
                                        <w:left w:val="none" w:sz="0" w:space="0" w:color="auto"/>
                                        <w:bottom w:val="none" w:sz="0" w:space="0" w:color="auto"/>
                                        <w:right w:val="none" w:sz="0" w:space="0" w:color="auto"/>
                                      </w:divBdr>
                                      <w:divsChild>
                                        <w:div w:id="48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22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299667">
      <w:bodyDiv w:val="1"/>
      <w:marLeft w:val="0"/>
      <w:marRight w:val="0"/>
      <w:marTop w:val="0"/>
      <w:marBottom w:val="0"/>
      <w:divBdr>
        <w:top w:val="none" w:sz="0" w:space="0" w:color="auto"/>
        <w:left w:val="none" w:sz="0" w:space="0" w:color="auto"/>
        <w:bottom w:val="none" w:sz="0" w:space="0" w:color="auto"/>
        <w:right w:val="none" w:sz="0" w:space="0" w:color="auto"/>
      </w:divBdr>
    </w:div>
    <w:div w:id="1032806599">
      <w:bodyDiv w:val="1"/>
      <w:marLeft w:val="0"/>
      <w:marRight w:val="0"/>
      <w:marTop w:val="0"/>
      <w:marBottom w:val="0"/>
      <w:divBdr>
        <w:top w:val="none" w:sz="0" w:space="0" w:color="auto"/>
        <w:left w:val="none" w:sz="0" w:space="0" w:color="auto"/>
        <w:bottom w:val="none" w:sz="0" w:space="0" w:color="auto"/>
        <w:right w:val="none" w:sz="0" w:space="0" w:color="auto"/>
      </w:divBdr>
    </w:div>
    <w:div w:id="1048993128">
      <w:bodyDiv w:val="1"/>
      <w:marLeft w:val="0"/>
      <w:marRight w:val="0"/>
      <w:marTop w:val="0"/>
      <w:marBottom w:val="0"/>
      <w:divBdr>
        <w:top w:val="none" w:sz="0" w:space="0" w:color="auto"/>
        <w:left w:val="none" w:sz="0" w:space="0" w:color="auto"/>
        <w:bottom w:val="none" w:sz="0" w:space="0" w:color="auto"/>
        <w:right w:val="none" w:sz="0" w:space="0" w:color="auto"/>
      </w:divBdr>
      <w:divsChild>
        <w:div w:id="417406983">
          <w:marLeft w:val="0"/>
          <w:marRight w:val="0"/>
          <w:marTop w:val="0"/>
          <w:marBottom w:val="0"/>
          <w:divBdr>
            <w:top w:val="none" w:sz="0" w:space="0" w:color="auto"/>
            <w:left w:val="none" w:sz="0" w:space="0" w:color="auto"/>
            <w:bottom w:val="none" w:sz="0" w:space="0" w:color="auto"/>
            <w:right w:val="none" w:sz="0" w:space="0" w:color="auto"/>
          </w:divBdr>
          <w:divsChild>
            <w:div w:id="52587828">
              <w:marLeft w:val="0"/>
              <w:marRight w:val="0"/>
              <w:marTop w:val="0"/>
              <w:marBottom w:val="0"/>
              <w:divBdr>
                <w:top w:val="none" w:sz="0" w:space="0" w:color="auto"/>
                <w:left w:val="none" w:sz="0" w:space="0" w:color="auto"/>
                <w:bottom w:val="none" w:sz="0" w:space="0" w:color="auto"/>
                <w:right w:val="none" w:sz="0" w:space="0" w:color="auto"/>
              </w:divBdr>
              <w:divsChild>
                <w:div w:id="336812922">
                  <w:marLeft w:val="0"/>
                  <w:marRight w:val="0"/>
                  <w:marTop w:val="0"/>
                  <w:marBottom w:val="0"/>
                  <w:divBdr>
                    <w:top w:val="none" w:sz="0" w:space="0" w:color="auto"/>
                    <w:left w:val="none" w:sz="0" w:space="0" w:color="auto"/>
                    <w:bottom w:val="none" w:sz="0" w:space="0" w:color="auto"/>
                    <w:right w:val="none" w:sz="0" w:space="0" w:color="auto"/>
                  </w:divBdr>
                  <w:divsChild>
                    <w:div w:id="978607388">
                      <w:marLeft w:val="0"/>
                      <w:marRight w:val="0"/>
                      <w:marTop w:val="0"/>
                      <w:marBottom w:val="0"/>
                      <w:divBdr>
                        <w:top w:val="none" w:sz="0" w:space="0" w:color="auto"/>
                        <w:left w:val="none" w:sz="0" w:space="0" w:color="auto"/>
                        <w:bottom w:val="none" w:sz="0" w:space="0" w:color="auto"/>
                        <w:right w:val="none" w:sz="0" w:space="0" w:color="auto"/>
                      </w:divBdr>
                      <w:divsChild>
                        <w:div w:id="1297686989">
                          <w:marLeft w:val="0"/>
                          <w:marRight w:val="0"/>
                          <w:marTop w:val="0"/>
                          <w:marBottom w:val="0"/>
                          <w:divBdr>
                            <w:top w:val="none" w:sz="0" w:space="0" w:color="auto"/>
                            <w:left w:val="none" w:sz="0" w:space="0" w:color="auto"/>
                            <w:bottom w:val="none" w:sz="0" w:space="0" w:color="auto"/>
                            <w:right w:val="none" w:sz="0" w:space="0" w:color="auto"/>
                          </w:divBdr>
                          <w:divsChild>
                            <w:div w:id="1374040096">
                              <w:marLeft w:val="0"/>
                              <w:marRight w:val="0"/>
                              <w:marTop w:val="0"/>
                              <w:marBottom w:val="0"/>
                              <w:divBdr>
                                <w:top w:val="none" w:sz="0" w:space="0" w:color="auto"/>
                                <w:left w:val="none" w:sz="0" w:space="0" w:color="auto"/>
                                <w:bottom w:val="none" w:sz="0" w:space="0" w:color="auto"/>
                                <w:right w:val="none" w:sz="0" w:space="0" w:color="auto"/>
                              </w:divBdr>
                              <w:divsChild>
                                <w:div w:id="991373931">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056853121">
      <w:bodyDiv w:val="1"/>
      <w:marLeft w:val="0"/>
      <w:marRight w:val="0"/>
      <w:marTop w:val="0"/>
      <w:marBottom w:val="0"/>
      <w:divBdr>
        <w:top w:val="none" w:sz="0" w:space="0" w:color="auto"/>
        <w:left w:val="none" w:sz="0" w:space="0" w:color="auto"/>
        <w:bottom w:val="none" w:sz="0" w:space="0" w:color="auto"/>
        <w:right w:val="none" w:sz="0" w:space="0" w:color="auto"/>
      </w:divBdr>
    </w:div>
    <w:div w:id="1064764070">
      <w:bodyDiv w:val="1"/>
      <w:marLeft w:val="0"/>
      <w:marRight w:val="0"/>
      <w:marTop w:val="0"/>
      <w:marBottom w:val="0"/>
      <w:divBdr>
        <w:top w:val="none" w:sz="0" w:space="0" w:color="auto"/>
        <w:left w:val="none" w:sz="0" w:space="0" w:color="auto"/>
        <w:bottom w:val="none" w:sz="0" w:space="0" w:color="auto"/>
        <w:right w:val="none" w:sz="0" w:space="0" w:color="auto"/>
      </w:divBdr>
    </w:div>
    <w:div w:id="1087119415">
      <w:bodyDiv w:val="1"/>
      <w:marLeft w:val="0"/>
      <w:marRight w:val="0"/>
      <w:marTop w:val="0"/>
      <w:marBottom w:val="0"/>
      <w:divBdr>
        <w:top w:val="none" w:sz="0" w:space="0" w:color="auto"/>
        <w:left w:val="none" w:sz="0" w:space="0" w:color="auto"/>
        <w:bottom w:val="none" w:sz="0" w:space="0" w:color="auto"/>
        <w:right w:val="none" w:sz="0" w:space="0" w:color="auto"/>
      </w:divBdr>
      <w:divsChild>
        <w:div w:id="678703883">
          <w:marLeft w:val="0"/>
          <w:marRight w:val="0"/>
          <w:marTop w:val="0"/>
          <w:marBottom w:val="0"/>
          <w:divBdr>
            <w:top w:val="none" w:sz="0" w:space="0" w:color="auto"/>
            <w:left w:val="none" w:sz="0" w:space="0" w:color="auto"/>
            <w:bottom w:val="none" w:sz="0" w:space="0" w:color="auto"/>
            <w:right w:val="none" w:sz="0" w:space="0" w:color="auto"/>
          </w:divBdr>
          <w:divsChild>
            <w:div w:id="1910846469">
              <w:marLeft w:val="0"/>
              <w:marRight w:val="0"/>
              <w:marTop w:val="0"/>
              <w:marBottom w:val="0"/>
              <w:divBdr>
                <w:top w:val="none" w:sz="0" w:space="0" w:color="auto"/>
                <w:left w:val="none" w:sz="0" w:space="0" w:color="auto"/>
                <w:bottom w:val="none" w:sz="0" w:space="0" w:color="auto"/>
                <w:right w:val="none" w:sz="0" w:space="0" w:color="auto"/>
              </w:divBdr>
              <w:divsChild>
                <w:div w:id="494616423">
                  <w:marLeft w:val="0"/>
                  <w:marRight w:val="0"/>
                  <w:marTop w:val="0"/>
                  <w:marBottom w:val="0"/>
                  <w:divBdr>
                    <w:top w:val="none" w:sz="0" w:space="0" w:color="auto"/>
                    <w:left w:val="none" w:sz="0" w:space="0" w:color="auto"/>
                    <w:bottom w:val="none" w:sz="0" w:space="0" w:color="auto"/>
                    <w:right w:val="none" w:sz="0" w:space="0" w:color="auto"/>
                  </w:divBdr>
                  <w:divsChild>
                    <w:div w:id="797457069">
                      <w:marLeft w:val="30"/>
                      <w:marRight w:val="30"/>
                      <w:marTop w:val="0"/>
                      <w:marBottom w:val="0"/>
                      <w:divBdr>
                        <w:top w:val="none" w:sz="0" w:space="0" w:color="auto"/>
                        <w:left w:val="none" w:sz="0" w:space="0" w:color="auto"/>
                        <w:bottom w:val="none" w:sz="0" w:space="0" w:color="auto"/>
                        <w:right w:val="none" w:sz="0" w:space="0" w:color="auto"/>
                      </w:divBdr>
                      <w:divsChild>
                        <w:div w:id="1398363230">
                          <w:marLeft w:val="135"/>
                          <w:marRight w:val="45"/>
                          <w:marTop w:val="60"/>
                          <w:marBottom w:val="60"/>
                          <w:divBdr>
                            <w:top w:val="none" w:sz="0" w:space="0" w:color="auto"/>
                            <w:left w:val="none" w:sz="0" w:space="0" w:color="auto"/>
                            <w:bottom w:val="none" w:sz="0" w:space="0" w:color="auto"/>
                            <w:right w:val="none" w:sz="0" w:space="0" w:color="auto"/>
                          </w:divBdr>
                          <w:divsChild>
                            <w:div w:id="1248806332">
                              <w:marLeft w:val="0"/>
                              <w:marRight w:val="0"/>
                              <w:marTop w:val="0"/>
                              <w:marBottom w:val="0"/>
                              <w:divBdr>
                                <w:top w:val="none" w:sz="0" w:space="0" w:color="auto"/>
                                <w:left w:val="none" w:sz="0" w:space="0" w:color="auto"/>
                                <w:bottom w:val="none" w:sz="0" w:space="0" w:color="auto"/>
                                <w:right w:val="none" w:sz="0" w:space="0" w:color="auto"/>
                              </w:divBdr>
                              <w:divsChild>
                                <w:div w:id="17718524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71775063">
                          <w:marLeft w:val="0"/>
                          <w:marRight w:val="90"/>
                          <w:marTop w:val="90"/>
                          <w:marBottom w:val="30"/>
                          <w:divBdr>
                            <w:top w:val="none" w:sz="0" w:space="0" w:color="auto"/>
                            <w:left w:val="none" w:sz="0" w:space="0" w:color="auto"/>
                            <w:bottom w:val="none" w:sz="0" w:space="0" w:color="auto"/>
                            <w:right w:val="none" w:sz="0" w:space="0" w:color="auto"/>
                          </w:divBdr>
                          <w:divsChild>
                            <w:div w:id="348920008">
                              <w:marLeft w:val="0"/>
                              <w:marRight w:val="30"/>
                              <w:marTop w:val="0"/>
                              <w:marBottom w:val="0"/>
                              <w:divBdr>
                                <w:top w:val="none" w:sz="0" w:space="0" w:color="auto"/>
                                <w:left w:val="none" w:sz="0" w:space="0" w:color="auto"/>
                                <w:bottom w:val="none" w:sz="0" w:space="0" w:color="auto"/>
                                <w:right w:val="none" w:sz="0" w:space="0" w:color="auto"/>
                              </w:divBdr>
                              <w:divsChild>
                                <w:div w:id="1990859858">
                                  <w:marLeft w:val="0"/>
                                  <w:marRight w:val="0"/>
                                  <w:marTop w:val="0"/>
                                  <w:marBottom w:val="0"/>
                                  <w:divBdr>
                                    <w:top w:val="none" w:sz="0" w:space="0" w:color="auto"/>
                                    <w:left w:val="none" w:sz="0" w:space="0" w:color="auto"/>
                                    <w:bottom w:val="none" w:sz="0" w:space="0" w:color="auto"/>
                                    <w:right w:val="none" w:sz="0" w:space="0" w:color="auto"/>
                                  </w:divBdr>
                                  <w:divsChild>
                                    <w:div w:id="1932229170">
                                      <w:marLeft w:val="0"/>
                                      <w:marRight w:val="0"/>
                                      <w:marTop w:val="0"/>
                                      <w:marBottom w:val="0"/>
                                      <w:divBdr>
                                        <w:top w:val="none" w:sz="0" w:space="0" w:color="auto"/>
                                        <w:left w:val="none" w:sz="0" w:space="0" w:color="auto"/>
                                        <w:bottom w:val="none" w:sz="0" w:space="0" w:color="auto"/>
                                        <w:right w:val="none" w:sz="0" w:space="0" w:color="auto"/>
                                      </w:divBdr>
                                      <w:divsChild>
                                        <w:div w:id="15921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7891">
                              <w:marLeft w:val="45"/>
                              <w:marRight w:val="0"/>
                              <w:marTop w:val="0"/>
                              <w:marBottom w:val="0"/>
                              <w:divBdr>
                                <w:top w:val="none" w:sz="0" w:space="0" w:color="auto"/>
                                <w:left w:val="none" w:sz="0" w:space="0" w:color="auto"/>
                                <w:bottom w:val="none" w:sz="0" w:space="0" w:color="auto"/>
                                <w:right w:val="none" w:sz="0" w:space="0" w:color="auto"/>
                              </w:divBdr>
                            </w:div>
                            <w:div w:id="1230001474">
                              <w:marLeft w:val="0"/>
                              <w:marRight w:val="0"/>
                              <w:marTop w:val="0"/>
                              <w:marBottom w:val="0"/>
                              <w:divBdr>
                                <w:top w:val="none" w:sz="0" w:space="0" w:color="auto"/>
                                <w:left w:val="none" w:sz="0" w:space="0" w:color="auto"/>
                                <w:bottom w:val="none" w:sz="0" w:space="0" w:color="auto"/>
                                <w:right w:val="none" w:sz="0" w:space="0" w:color="auto"/>
                              </w:divBdr>
                              <w:divsChild>
                                <w:div w:id="77221466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946153694">
                      <w:marLeft w:val="30"/>
                      <w:marRight w:val="30"/>
                      <w:marTop w:val="0"/>
                      <w:marBottom w:val="0"/>
                      <w:divBdr>
                        <w:top w:val="none" w:sz="0" w:space="0" w:color="auto"/>
                        <w:left w:val="none" w:sz="0" w:space="0" w:color="auto"/>
                        <w:bottom w:val="none" w:sz="0" w:space="0" w:color="auto"/>
                        <w:right w:val="none" w:sz="0" w:space="0" w:color="auto"/>
                      </w:divBdr>
                      <w:divsChild>
                        <w:div w:id="202862865">
                          <w:marLeft w:val="180"/>
                          <w:marRight w:val="210"/>
                          <w:marTop w:val="0"/>
                          <w:marBottom w:val="30"/>
                          <w:divBdr>
                            <w:top w:val="none" w:sz="0" w:space="0" w:color="auto"/>
                            <w:left w:val="none" w:sz="0" w:space="0" w:color="auto"/>
                            <w:bottom w:val="none" w:sz="0" w:space="0" w:color="auto"/>
                            <w:right w:val="none" w:sz="0" w:space="0" w:color="auto"/>
                          </w:divBdr>
                          <w:divsChild>
                            <w:div w:id="910693700">
                              <w:marLeft w:val="0"/>
                              <w:marRight w:val="30"/>
                              <w:marTop w:val="0"/>
                              <w:marBottom w:val="0"/>
                              <w:divBdr>
                                <w:top w:val="none" w:sz="0" w:space="0" w:color="auto"/>
                                <w:left w:val="none" w:sz="0" w:space="0" w:color="auto"/>
                                <w:bottom w:val="none" w:sz="0" w:space="0" w:color="auto"/>
                                <w:right w:val="none" w:sz="0" w:space="0" w:color="auto"/>
                              </w:divBdr>
                              <w:divsChild>
                                <w:div w:id="1148939283">
                                  <w:marLeft w:val="0"/>
                                  <w:marRight w:val="0"/>
                                  <w:marTop w:val="0"/>
                                  <w:marBottom w:val="0"/>
                                  <w:divBdr>
                                    <w:top w:val="none" w:sz="0" w:space="0" w:color="auto"/>
                                    <w:left w:val="none" w:sz="0" w:space="0" w:color="auto"/>
                                    <w:bottom w:val="none" w:sz="0" w:space="0" w:color="auto"/>
                                    <w:right w:val="none" w:sz="0" w:space="0" w:color="auto"/>
                                  </w:divBdr>
                                  <w:divsChild>
                                    <w:div w:id="561257626">
                                      <w:marLeft w:val="0"/>
                                      <w:marRight w:val="0"/>
                                      <w:marTop w:val="0"/>
                                      <w:marBottom w:val="0"/>
                                      <w:divBdr>
                                        <w:top w:val="none" w:sz="0" w:space="0" w:color="auto"/>
                                        <w:left w:val="none" w:sz="0" w:space="0" w:color="auto"/>
                                        <w:bottom w:val="none" w:sz="0" w:space="0" w:color="auto"/>
                                        <w:right w:val="none" w:sz="0" w:space="0" w:color="auto"/>
                                      </w:divBdr>
                                      <w:divsChild>
                                        <w:div w:id="59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411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70541725">
                      <w:marLeft w:val="30"/>
                      <w:marRight w:val="30"/>
                      <w:marTop w:val="0"/>
                      <w:marBottom w:val="0"/>
                      <w:divBdr>
                        <w:top w:val="none" w:sz="0" w:space="0" w:color="auto"/>
                        <w:left w:val="none" w:sz="0" w:space="0" w:color="auto"/>
                        <w:bottom w:val="none" w:sz="0" w:space="0" w:color="auto"/>
                        <w:right w:val="none" w:sz="0" w:space="0" w:color="auto"/>
                      </w:divBdr>
                      <w:divsChild>
                        <w:div w:id="1051198213">
                          <w:marLeft w:val="135"/>
                          <w:marRight w:val="45"/>
                          <w:marTop w:val="60"/>
                          <w:marBottom w:val="60"/>
                          <w:divBdr>
                            <w:top w:val="none" w:sz="0" w:space="0" w:color="auto"/>
                            <w:left w:val="none" w:sz="0" w:space="0" w:color="auto"/>
                            <w:bottom w:val="none" w:sz="0" w:space="0" w:color="auto"/>
                            <w:right w:val="none" w:sz="0" w:space="0" w:color="auto"/>
                          </w:divBdr>
                          <w:divsChild>
                            <w:div w:id="536429868">
                              <w:marLeft w:val="0"/>
                              <w:marRight w:val="0"/>
                              <w:marTop w:val="0"/>
                              <w:marBottom w:val="0"/>
                              <w:divBdr>
                                <w:top w:val="none" w:sz="0" w:space="0" w:color="auto"/>
                                <w:left w:val="none" w:sz="0" w:space="0" w:color="auto"/>
                                <w:bottom w:val="none" w:sz="0" w:space="0" w:color="auto"/>
                                <w:right w:val="none" w:sz="0" w:space="0" w:color="auto"/>
                              </w:divBdr>
                              <w:divsChild>
                                <w:div w:id="1310481525">
                                  <w:marLeft w:val="0"/>
                                  <w:marRight w:val="150"/>
                                  <w:marTop w:val="0"/>
                                  <w:marBottom w:val="0"/>
                                  <w:divBdr>
                                    <w:top w:val="none" w:sz="0" w:space="0" w:color="auto"/>
                                    <w:left w:val="none" w:sz="0" w:space="0" w:color="auto"/>
                                    <w:bottom w:val="none" w:sz="0" w:space="0" w:color="auto"/>
                                    <w:right w:val="none" w:sz="0" w:space="0" w:color="auto"/>
                                  </w:divBdr>
                                </w:div>
                                <w:div w:id="14117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7329">
                          <w:marLeft w:val="0"/>
                          <w:marRight w:val="90"/>
                          <w:marTop w:val="90"/>
                          <w:marBottom w:val="30"/>
                          <w:divBdr>
                            <w:top w:val="none" w:sz="0" w:space="0" w:color="auto"/>
                            <w:left w:val="none" w:sz="0" w:space="0" w:color="auto"/>
                            <w:bottom w:val="none" w:sz="0" w:space="0" w:color="auto"/>
                            <w:right w:val="none" w:sz="0" w:space="0" w:color="auto"/>
                          </w:divBdr>
                          <w:divsChild>
                            <w:div w:id="1256746097">
                              <w:marLeft w:val="0"/>
                              <w:marRight w:val="30"/>
                              <w:marTop w:val="0"/>
                              <w:marBottom w:val="0"/>
                              <w:divBdr>
                                <w:top w:val="none" w:sz="0" w:space="0" w:color="auto"/>
                                <w:left w:val="none" w:sz="0" w:space="0" w:color="auto"/>
                                <w:bottom w:val="none" w:sz="0" w:space="0" w:color="auto"/>
                                <w:right w:val="none" w:sz="0" w:space="0" w:color="auto"/>
                              </w:divBdr>
                              <w:divsChild>
                                <w:div w:id="216748089">
                                  <w:marLeft w:val="0"/>
                                  <w:marRight w:val="0"/>
                                  <w:marTop w:val="0"/>
                                  <w:marBottom w:val="0"/>
                                  <w:divBdr>
                                    <w:top w:val="none" w:sz="0" w:space="0" w:color="auto"/>
                                    <w:left w:val="none" w:sz="0" w:space="0" w:color="auto"/>
                                    <w:bottom w:val="none" w:sz="0" w:space="0" w:color="auto"/>
                                    <w:right w:val="none" w:sz="0" w:space="0" w:color="auto"/>
                                  </w:divBdr>
                                  <w:divsChild>
                                    <w:div w:id="1457941468">
                                      <w:marLeft w:val="0"/>
                                      <w:marRight w:val="0"/>
                                      <w:marTop w:val="0"/>
                                      <w:marBottom w:val="0"/>
                                      <w:divBdr>
                                        <w:top w:val="none" w:sz="0" w:space="0" w:color="auto"/>
                                        <w:left w:val="none" w:sz="0" w:space="0" w:color="auto"/>
                                        <w:bottom w:val="none" w:sz="0" w:space="0" w:color="auto"/>
                                        <w:right w:val="none" w:sz="0" w:space="0" w:color="auto"/>
                                      </w:divBdr>
                                      <w:divsChild>
                                        <w:div w:id="4952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882">
                              <w:marLeft w:val="45"/>
                              <w:marRight w:val="0"/>
                              <w:marTop w:val="0"/>
                              <w:marBottom w:val="0"/>
                              <w:divBdr>
                                <w:top w:val="none" w:sz="0" w:space="0" w:color="auto"/>
                                <w:left w:val="none" w:sz="0" w:space="0" w:color="auto"/>
                                <w:bottom w:val="none" w:sz="0" w:space="0" w:color="auto"/>
                                <w:right w:val="none" w:sz="0" w:space="0" w:color="auto"/>
                              </w:divBdr>
                            </w:div>
                            <w:div w:id="2031451973">
                              <w:marLeft w:val="0"/>
                              <w:marRight w:val="0"/>
                              <w:marTop w:val="0"/>
                              <w:marBottom w:val="0"/>
                              <w:divBdr>
                                <w:top w:val="none" w:sz="0" w:space="0" w:color="auto"/>
                                <w:left w:val="none" w:sz="0" w:space="0" w:color="auto"/>
                                <w:bottom w:val="none" w:sz="0" w:space="0" w:color="auto"/>
                                <w:right w:val="none" w:sz="0" w:space="0" w:color="auto"/>
                              </w:divBdr>
                              <w:divsChild>
                                <w:div w:id="146095816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113137">
          <w:marLeft w:val="0"/>
          <w:marRight w:val="0"/>
          <w:marTop w:val="0"/>
          <w:marBottom w:val="0"/>
          <w:divBdr>
            <w:top w:val="none" w:sz="0" w:space="0" w:color="auto"/>
            <w:left w:val="none" w:sz="0" w:space="0" w:color="auto"/>
            <w:bottom w:val="none" w:sz="0" w:space="0" w:color="auto"/>
            <w:right w:val="none" w:sz="0" w:space="0" w:color="auto"/>
          </w:divBdr>
          <w:divsChild>
            <w:div w:id="1081756417">
              <w:marLeft w:val="210"/>
              <w:marRight w:val="0"/>
              <w:marTop w:val="120"/>
              <w:marBottom w:val="0"/>
              <w:divBdr>
                <w:top w:val="none" w:sz="0" w:space="0" w:color="auto"/>
                <w:left w:val="none" w:sz="0" w:space="0" w:color="auto"/>
                <w:bottom w:val="none" w:sz="0" w:space="0" w:color="auto"/>
                <w:right w:val="none" w:sz="0" w:space="0" w:color="auto"/>
              </w:divBdr>
              <w:divsChild>
                <w:div w:id="2067294824">
                  <w:marLeft w:val="0"/>
                  <w:marRight w:val="0"/>
                  <w:marTop w:val="0"/>
                  <w:marBottom w:val="0"/>
                  <w:divBdr>
                    <w:top w:val="none" w:sz="0" w:space="0" w:color="auto"/>
                    <w:left w:val="none" w:sz="0" w:space="0" w:color="auto"/>
                    <w:bottom w:val="none" w:sz="0" w:space="0" w:color="auto"/>
                    <w:right w:val="none" w:sz="0" w:space="0" w:color="auto"/>
                  </w:divBdr>
                  <w:divsChild>
                    <w:div w:id="127848783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92123136">
      <w:bodyDiv w:val="1"/>
      <w:marLeft w:val="0"/>
      <w:marRight w:val="0"/>
      <w:marTop w:val="0"/>
      <w:marBottom w:val="0"/>
      <w:divBdr>
        <w:top w:val="none" w:sz="0" w:space="0" w:color="auto"/>
        <w:left w:val="none" w:sz="0" w:space="0" w:color="auto"/>
        <w:bottom w:val="none" w:sz="0" w:space="0" w:color="auto"/>
        <w:right w:val="none" w:sz="0" w:space="0" w:color="auto"/>
      </w:divBdr>
    </w:div>
    <w:div w:id="1095593349">
      <w:bodyDiv w:val="1"/>
      <w:marLeft w:val="0"/>
      <w:marRight w:val="0"/>
      <w:marTop w:val="0"/>
      <w:marBottom w:val="0"/>
      <w:divBdr>
        <w:top w:val="none" w:sz="0" w:space="0" w:color="auto"/>
        <w:left w:val="none" w:sz="0" w:space="0" w:color="auto"/>
        <w:bottom w:val="none" w:sz="0" w:space="0" w:color="auto"/>
        <w:right w:val="none" w:sz="0" w:space="0" w:color="auto"/>
      </w:divBdr>
      <w:divsChild>
        <w:div w:id="106243950">
          <w:marLeft w:val="0"/>
          <w:marRight w:val="0"/>
          <w:marTop w:val="0"/>
          <w:marBottom w:val="0"/>
          <w:divBdr>
            <w:top w:val="none" w:sz="0" w:space="0" w:color="auto"/>
            <w:left w:val="none" w:sz="0" w:space="0" w:color="auto"/>
            <w:bottom w:val="none" w:sz="0" w:space="0" w:color="auto"/>
            <w:right w:val="none" w:sz="0" w:space="0" w:color="auto"/>
          </w:divBdr>
          <w:divsChild>
            <w:div w:id="1137451411">
              <w:marLeft w:val="0"/>
              <w:marRight w:val="0"/>
              <w:marTop w:val="0"/>
              <w:marBottom w:val="0"/>
              <w:divBdr>
                <w:top w:val="none" w:sz="0" w:space="0" w:color="auto"/>
                <w:left w:val="none" w:sz="0" w:space="0" w:color="auto"/>
                <w:bottom w:val="none" w:sz="0" w:space="0" w:color="auto"/>
                <w:right w:val="none" w:sz="0" w:space="0" w:color="auto"/>
              </w:divBdr>
              <w:divsChild>
                <w:div w:id="1274702393">
                  <w:marLeft w:val="0"/>
                  <w:marRight w:val="0"/>
                  <w:marTop w:val="0"/>
                  <w:marBottom w:val="0"/>
                  <w:divBdr>
                    <w:top w:val="none" w:sz="0" w:space="0" w:color="auto"/>
                    <w:left w:val="none" w:sz="0" w:space="0" w:color="auto"/>
                    <w:bottom w:val="none" w:sz="0" w:space="0" w:color="auto"/>
                    <w:right w:val="none" w:sz="0" w:space="0" w:color="auto"/>
                  </w:divBdr>
                  <w:divsChild>
                    <w:div w:id="2063558999">
                      <w:marLeft w:val="30"/>
                      <w:marRight w:val="30"/>
                      <w:marTop w:val="0"/>
                      <w:marBottom w:val="0"/>
                      <w:divBdr>
                        <w:top w:val="none" w:sz="0" w:space="0" w:color="auto"/>
                        <w:left w:val="none" w:sz="0" w:space="0" w:color="auto"/>
                        <w:bottom w:val="none" w:sz="0" w:space="0" w:color="auto"/>
                        <w:right w:val="none" w:sz="0" w:space="0" w:color="auto"/>
                      </w:divBdr>
                      <w:divsChild>
                        <w:div w:id="1548107680">
                          <w:marLeft w:val="180"/>
                          <w:marRight w:val="210"/>
                          <w:marTop w:val="0"/>
                          <w:marBottom w:val="30"/>
                          <w:divBdr>
                            <w:top w:val="none" w:sz="0" w:space="0" w:color="auto"/>
                            <w:left w:val="none" w:sz="0" w:space="0" w:color="auto"/>
                            <w:bottom w:val="none" w:sz="0" w:space="0" w:color="auto"/>
                            <w:right w:val="none" w:sz="0" w:space="0" w:color="auto"/>
                          </w:divBdr>
                          <w:divsChild>
                            <w:div w:id="654460062">
                              <w:marLeft w:val="0"/>
                              <w:marRight w:val="30"/>
                              <w:marTop w:val="0"/>
                              <w:marBottom w:val="0"/>
                              <w:divBdr>
                                <w:top w:val="none" w:sz="0" w:space="0" w:color="auto"/>
                                <w:left w:val="none" w:sz="0" w:space="0" w:color="auto"/>
                                <w:bottom w:val="none" w:sz="0" w:space="0" w:color="auto"/>
                                <w:right w:val="none" w:sz="0" w:space="0" w:color="auto"/>
                              </w:divBdr>
                              <w:divsChild>
                                <w:div w:id="302658424">
                                  <w:marLeft w:val="0"/>
                                  <w:marRight w:val="0"/>
                                  <w:marTop w:val="0"/>
                                  <w:marBottom w:val="0"/>
                                  <w:divBdr>
                                    <w:top w:val="none" w:sz="0" w:space="0" w:color="auto"/>
                                    <w:left w:val="none" w:sz="0" w:space="0" w:color="auto"/>
                                    <w:bottom w:val="none" w:sz="0" w:space="0" w:color="auto"/>
                                    <w:right w:val="none" w:sz="0" w:space="0" w:color="auto"/>
                                  </w:divBdr>
                                  <w:divsChild>
                                    <w:div w:id="1250457005">
                                      <w:marLeft w:val="0"/>
                                      <w:marRight w:val="0"/>
                                      <w:marTop w:val="0"/>
                                      <w:marBottom w:val="0"/>
                                      <w:divBdr>
                                        <w:top w:val="none" w:sz="0" w:space="0" w:color="auto"/>
                                        <w:left w:val="none" w:sz="0" w:space="0" w:color="auto"/>
                                        <w:bottom w:val="none" w:sz="0" w:space="0" w:color="auto"/>
                                        <w:right w:val="none" w:sz="0" w:space="0" w:color="auto"/>
                                      </w:divBdr>
                                      <w:divsChild>
                                        <w:div w:id="16283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60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7566">
          <w:marLeft w:val="0"/>
          <w:marRight w:val="0"/>
          <w:marTop w:val="0"/>
          <w:marBottom w:val="0"/>
          <w:divBdr>
            <w:top w:val="none" w:sz="0" w:space="0" w:color="auto"/>
            <w:left w:val="none" w:sz="0" w:space="0" w:color="auto"/>
            <w:bottom w:val="none" w:sz="0" w:space="0" w:color="auto"/>
            <w:right w:val="none" w:sz="0" w:space="0" w:color="auto"/>
          </w:divBdr>
          <w:divsChild>
            <w:div w:id="1389257444">
              <w:marLeft w:val="210"/>
              <w:marRight w:val="0"/>
              <w:marTop w:val="120"/>
              <w:marBottom w:val="0"/>
              <w:divBdr>
                <w:top w:val="none" w:sz="0" w:space="0" w:color="auto"/>
                <w:left w:val="none" w:sz="0" w:space="0" w:color="auto"/>
                <w:bottom w:val="none" w:sz="0" w:space="0" w:color="auto"/>
                <w:right w:val="none" w:sz="0" w:space="0" w:color="auto"/>
              </w:divBdr>
              <w:divsChild>
                <w:div w:id="1495412705">
                  <w:marLeft w:val="0"/>
                  <w:marRight w:val="0"/>
                  <w:marTop w:val="0"/>
                  <w:marBottom w:val="0"/>
                  <w:divBdr>
                    <w:top w:val="none" w:sz="0" w:space="0" w:color="auto"/>
                    <w:left w:val="none" w:sz="0" w:space="0" w:color="auto"/>
                    <w:bottom w:val="none" w:sz="0" w:space="0" w:color="auto"/>
                    <w:right w:val="none" w:sz="0" w:space="0" w:color="auto"/>
                  </w:divBdr>
                  <w:divsChild>
                    <w:div w:id="16694842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101148038">
      <w:bodyDiv w:val="1"/>
      <w:marLeft w:val="0"/>
      <w:marRight w:val="0"/>
      <w:marTop w:val="0"/>
      <w:marBottom w:val="0"/>
      <w:divBdr>
        <w:top w:val="none" w:sz="0" w:space="0" w:color="auto"/>
        <w:left w:val="none" w:sz="0" w:space="0" w:color="auto"/>
        <w:bottom w:val="none" w:sz="0" w:space="0" w:color="auto"/>
        <w:right w:val="none" w:sz="0" w:space="0" w:color="auto"/>
      </w:divBdr>
    </w:div>
    <w:div w:id="1115097322">
      <w:bodyDiv w:val="1"/>
      <w:marLeft w:val="0"/>
      <w:marRight w:val="0"/>
      <w:marTop w:val="0"/>
      <w:marBottom w:val="0"/>
      <w:divBdr>
        <w:top w:val="none" w:sz="0" w:space="0" w:color="auto"/>
        <w:left w:val="none" w:sz="0" w:space="0" w:color="auto"/>
        <w:bottom w:val="none" w:sz="0" w:space="0" w:color="auto"/>
        <w:right w:val="none" w:sz="0" w:space="0" w:color="auto"/>
      </w:divBdr>
      <w:divsChild>
        <w:div w:id="1759206431">
          <w:marLeft w:val="446"/>
          <w:marRight w:val="0"/>
          <w:marTop w:val="0"/>
          <w:marBottom w:val="120"/>
          <w:divBdr>
            <w:top w:val="none" w:sz="0" w:space="0" w:color="auto"/>
            <w:left w:val="none" w:sz="0" w:space="0" w:color="auto"/>
            <w:bottom w:val="none" w:sz="0" w:space="0" w:color="auto"/>
            <w:right w:val="none" w:sz="0" w:space="0" w:color="auto"/>
          </w:divBdr>
        </w:div>
      </w:divsChild>
    </w:div>
    <w:div w:id="1123310275">
      <w:bodyDiv w:val="1"/>
      <w:marLeft w:val="0"/>
      <w:marRight w:val="0"/>
      <w:marTop w:val="0"/>
      <w:marBottom w:val="0"/>
      <w:divBdr>
        <w:top w:val="none" w:sz="0" w:space="0" w:color="auto"/>
        <w:left w:val="none" w:sz="0" w:space="0" w:color="auto"/>
        <w:bottom w:val="none" w:sz="0" w:space="0" w:color="auto"/>
        <w:right w:val="none" w:sz="0" w:space="0" w:color="auto"/>
      </w:divBdr>
    </w:div>
    <w:div w:id="1138692932">
      <w:bodyDiv w:val="1"/>
      <w:marLeft w:val="0"/>
      <w:marRight w:val="0"/>
      <w:marTop w:val="0"/>
      <w:marBottom w:val="0"/>
      <w:divBdr>
        <w:top w:val="none" w:sz="0" w:space="0" w:color="auto"/>
        <w:left w:val="none" w:sz="0" w:space="0" w:color="auto"/>
        <w:bottom w:val="none" w:sz="0" w:space="0" w:color="auto"/>
        <w:right w:val="none" w:sz="0" w:space="0" w:color="auto"/>
      </w:divBdr>
      <w:divsChild>
        <w:div w:id="196891295">
          <w:marLeft w:val="0"/>
          <w:marRight w:val="0"/>
          <w:marTop w:val="0"/>
          <w:marBottom w:val="0"/>
          <w:divBdr>
            <w:top w:val="none" w:sz="0" w:space="0" w:color="auto"/>
            <w:left w:val="none" w:sz="0" w:space="0" w:color="auto"/>
            <w:bottom w:val="none" w:sz="0" w:space="0" w:color="auto"/>
            <w:right w:val="none" w:sz="0" w:space="0" w:color="auto"/>
          </w:divBdr>
          <w:divsChild>
            <w:div w:id="1623346562">
              <w:marLeft w:val="0"/>
              <w:marRight w:val="0"/>
              <w:marTop w:val="0"/>
              <w:marBottom w:val="0"/>
              <w:divBdr>
                <w:top w:val="none" w:sz="0" w:space="0" w:color="auto"/>
                <w:left w:val="none" w:sz="0" w:space="0" w:color="auto"/>
                <w:bottom w:val="none" w:sz="0" w:space="0" w:color="auto"/>
                <w:right w:val="none" w:sz="0" w:space="0" w:color="auto"/>
              </w:divBdr>
              <w:divsChild>
                <w:div w:id="1603295464">
                  <w:marLeft w:val="0"/>
                  <w:marRight w:val="0"/>
                  <w:marTop w:val="0"/>
                  <w:marBottom w:val="0"/>
                  <w:divBdr>
                    <w:top w:val="none" w:sz="0" w:space="0" w:color="auto"/>
                    <w:left w:val="none" w:sz="0" w:space="0" w:color="auto"/>
                    <w:bottom w:val="none" w:sz="0" w:space="0" w:color="auto"/>
                    <w:right w:val="none" w:sz="0" w:space="0" w:color="auto"/>
                  </w:divBdr>
                  <w:divsChild>
                    <w:div w:id="198515176">
                      <w:marLeft w:val="30"/>
                      <w:marRight w:val="30"/>
                      <w:marTop w:val="0"/>
                      <w:marBottom w:val="0"/>
                      <w:divBdr>
                        <w:top w:val="none" w:sz="0" w:space="0" w:color="auto"/>
                        <w:left w:val="none" w:sz="0" w:space="0" w:color="auto"/>
                        <w:bottom w:val="none" w:sz="0" w:space="0" w:color="auto"/>
                        <w:right w:val="none" w:sz="0" w:space="0" w:color="auto"/>
                      </w:divBdr>
                      <w:divsChild>
                        <w:div w:id="379014176">
                          <w:marLeft w:val="0"/>
                          <w:marRight w:val="90"/>
                          <w:marTop w:val="90"/>
                          <w:marBottom w:val="30"/>
                          <w:divBdr>
                            <w:top w:val="none" w:sz="0" w:space="0" w:color="auto"/>
                            <w:left w:val="none" w:sz="0" w:space="0" w:color="auto"/>
                            <w:bottom w:val="none" w:sz="0" w:space="0" w:color="auto"/>
                            <w:right w:val="none" w:sz="0" w:space="0" w:color="auto"/>
                          </w:divBdr>
                          <w:divsChild>
                            <w:div w:id="263803033">
                              <w:marLeft w:val="45"/>
                              <w:marRight w:val="0"/>
                              <w:marTop w:val="0"/>
                              <w:marBottom w:val="0"/>
                              <w:divBdr>
                                <w:top w:val="none" w:sz="0" w:space="0" w:color="auto"/>
                                <w:left w:val="none" w:sz="0" w:space="0" w:color="auto"/>
                                <w:bottom w:val="none" w:sz="0" w:space="0" w:color="auto"/>
                                <w:right w:val="none" w:sz="0" w:space="0" w:color="auto"/>
                              </w:divBdr>
                            </w:div>
                            <w:div w:id="438306246">
                              <w:marLeft w:val="0"/>
                              <w:marRight w:val="30"/>
                              <w:marTop w:val="0"/>
                              <w:marBottom w:val="0"/>
                              <w:divBdr>
                                <w:top w:val="none" w:sz="0" w:space="0" w:color="auto"/>
                                <w:left w:val="none" w:sz="0" w:space="0" w:color="auto"/>
                                <w:bottom w:val="none" w:sz="0" w:space="0" w:color="auto"/>
                                <w:right w:val="none" w:sz="0" w:space="0" w:color="auto"/>
                              </w:divBdr>
                              <w:divsChild>
                                <w:div w:id="608778498">
                                  <w:marLeft w:val="0"/>
                                  <w:marRight w:val="0"/>
                                  <w:marTop w:val="0"/>
                                  <w:marBottom w:val="0"/>
                                  <w:divBdr>
                                    <w:top w:val="none" w:sz="0" w:space="0" w:color="auto"/>
                                    <w:left w:val="none" w:sz="0" w:space="0" w:color="auto"/>
                                    <w:bottom w:val="none" w:sz="0" w:space="0" w:color="auto"/>
                                    <w:right w:val="none" w:sz="0" w:space="0" w:color="auto"/>
                                  </w:divBdr>
                                  <w:divsChild>
                                    <w:div w:id="1884637867">
                                      <w:marLeft w:val="0"/>
                                      <w:marRight w:val="0"/>
                                      <w:marTop w:val="0"/>
                                      <w:marBottom w:val="0"/>
                                      <w:divBdr>
                                        <w:top w:val="none" w:sz="0" w:space="0" w:color="auto"/>
                                        <w:left w:val="none" w:sz="0" w:space="0" w:color="auto"/>
                                        <w:bottom w:val="none" w:sz="0" w:space="0" w:color="auto"/>
                                        <w:right w:val="none" w:sz="0" w:space="0" w:color="auto"/>
                                      </w:divBdr>
                                      <w:divsChild>
                                        <w:div w:id="15265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76298">
                              <w:marLeft w:val="0"/>
                              <w:marRight w:val="0"/>
                              <w:marTop w:val="0"/>
                              <w:marBottom w:val="0"/>
                              <w:divBdr>
                                <w:top w:val="none" w:sz="0" w:space="0" w:color="auto"/>
                                <w:left w:val="none" w:sz="0" w:space="0" w:color="auto"/>
                                <w:bottom w:val="none" w:sz="0" w:space="0" w:color="auto"/>
                                <w:right w:val="none" w:sz="0" w:space="0" w:color="auto"/>
                              </w:divBdr>
                              <w:divsChild>
                                <w:div w:id="147871905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51676794">
                          <w:marLeft w:val="135"/>
                          <w:marRight w:val="45"/>
                          <w:marTop w:val="60"/>
                          <w:marBottom w:val="60"/>
                          <w:divBdr>
                            <w:top w:val="none" w:sz="0" w:space="0" w:color="auto"/>
                            <w:left w:val="none" w:sz="0" w:space="0" w:color="auto"/>
                            <w:bottom w:val="none" w:sz="0" w:space="0" w:color="auto"/>
                            <w:right w:val="none" w:sz="0" w:space="0" w:color="auto"/>
                          </w:divBdr>
                          <w:divsChild>
                            <w:div w:id="1184707263">
                              <w:marLeft w:val="0"/>
                              <w:marRight w:val="0"/>
                              <w:marTop w:val="0"/>
                              <w:marBottom w:val="0"/>
                              <w:divBdr>
                                <w:top w:val="none" w:sz="0" w:space="0" w:color="auto"/>
                                <w:left w:val="none" w:sz="0" w:space="0" w:color="auto"/>
                                <w:bottom w:val="none" w:sz="0" w:space="0" w:color="auto"/>
                                <w:right w:val="none" w:sz="0" w:space="0" w:color="auto"/>
                              </w:divBdr>
                              <w:divsChild>
                                <w:div w:id="871303591">
                                  <w:marLeft w:val="0"/>
                                  <w:marRight w:val="150"/>
                                  <w:marTop w:val="0"/>
                                  <w:marBottom w:val="0"/>
                                  <w:divBdr>
                                    <w:top w:val="none" w:sz="0" w:space="0" w:color="auto"/>
                                    <w:left w:val="none" w:sz="0" w:space="0" w:color="auto"/>
                                    <w:bottom w:val="none" w:sz="0" w:space="0" w:color="auto"/>
                                    <w:right w:val="none" w:sz="0" w:space="0" w:color="auto"/>
                                  </w:divBdr>
                                </w:div>
                                <w:div w:id="21314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8166">
                      <w:marLeft w:val="30"/>
                      <w:marRight w:val="30"/>
                      <w:marTop w:val="0"/>
                      <w:marBottom w:val="0"/>
                      <w:divBdr>
                        <w:top w:val="none" w:sz="0" w:space="0" w:color="auto"/>
                        <w:left w:val="none" w:sz="0" w:space="0" w:color="auto"/>
                        <w:bottom w:val="none" w:sz="0" w:space="0" w:color="auto"/>
                        <w:right w:val="none" w:sz="0" w:space="0" w:color="auto"/>
                      </w:divBdr>
                      <w:divsChild>
                        <w:div w:id="1813794390">
                          <w:marLeft w:val="180"/>
                          <w:marRight w:val="210"/>
                          <w:marTop w:val="0"/>
                          <w:marBottom w:val="30"/>
                          <w:divBdr>
                            <w:top w:val="none" w:sz="0" w:space="0" w:color="auto"/>
                            <w:left w:val="none" w:sz="0" w:space="0" w:color="auto"/>
                            <w:bottom w:val="none" w:sz="0" w:space="0" w:color="auto"/>
                            <w:right w:val="none" w:sz="0" w:space="0" w:color="auto"/>
                          </w:divBdr>
                          <w:divsChild>
                            <w:div w:id="933393399">
                              <w:marLeft w:val="45"/>
                              <w:marRight w:val="0"/>
                              <w:marTop w:val="0"/>
                              <w:marBottom w:val="0"/>
                              <w:divBdr>
                                <w:top w:val="none" w:sz="0" w:space="0" w:color="auto"/>
                                <w:left w:val="none" w:sz="0" w:space="0" w:color="auto"/>
                                <w:bottom w:val="none" w:sz="0" w:space="0" w:color="auto"/>
                                <w:right w:val="none" w:sz="0" w:space="0" w:color="auto"/>
                              </w:divBdr>
                            </w:div>
                            <w:div w:id="1067071383">
                              <w:marLeft w:val="0"/>
                              <w:marRight w:val="30"/>
                              <w:marTop w:val="0"/>
                              <w:marBottom w:val="0"/>
                              <w:divBdr>
                                <w:top w:val="none" w:sz="0" w:space="0" w:color="auto"/>
                                <w:left w:val="none" w:sz="0" w:space="0" w:color="auto"/>
                                <w:bottom w:val="none" w:sz="0" w:space="0" w:color="auto"/>
                                <w:right w:val="none" w:sz="0" w:space="0" w:color="auto"/>
                              </w:divBdr>
                              <w:divsChild>
                                <w:div w:id="940068891">
                                  <w:marLeft w:val="0"/>
                                  <w:marRight w:val="0"/>
                                  <w:marTop w:val="0"/>
                                  <w:marBottom w:val="0"/>
                                  <w:divBdr>
                                    <w:top w:val="none" w:sz="0" w:space="0" w:color="auto"/>
                                    <w:left w:val="none" w:sz="0" w:space="0" w:color="auto"/>
                                    <w:bottom w:val="none" w:sz="0" w:space="0" w:color="auto"/>
                                    <w:right w:val="none" w:sz="0" w:space="0" w:color="auto"/>
                                  </w:divBdr>
                                  <w:divsChild>
                                    <w:div w:id="971520889">
                                      <w:marLeft w:val="0"/>
                                      <w:marRight w:val="0"/>
                                      <w:marTop w:val="0"/>
                                      <w:marBottom w:val="0"/>
                                      <w:divBdr>
                                        <w:top w:val="none" w:sz="0" w:space="0" w:color="auto"/>
                                        <w:left w:val="none" w:sz="0" w:space="0" w:color="auto"/>
                                        <w:bottom w:val="none" w:sz="0" w:space="0" w:color="auto"/>
                                        <w:right w:val="none" w:sz="0" w:space="0" w:color="auto"/>
                                      </w:divBdr>
                                      <w:divsChild>
                                        <w:div w:id="13919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54776">
                      <w:marLeft w:val="30"/>
                      <w:marRight w:val="30"/>
                      <w:marTop w:val="0"/>
                      <w:marBottom w:val="0"/>
                      <w:divBdr>
                        <w:top w:val="none" w:sz="0" w:space="0" w:color="auto"/>
                        <w:left w:val="none" w:sz="0" w:space="0" w:color="auto"/>
                        <w:bottom w:val="none" w:sz="0" w:space="0" w:color="auto"/>
                        <w:right w:val="none" w:sz="0" w:space="0" w:color="auto"/>
                      </w:divBdr>
                      <w:divsChild>
                        <w:div w:id="364916228">
                          <w:marLeft w:val="0"/>
                          <w:marRight w:val="90"/>
                          <w:marTop w:val="90"/>
                          <w:marBottom w:val="30"/>
                          <w:divBdr>
                            <w:top w:val="none" w:sz="0" w:space="0" w:color="auto"/>
                            <w:left w:val="none" w:sz="0" w:space="0" w:color="auto"/>
                            <w:bottom w:val="none" w:sz="0" w:space="0" w:color="auto"/>
                            <w:right w:val="none" w:sz="0" w:space="0" w:color="auto"/>
                          </w:divBdr>
                          <w:divsChild>
                            <w:div w:id="203953881">
                              <w:marLeft w:val="45"/>
                              <w:marRight w:val="0"/>
                              <w:marTop w:val="0"/>
                              <w:marBottom w:val="0"/>
                              <w:divBdr>
                                <w:top w:val="none" w:sz="0" w:space="0" w:color="auto"/>
                                <w:left w:val="none" w:sz="0" w:space="0" w:color="auto"/>
                                <w:bottom w:val="none" w:sz="0" w:space="0" w:color="auto"/>
                                <w:right w:val="none" w:sz="0" w:space="0" w:color="auto"/>
                              </w:divBdr>
                            </w:div>
                            <w:div w:id="818769925">
                              <w:marLeft w:val="0"/>
                              <w:marRight w:val="30"/>
                              <w:marTop w:val="0"/>
                              <w:marBottom w:val="0"/>
                              <w:divBdr>
                                <w:top w:val="none" w:sz="0" w:space="0" w:color="auto"/>
                                <w:left w:val="none" w:sz="0" w:space="0" w:color="auto"/>
                                <w:bottom w:val="none" w:sz="0" w:space="0" w:color="auto"/>
                                <w:right w:val="none" w:sz="0" w:space="0" w:color="auto"/>
                              </w:divBdr>
                              <w:divsChild>
                                <w:div w:id="1887136083">
                                  <w:marLeft w:val="0"/>
                                  <w:marRight w:val="0"/>
                                  <w:marTop w:val="0"/>
                                  <w:marBottom w:val="0"/>
                                  <w:divBdr>
                                    <w:top w:val="none" w:sz="0" w:space="0" w:color="auto"/>
                                    <w:left w:val="none" w:sz="0" w:space="0" w:color="auto"/>
                                    <w:bottom w:val="none" w:sz="0" w:space="0" w:color="auto"/>
                                    <w:right w:val="none" w:sz="0" w:space="0" w:color="auto"/>
                                  </w:divBdr>
                                  <w:divsChild>
                                    <w:div w:id="592780083">
                                      <w:marLeft w:val="0"/>
                                      <w:marRight w:val="0"/>
                                      <w:marTop w:val="0"/>
                                      <w:marBottom w:val="0"/>
                                      <w:divBdr>
                                        <w:top w:val="none" w:sz="0" w:space="0" w:color="auto"/>
                                        <w:left w:val="none" w:sz="0" w:space="0" w:color="auto"/>
                                        <w:bottom w:val="none" w:sz="0" w:space="0" w:color="auto"/>
                                        <w:right w:val="none" w:sz="0" w:space="0" w:color="auto"/>
                                      </w:divBdr>
                                      <w:divsChild>
                                        <w:div w:id="16449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17716">
                              <w:marLeft w:val="0"/>
                              <w:marRight w:val="0"/>
                              <w:marTop w:val="0"/>
                              <w:marBottom w:val="0"/>
                              <w:divBdr>
                                <w:top w:val="none" w:sz="0" w:space="0" w:color="auto"/>
                                <w:left w:val="none" w:sz="0" w:space="0" w:color="auto"/>
                                <w:bottom w:val="none" w:sz="0" w:space="0" w:color="auto"/>
                                <w:right w:val="none" w:sz="0" w:space="0" w:color="auto"/>
                              </w:divBdr>
                              <w:divsChild>
                                <w:div w:id="131467456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469517870">
                          <w:marLeft w:val="135"/>
                          <w:marRight w:val="45"/>
                          <w:marTop w:val="60"/>
                          <w:marBottom w:val="60"/>
                          <w:divBdr>
                            <w:top w:val="none" w:sz="0" w:space="0" w:color="auto"/>
                            <w:left w:val="none" w:sz="0" w:space="0" w:color="auto"/>
                            <w:bottom w:val="none" w:sz="0" w:space="0" w:color="auto"/>
                            <w:right w:val="none" w:sz="0" w:space="0" w:color="auto"/>
                          </w:divBdr>
                          <w:divsChild>
                            <w:div w:id="2022002522">
                              <w:marLeft w:val="0"/>
                              <w:marRight w:val="0"/>
                              <w:marTop w:val="0"/>
                              <w:marBottom w:val="0"/>
                              <w:divBdr>
                                <w:top w:val="none" w:sz="0" w:space="0" w:color="auto"/>
                                <w:left w:val="none" w:sz="0" w:space="0" w:color="auto"/>
                                <w:bottom w:val="none" w:sz="0" w:space="0" w:color="auto"/>
                                <w:right w:val="none" w:sz="0" w:space="0" w:color="auto"/>
                              </w:divBdr>
                              <w:divsChild>
                                <w:div w:id="434373632">
                                  <w:marLeft w:val="0"/>
                                  <w:marRight w:val="150"/>
                                  <w:marTop w:val="0"/>
                                  <w:marBottom w:val="0"/>
                                  <w:divBdr>
                                    <w:top w:val="none" w:sz="0" w:space="0" w:color="auto"/>
                                    <w:left w:val="none" w:sz="0" w:space="0" w:color="auto"/>
                                    <w:bottom w:val="none" w:sz="0" w:space="0" w:color="auto"/>
                                    <w:right w:val="none" w:sz="0" w:space="0" w:color="auto"/>
                                  </w:divBdr>
                                </w:div>
                                <w:div w:id="1878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1244">
          <w:marLeft w:val="0"/>
          <w:marRight w:val="0"/>
          <w:marTop w:val="0"/>
          <w:marBottom w:val="0"/>
          <w:divBdr>
            <w:top w:val="none" w:sz="0" w:space="0" w:color="auto"/>
            <w:left w:val="none" w:sz="0" w:space="0" w:color="auto"/>
            <w:bottom w:val="none" w:sz="0" w:space="0" w:color="auto"/>
            <w:right w:val="none" w:sz="0" w:space="0" w:color="auto"/>
          </w:divBdr>
          <w:divsChild>
            <w:div w:id="1125806132">
              <w:marLeft w:val="210"/>
              <w:marRight w:val="0"/>
              <w:marTop w:val="120"/>
              <w:marBottom w:val="0"/>
              <w:divBdr>
                <w:top w:val="none" w:sz="0" w:space="0" w:color="auto"/>
                <w:left w:val="none" w:sz="0" w:space="0" w:color="auto"/>
                <w:bottom w:val="none" w:sz="0" w:space="0" w:color="auto"/>
                <w:right w:val="none" w:sz="0" w:space="0" w:color="auto"/>
              </w:divBdr>
              <w:divsChild>
                <w:div w:id="281040120">
                  <w:marLeft w:val="0"/>
                  <w:marRight w:val="0"/>
                  <w:marTop w:val="0"/>
                  <w:marBottom w:val="0"/>
                  <w:divBdr>
                    <w:top w:val="none" w:sz="0" w:space="0" w:color="auto"/>
                    <w:left w:val="none" w:sz="0" w:space="0" w:color="auto"/>
                    <w:bottom w:val="none" w:sz="0" w:space="0" w:color="auto"/>
                    <w:right w:val="none" w:sz="0" w:space="0" w:color="auto"/>
                  </w:divBdr>
                  <w:divsChild>
                    <w:div w:id="12720685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147042997">
      <w:bodyDiv w:val="1"/>
      <w:marLeft w:val="0"/>
      <w:marRight w:val="0"/>
      <w:marTop w:val="0"/>
      <w:marBottom w:val="0"/>
      <w:divBdr>
        <w:top w:val="none" w:sz="0" w:space="0" w:color="auto"/>
        <w:left w:val="none" w:sz="0" w:space="0" w:color="auto"/>
        <w:bottom w:val="none" w:sz="0" w:space="0" w:color="auto"/>
        <w:right w:val="none" w:sz="0" w:space="0" w:color="auto"/>
      </w:divBdr>
    </w:div>
    <w:div w:id="1147552348">
      <w:bodyDiv w:val="1"/>
      <w:marLeft w:val="0"/>
      <w:marRight w:val="0"/>
      <w:marTop w:val="0"/>
      <w:marBottom w:val="0"/>
      <w:divBdr>
        <w:top w:val="none" w:sz="0" w:space="0" w:color="auto"/>
        <w:left w:val="none" w:sz="0" w:space="0" w:color="auto"/>
        <w:bottom w:val="none" w:sz="0" w:space="0" w:color="auto"/>
        <w:right w:val="none" w:sz="0" w:space="0" w:color="auto"/>
      </w:divBdr>
    </w:div>
    <w:div w:id="1161506619">
      <w:bodyDiv w:val="1"/>
      <w:marLeft w:val="0"/>
      <w:marRight w:val="0"/>
      <w:marTop w:val="0"/>
      <w:marBottom w:val="0"/>
      <w:divBdr>
        <w:top w:val="none" w:sz="0" w:space="0" w:color="auto"/>
        <w:left w:val="none" w:sz="0" w:space="0" w:color="auto"/>
        <w:bottom w:val="none" w:sz="0" w:space="0" w:color="auto"/>
        <w:right w:val="none" w:sz="0" w:space="0" w:color="auto"/>
      </w:divBdr>
    </w:div>
    <w:div w:id="1173643065">
      <w:bodyDiv w:val="1"/>
      <w:marLeft w:val="0"/>
      <w:marRight w:val="0"/>
      <w:marTop w:val="0"/>
      <w:marBottom w:val="0"/>
      <w:divBdr>
        <w:top w:val="none" w:sz="0" w:space="0" w:color="auto"/>
        <w:left w:val="none" w:sz="0" w:space="0" w:color="auto"/>
        <w:bottom w:val="none" w:sz="0" w:space="0" w:color="auto"/>
        <w:right w:val="none" w:sz="0" w:space="0" w:color="auto"/>
      </w:divBdr>
    </w:div>
    <w:div w:id="1216159142">
      <w:bodyDiv w:val="1"/>
      <w:marLeft w:val="0"/>
      <w:marRight w:val="0"/>
      <w:marTop w:val="0"/>
      <w:marBottom w:val="0"/>
      <w:divBdr>
        <w:top w:val="none" w:sz="0" w:space="0" w:color="auto"/>
        <w:left w:val="none" w:sz="0" w:space="0" w:color="auto"/>
        <w:bottom w:val="none" w:sz="0" w:space="0" w:color="auto"/>
        <w:right w:val="none" w:sz="0" w:space="0" w:color="auto"/>
      </w:divBdr>
    </w:div>
    <w:div w:id="1218125946">
      <w:bodyDiv w:val="1"/>
      <w:marLeft w:val="0"/>
      <w:marRight w:val="0"/>
      <w:marTop w:val="0"/>
      <w:marBottom w:val="0"/>
      <w:divBdr>
        <w:top w:val="none" w:sz="0" w:space="0" w:color="auto"/>
        <w:left w:val="none" w:sz="0" w:space="0" w:color="auto"/>
        <w:bottom w:val="none" w:sz="0" w:space="0" w:color="auto"/>
        <w:right w:val="none" w:sz="0" w:space="0" w:color="auto"/>
      </w:divBdr>
    </w:div>
    <w:div w:id="1223523265">
      <w:bodyDiv w:val="1"/>
      <w:marLeft w:val="0"/>
      <w:marRight w:val="0"/>
      <w:marTop w:val="0"/>
      <w:marBottom w:val="0"/>
      <w:divBdr>
        <w:top w:val="none" w:sz="0" w:space="0" w:color="auto"/>
        <w:left w:val="none" w:sz="0" w:space="0" w:color="auto"/>
        <w:bottom w:val="none" w:sz="0" w:space="0" w:color="auto"/>
        <w:right w:val="none" w:sz="0" w:space="0" w:color="auto"/>
      </w:divBdr>
    </w:div>
    <w:div w:id="1224834561">
      <w:bodyDiv w:val="1"/>
      <w:marLeft w:val="0"/>
      <w:marRight w:val="0"/>
      <w:marTop w:val="0"/>
      <w:marBottom w:val="0"/>
      <w:divBdr>
        <w:top w:val="none" w:sz="0" w:space="0" w:color="auto"/>
        <w:left w:val="none" w:sz="0" w:space="0" w:color="auto"/>
        <w:bottom w:val="none" w:sz="0" w:space="0" w:color="auto"/>
        <w:right w:val="none" w:sz="0" w:space="0" w:color="auto"/>
      </w:divBdr>
      <w:divsChild>
        <w:div w:id="948513183">
          <w:marLeft w:val="0"/>
          <w:marRight w:val="0"/>
          <w:marTop w:val="0"/>
          <w:marBottom w:val="0"/>
          <w:divBdr>
            <w:top w:val="none" w:sz="0" w:space="0" w:color="auto"/>
            <w:left w:val="none" w:sz="0" w:space="0" w:color="auto"/>
            <w:bottom w:val="none" w:sz="0" w:space="0" w:color="auto"/>
            <w:right w:val="none" w:sz="0" w:space="0" w:color="auto"/>
          </w:divBdr>
        </w:div>
      </w:divsChild>
    </w:div>
    <w:div w:id="1228763285">
      <w:bodyDiv w:val="1"/>
      <w:marLeft w:val="0"/>
      <w:marRight w:val="0"/>
      <w:marTop w:val="0"/>
      <w:marBottom w:val="0"/>
      <w:divBdr>
        <w:top w:val="none" w:sz="0" w:space="0" w:color="auto"/>
        <w:left w:val="none" w:sz="0" w:space="0" w:color="auto"/>
        <w:bottom w:val="none" w:sz="0" w:space="0" w:color="auto"/>
        <w:right w:val="none" w:sz="0" w:space="0" w:color="auto"/>
      </w:divBdr>
    </w:div>
    <w:div w:id="1238439104">
      <w:bodyDiv w:val="1"/>
      <w:marLeft w:val="0"/>
      <w:marRight w:val="0"/>
      <w:marTop w:val="0"/>
      <w:marBottom w:val="0"/>
      <w:divBdr>
        <w:top w:val="none" w:sz="0" w:space="0" w:color="auto"/>
        <w:left w:val="none" w:sz="0" w:space="0" w:color="auto"/>
        <w:bottom w:val="none" w:sz="0" w:space="0" w:color="auto"/>
        <w:right w:val="none" w:sz="0" w:space="0" w:color="auto"/>
      </w:divBdr>
      <w:divsChild>
        <w:div w:id="937248832">
          <w:marLeft w:val="0"/>
          <w:marRight w:val="0"/>
          <w:marTop w:val="0"/>
          <w:marBottom w:val="0"/>
          <w:divBdr>
            <w:top w:val="none" w:sz="0" w:space="0" w:color="auto"/>
            <w:left w:val="none" w:sz="0" w:space="0" w:color="auto"/>
            <w:bottom w:val="none" w:sz="0" w:space="0" w:color="auto"/>
            <w:right w:val="none" w:sz="0" w:space="0" w:color="auto"/>
          </w:divBdr>
          <w:divsChild>
            <w:div w:id="1899314525">
              <w:marLeft w:val="210"/>
              <w:marRight w:val="0"/>
              <w:marTop w:val="120"/>
              <w:marBottom w:val="0"/>
              <w:divBdr>
                <w:top w:val="none" w:sz="0" w:space="0" w:color="auto"/>
                <w:left w:val="none" w:sz="0" w:space="0" w:color="auto"/>
                <w:bottom w:val="none" w:sz="0" w:space="0" w:color="auto"/>
                <w:right w:val="none" w:sz="0" w:space="0" w:color="auto"/>
              </w:divBdr>
              <w:divsChild>
                <w:div w:id="96608421">
                  <w:marLeft w:val="0"/>
                  <w:marRight w:val="0"/>
                  <w:marTop w:val="0"/>
                  <w:marBottom w:val="0"/>
                  <w:divBdr>
                    <w:top w:val="none" w:sz="0" w:space="0" w:color="auto"/>
                    <w:left w:val="none" w:sz="0" w:space="0" w:color="auto"/>
                    <w:bottom w:val="none" w:sz="0" w:space="0" w:color="auto"/>
                    <w:right w:val="none" w:sz="0" w:space="0" w:color="auto"/>
                  </w:divBdr>
                  <w:divsChild>
                    <w:div w:id="128630389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34770195">
          <w:marLeft w:val="0"/>
          <w:marRight w:val="0"/>
          <w:marTop w:val="0"/>
          <w:marBottom w:val="0"/>
          <w:divBdr>
            <w:top w:val="none" w:sz="0" w:space="0" w:color="auto"/>
            <w:left w:val="none" w:sz="0" w:space="0" w:color="auto"/>
            <w:bottom w:val="none" w:sz="0" w:space="0" w:color="auto"/>
            <w:right w:val="none" w:sz="0" w:space="0" w:color="auto"/>
          </w:divBdr>
          <w:divsChild>
            <w:div w:id="395663229">
              <w:marLeft w:val="0"/>
              <w:marRight w:val="0"/>
              <w:marTop w:val="0"/>
              <w:marBottom w:val="0"/>
              <w:divBdr>
                <w:top w:val="none" w:sz="0" w:space="0" w:color="auto"/>
                <w:left w:val="none" w:sz="0" w:space="0" w:color="auto"/>
                <w:bottom w:val="none" w:sz="0" w:space="0" w:color="auto"/>
                <w:right w:val="none" w:sz="0" w:space="0" w:color="auto"/>
              </w:divBdr>
              <w:divsChild>
                <w:div w:id="1408503012">
                  <w:marLeft w:val="0"/>
                  <w:marRight w:val="0"/>
                  <w:marTop w:val="0"/>
                  <w:marBottom w:val="0"/>
                  <w:divBdr>
                    <w:top w:val="none" w:sz="0" w:space="0" w:color="auto"/>
                    <w:left w:val="none" w:sz="0" w:space="0" w:color="auto"/>
                    <w:bottom w:val="none" w:sz="0" w:space="0" w:color="auto"/>
                    <w:right w:val="none" w:sz="0" w:space="0" w:color="auto"/>
                  </w:divBdr>
                  <w:divsChild>
                    <w:div w:id="530995822">
                      <w:marLeft w:val="30"/>
                      <w:marRight w:val="30"/>
                      <w:marTop w:val="0"/>
                      <w:marBottom w:val="0"/>
                      <w:divBdr>
                        <w:top w:val="none" w:sz="0" w:space="0" w:color="auto"/>
                        <w:left w:val="none" w:sz="0" w:space="0" w:color="auto"/>
                        <w:bottom w:val="none" w:sz="0" w:space="0" w:color="auto"/>
                        <w:right w:val="none" w:sz="0" w:space="0" w:color="auto"/>
                      </w:divBdr>
                      <w:divsChild>
                        <w:div w:id="838695782">
                          <w:marLeft w:val="135"/>
                          <w:marRight w:val="45"/>
                          <w:marTop w:val="60"/>
                          <w:marBottom w:val="60"/>
                          <w:divBdr>
                            <w:top w:val="none" w:sz="0" w:space="0" w:color="auto"/>
                            <w:left w:val="none" w:sz="0" w:space="0" w:color="auto"/>
                            <w:bottom w:val="none" w:sz="0" w:space="0" w:color="auto"/>
                            <w:right w:val="none" w:sz="0" w:space="0" w:color="auto"/>
                          </w:divBdr>
                          <w:divsChild>
                            <w:div w:id="594242379">
                              <w:marLeft w:val="0"/>
                              <w:marRight w:val="0"/>
                              <w:marTop w:val="0"/>
                              <w:marBottom w:val="0"/>
                              <w:divBdr>
                                <w:top w:val="none" w:sz="0" w:space="0" w:color="auto"/>
                                <w:left w:val="none" w:sz="0" w:space="0" w:color="auto"/>
                                <w:bottom w:val="none" w:sz="0" w:space="0" w:color="auto"/>
                                <w:right w:val="none" w:sz="0" w:space="0" w:color="auto"/>
                              </w:divBdr>
                              <w:divsChild>
                                <w:div w:id="488790647">
                                  <w:marLeft w:val="0"/>
                                  <w:marRight w:val="150"/>
                                  <w:marTop w:val="0"/>
                                  <w:marBottom w:val="0"/>
                                  <w:divBdr>
                                    <w:top w:val="none" w:sz="0" w:space="0" w:color="auto"/>
                                    <w:left w:val="none" w:sz="0" w:space="0" w:color="auto"/>
                                    <w:bottom w:val="none" w:sz="0" w:space="0" w:color="auto"/>
                                    <w:right w:val="none" w:sz="0" w:space="0" w:color="auto"/>
                                  </w:divBdr>
                                </w:div>
                                <w:div w:id="19613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693">
                          <w:marLeft w:val="0"/>
                          <w:marRight w:val="90"/>
                          <w:marTop w:val="90"/>
                          <w:marBottom w:val="30"/>
                          <w:divBdr>
                            <w:top w:val="none" w:sz="0" w:space="0" w:color="auto"/>
                            <w:left w:val="none" w:sz="0" w:space="0" w:color="auto"/>
                            <w:bottom w:val="none" w:sz="0" w:space="0" w:color="auto"/>
                            <w:right w:val="none" w:sz="0" w:space="0" w:color="auto"/>
                          </w:divBdr>
                          <w:divsChild>
                            <w:div w:id="881943922">
                              <w:marLeft w:val="45"/>
                              <w:marRight w:val="0"/>
                              <w:marTop w:val="0"/>
                              <w:marBottom w:val="0"/>
                              <w:divBdr>
                                <w:top w:val="none" w:sz="0" w:space="0" w:color="auto"/>
                                <w:left w:val="none" w:sz="0" w:space="0" w:color="auto"/>
                                <w:bottom w:val="none" w:sz="0" w:space="0" w:color="auto"/>
                                <w:right w:val="none" w:sz="0" w:space="0" w:color="auto"/>
                              </w:divBdr>
                            </w:div>
                            <w:div w:id="1488403783">
                              <w:marLeft w:val="0"/>
                              <w:marRight w:val="0"/>
                              <w:marTop w:val="0"/>
                              <w:marBottom w:val="0"/>
                              <w:divBdr>
                                <w:top w:val="none" w:sz="0" w:space="0" w:color="auto"/>
                                <w:left w:val="none" w:sz="0" w:space="0" w:color="auto"/>
                                <w:bottom w:val="none" w:sz="0" w:space="0" w:color="auto"/>
                                <w:right w:val="none" w:sz="0" w:space="0" w:color="auto"/>
                              </w:divBdr>
                              <w:divsChild>
                                <w:div w:id="562763503">
                                  <w:marLeft w:val="45"/>
                                  <w:marRight w:val="0"/>
                                  <w:marTop w:val="0"/>
                                  <w:marBottom w:val="15"/>
                                  <w:divBdr>
                                    <w:top w:val="none" w:sz="0" w:space="0" w:color="auto"/>
                                    <w:left w:val="none" w:sz="0" w:space="0" w:color="auto"/>
                                    <w:bottom w:val="none" w:sz="0" w:space="0" w:color="auto"/>
                                    <w:right w:val="none" w:sz="0" w:space="0" w:color="auto"/>
                                  </w:divBdr>
                                </w:div>
                              </w:divsChild>
                            </w:div>
                            <w:div w:id="1874270995">
                              <w:marLeft w:val="0"/>
                              <w:marRight w:val="30"/>
                              <w:marTop w:val="0"/>
                              <w:marBottom w:val="0"/>
                              <w:divBdr>
                                <w:top w:val="none" w:sz="0" w:space="0" w:color="auto"/>
                                <w:left w:val="none" w:sz="0" w:space="0" w:color="auto"/>
                                <w:bottom w:val="none" w:sz="0" w:space="0" w:color="auto"/>
                                <w:right w:val="none" w:sz="0" w:space="0" w:color="auto"/>
                              </w:divBdr>
                              <w:divsChild>
                                <w:div w:id="420377844">
                                  <w:marLeft w:val="0"/>
                                  <w:marRight w:val="0"/>
                                  <w:marTop w:val="0"/>
                                  <w:marBottom w:val="0"/>
                                  <w:divBdr>
                                    <w:top w:val="none" w:sz="0" w:space="0" w:color="auto"/>
                                    <w:left w:val="none" w:sz="0" w:space="0" w:color="auto"/>
                                    <w:bottom w:val="none" w:sz="0" w:space="0" w:color="auto"/>
                                    <w:right w:val="none" w:sz="0" w:space="0" w:color="auto"/>
                                  </w:divBdr>
                                  <w:divsChild>
                                    <w:div w:id="347022189">
                                      <w:marLeft w:val="0"/>
                                      <w:marRight w:val="0"/>
                                      <w:marTop w:val="0"/>
                                      <w:marBottom w:val="0"/>
                                      <w:divBdr>
                                        <w:top w:val="none" w:sz="0" w:space="0" w:color="auto"/>
                                        <w:left w:val="none" w:sz="0" w:space="0" w:color="auto"/>
                                        <w:bottom w:val="none" w:sz="0" w:space="0" w:color="auto"/>
                                        <w:right w:val="none" w:sz="0" w:space="0" w:color="auto"/>
                                      </w:divBdr>
                                      <w:divsChild>
                                        <w:div w:id="15859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24299">
                      <w:marLeft w:val="30"/>
                      <w:marRight w:val="30"/>
                      <w:marTop w:val="0"/>
                      <w:marBottom w:val="0"/>
                      <w:divBdr>
                        <w:top w:val="none" w:sz="0" w:space="0" w:color="auto"/>
                        <w:left w:val="none" w:sz="0" w:space="0" w:color="auto"/>
                        <w:bottom w:val="none" w:sz="0" w:space="0" w:color="auto"/>
                        <w:right w:val="none" w:sz="0" w:space="0" w:color="auto"/>
                      </w:divBdr>
                      <w:divsChild>
                        <w:div w:id="306207679">
                          <w:marLeft w:val="180"/>
                          <w:marRight w:val="210"/>
                          <w:marTop w:val="0"/>
                          <w:marBottom w:val="30"/>
                          <w:divBdr>
                            <w:top w:val="none" w:sz="0" w:space="0" w:color="auto"/>
                            <w:left w:val="none" w:sz="0" w:space="0" w:color="auto"/>
                            <w:bottom w:val="none" w:sz="0" w:space="0" w:color="auto"/>
                            <w:right w:val="none" w:sz="0" w:space="0" w:color="auto"/>
                          </w:divBdr>
                          <w:divsChild>
                            <w:div w:id="1277911844">
                              <w:marLeft w:val="45"/>
                              <w:marRight w:val="0"/>
                              <w:marTop w:val="0"/>
                              <w:marBottom w:val="0"/>
                              <w:divBdr>
                                <w:top w:val="none" w:sz="0" w:space="0" w:color="auto"/>
                                <w:left w:val="none" w:sz="0" w:space="0" w:color="auto"/>
                                <w:bottom w:val="none" w:sz="0" w:space="0" w:color="auto"/>
                                <w:right w:val="none" w:sz="0" w:space="0" w:color="auto"/>
                              </w:divBdr>
                            </w:div>
                            <w:div w:id="1638225111">
                              <w:marLeft w:val="0"/>
                              <w:marRight w:val="30"/>
                              <w:marTop w:val="0"/>
                              <w:marBottom w:val="0"/>
                              <w:divBdr>
                                <w:top w:val="none" w:sz="0" w:space="0" w:color="auto"/>
                                <w:left w:val="none" w:sz="0" w:space="0" w:color="auto"/>
                                <w:bottom w:val="none" w:sz="0" w:space="0" w:color="auto"/>
                                <w:right w:val="none" w:sz="0" w:space="0" w:color="auto"/>
                              </w:divBdr>
                              <w:divsChild>
                                <w:div w:id="833108858">
                                  <w:marLeft w:val="0"/>
                                  <w:marRight w:val="0"/>
                                  <w:marTop w:val="0"/>
                                  <w:marBottom w:val="0"/>
                                  <w:divBdr>
                                    <w:top w:val="none" w:sz="0" w:space="0" w:color="auto"/>
                                    <w:left w:val="none" w:sz="0" w:space="0" w:color="auto"/>
                                    <w:bottom w:val="none" w:sz="0" w:space="0" w:color="auto"/>
                                    <w:right w:val="none" w:sz="0" w:space="0" w:color="auto"/>
                                  </w:divBdr>
                                  <w:divsChild>
                                    <w:div w:id="1964967854">
                                      <w:marLeft w:val="0"/>
                                      <w:marRight w:val="0"/>
                                      <w:marTop w:val="0"/>
                                      <w:marBottom w:val="0"/>
                                      <w:divBdr>
                                        <w:top w:val="none" w:sz="0" w:space="0" w:color="auto"/>
                                        <w:left w:val="none" w:sz="0" w:space="0" w:color="auto"/>
                                        <w:bottom w:val="none" w:sz="0" w:space="0" w:color="auto"/>
                                        <w:right w:val="none" w:sz="0" w:space="0" w:color="auto"/>
                                      </w:divBdr>
                                      <w:divsChild>
                                        <w:div w:id="18146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521324">
      <w:bodyDiv w:val="1"/>
      <w:marLeft w:val="0"/>
      <w:marRight w:val="0"/>
      <w:marTop w:val="0"/>
      <w:marBottom w:val="0"/>
      <w:divBdr>
        <w:top w:val="none" w:sz="0" w:space="0" w:color="auto"/>
        <w:left w:val="none" w:sz="0" w:space="0" w:color="auto"/>
        <w:bottom w:val="none" w:sz="0" w:space="0" w:color="auto"/>
        <w:right w:val="none" w:sz="0" w:space="0" w:color="auto"/>
      </w:divBdr>
      <w:divsChild>
        <w:div w:id="1738625916">
          <w:marLeft w:val="0"/>
          <w:marRight w:val="0"/>
          <w:marTop w:val="0"/>
          <w:marBottom w:val="0"/>
          <w:divBdr>
            <w:top w:val="none" w:sz="0" w:space="0" w:color="auto"/>
            <w:left w:val="none" w:sz="0" w:space="0" w:color="auto"/>
            <w:bottom w:val="none" w:sz="0" w:space="0" w:color="auto"/>
            <w:right w:val="none" w:sz="0" w:space="0" w:color="auto"/>
          </w:divBdr>
          <w:divsChild>
            <w:div w:id="863598670">
              <w:marLeft w:val="0"/>
              <w:marRight w:val="0"/>
              <w:marTop w:val="0"/>
              <w:marBottom w:val="0"/>
              <w:divBdr>
                <w:top w:val="none" w:sz="0" w:space="0" w:color="auto"/>
                <w:left w:val="none" w:sz="0" w:space="0" w:color="auto"/>
                <w:bottom w:val="none" w:sz="0" w:space="0" w:color="auto"/>
                <w:right w:val="none" w:sz="0" w:space="0" w:color="auto"/>
              </w:divBdr>
              <w:divsChild>
                <w:div w:id="1689872089">
                  <w:marLeft w:val="0"/>
                  <w:marRight w:val="0"/>
                  <w:marTop w:val="0"/>
                  <w:marBottom w:val="0"/>
                  <w:divBdr>
                    <w:top w:val="none" w:sz="0" w:space="0" w:color="auto"/>
                    <w:left w:val="none" w:sz="0" w:space="0" w:color="auto"/>
                    <w:bottom w:val="none" w:sz="0" w:space="0" w:color="auto"/>
                    <w:right w:val="none" w:sz="0" w:space="0" w:color="auto"/>
                  </w:divBdr>
                  <w:divsChild>
                    <w:div w:id="738089490">
                      <w:marLeft w:val="30"/>
                      <w:marRight w:val="30"/>
                      <w:marTop w:val="0"/>
                      <w:marBottom w:val="0"/>
                      <w:divBdr>
                        <w:top w:val="none" w:sz="0" w:space="0" w:color="auto"/>
                        <w:left w:val="none" w:sz="0" w:space="0" w:color="auto"/>
                        <w:bottom w:val="none" w:sz="0" w:space="0" w:color="auto"/>
                        <w:right w:val="none" w:sz="0" w:space="0" w:color="auto"/>
                      </w:divBdr>
                      <w:divsChild>
                        <w:div w:id="1768111540">
                          <w:marLeft w:val="180"/>
                          <w:marRight w:val="210"/>
                          <w:marTop w:val="0"/>
                          <w:marBottom w:val="30"/>
                          <w:divBdr>
                            <w:top w:val="none" w:sz="0" w:space="0" w:color="auto"/>
                            <w:left w:val="none" w:sz="0" w:space="0" w:color="auto"/>
                            <w:bottom w:val="none" w:sz="0" w:space="0" w:color="auto"/>
                            <w:right w:val="none" w:sz="0" w:space="0" w:color="auto"/>
                          </w:divBdr>
                          <w:divsChild>
                            <w:div w:id="212086923">
                              <w:marLeft w:val="45"/>
                              <w:marRight w:val="0"/>
                              <w:marTop w:val="0"/>
                              <w:marBottom w:val="0"/>
                              <w:divBdr>
                                <w:top w:val="none" w:sz="0" w:space="0" w:color="auto"/>
                                <w:left w:val="none" w:sz="0" w:space="0" w:color="auto"/>
                                <w:bottom w:val="none" w:sz="0" w:space="0" w:color="auto"/>
                                <w:right w:val="none" w:sz="0" w:space="0" w:color="auto"/>
                              </w:divBdr>
                            </w:div>
                            <w:div w:id="1640383543">
                              <w:marLeft w:val="0"/>
                              <w:marRight w:val="30"/>
                              <w:marTop w:val="0"/>
                              <w:marBottom w:val="0"/>
                              <w:divBdr>
                                <w:top w:val="none" w:sz="0" w:space="0" w:color="auto"/>
                                <w:left w:val="none" w:sz="0" w:space="0" w:color="auto"/>
                                <w:bottom w:val="none" w:sz="0" w:space="0" w:color="auto"/>
                                <w:right w:val="none" w:sz="0" w:space="0" w:color="auto"/>
                              </w:divBdr>
                              <w:divsChild>
                                <w:div w:id="288709517">
                                  <w:marLeft w:val="0"/>
                                  <w:marRight w:val="0"/>
                                  <w:marTop w:val="0"/>
                                  <w:marBottom w:val="0"/>
                                  <w:divBdr>
                                    <w:top w:val="none" w:sz="0" w:space="0" w:color="auto"/>
                                    <w:left w:val="none" w:sz="0" w:space="0" w:color="auto"/>
                                    <w:bottom w:val="none" w:sz="0" w:space="0" w:color="auto"/>
                                    <w:right w:val="none" w:sz="0" w:space="0" w:color="auto"/>
                                  </w:divBdr>
                                  <w:divsChild>
                                    <w:div w:id="629483263">
                                      <w:marLeft w:val="0"/>
                                      <w:marRight w:val="0"/>
                                      <w:marTop w:val="0"/>
                                      <w:marBottom w:val="0"/>
                                      <w:divBdr>
                                        <w:top w:val="none" w:sz="0" w:space="0" w:color="auto"/>
                                        <w:left w:val="none" w:sz="0" w:space="0" w:color="auto"/>
                                        <w:bottom w:val="none" w:sz="0" w:space="0" w:color="auto"/>
                                        <w:right w:val="none" w:sz="0" w:space="0" w:color="auto"/>
                                      </w:divBdr>
                                      <w:divsChild>
                                        <w:div w:id="13255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76203">
                      <w:marLeft w:val="30"/>
                      <w:marRight w:val="30"/>
                      <w:marTop w:val="0"/>
                      <w:marBottom w:val="0"/>
                      <w:divBdr>
                        <w:top w:val="none" w:sz="0" w:space="0" w:color="auto"/>
                        <w:left w:val="none" w:sz="0" w:space="0" w:color="auto"/>
                        <w:bottom w:val="none" w:sz="0" w:space="0" w:color="auto"/>
                        <w:right w:val="none" w:sz="0" w:space="0" w:color="auto"/>
                      </w:divBdr>
                      <w:divsChild>
                        <w:div w:id="743795034">
                          <w:marLeft w:val="0"/>
                          <w:marRight w:val="90"/>
                          <w:marTop w:val="90"/>
                          <w:marBottom w:val="30"/>
                          <w:divBdr>
                            <w:top w:val="none" w:sz="0" w:space="0" w:color="auto"/>
                            <w:left w:val="none" w:sz="0" w:space="0" w:color="auto"/>
                            <w:bottom w:val="none" w:sz="0" w:space="0" w:color="auto"/>
                            <w:right w:val="none" w:sz="0" w:space="0" w:color="auto"/>
                          </w:divBdr>
                          <w:divsChild>
                            <w:div w:id="242682668">
                              <w:marLeft w:val="0"/>
                              <w:marRight w:val="30"/>
                              <w:marTop w:val="0"/>
                              <w:marBottom w:val="0"/>
                              <w:divBdr>
                                <w:top w:val="none" w:sz="0" w:space="0" w:color="auto"/>
                                <w:left w:val="none" w:sz="0" w:space="0" w:color="auto"/>
                                <w:bottom w:val="none" w:sz="0" w:space="0" w:color="auto"/>
                                <w:right w:val="none" w:sz="0" w:space="0" w:color="auto"/>
                              </w:divBdr>
                              <w:divsChild>
                                <w:div w:id="2018727752">
                                  <w:marLeft w:val="0"/>
                                  <w:marRight w:val="0"/>
                                  <w:marTop w:val="0"/>
                                  <w:marBottom w:val="0"/>
                                  <w:divBdr>
                                    <w:top w:val="none" w:sz="0" w:space="0" w:color="auto"/>
                                    <w:left w:val="none" w:sz="0" w:space="0" w:color="auto"/>
                                    <w:bottom w:val="none" w:sz="0" w:space="0" w:color="auto"/>
                                    <w:right w:val="none" w:sz="0" w:space="0" w:color="auto"/>
                                  </w:divBdr>
                                  <w:divsChild>
                                    <w:div w:id="1805003655">
                                      <w:marLeft w:val="0"/>
                                      <w:marRight w:val="0"/>
                                      <w:marTop w:val="0"/>
                                      <w:marBottom w:val="0"/>
                                      <w:divBdr>
                                        <w:top w:val="none" w:sz="0" w:space="0" w:color="auto"/>
                                        <w:left w:val="none" w:sz="0" w:space="0" w:color="auto"/>
                                        <w:bottom w:val="none" w:sz="0" w:space="0" w:color="auto"/>
                                        <w:right w:val="none" w:sz="0" w:space="0" w:color="auto"/>
                                      </w:divBdr>
                                      <w:divsChild>
                                        <w:div w:id="17811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5345">
                              <w:marLeft w:val="0"/>
                              <w:marRight w:val="0"/>
                              <w:marTop w:val="0"/>
                              <w:marBottom w:val="0"/>
                              <w:divBdr>
                                <w:top w:val="none" w:sz="0" w:space="0" w:color="auto"/>
                                <w:left w:val="none" w:sz="0" w:space="0" w:color="auto"/>
                                <w:bottom w:val="none" w:sz="0" w:space="0" w:color="auto"/>
                                <w:right w:val="none" w:sz="0" w:space="0" w:color="auto"/>
                              </w:divBdr>
                              <w:divsChild>
                                <w:div w:id="1763330624">
                                  <w:marLeft w:val="45"/>
                                  <w:marRight w:val="0"/>
                                  <w:marTop w:val="0"/>
                                  <w:marBottom w:val="15"/>
                                  <w:divBdr>
                                    <w:top w:val="none" w:sz="0" w:space="0" w:color="auto"/>
                                    <w:left w:val="none" w:sz="0" w:space="0" w:color="auto"/>
                                    <w:bottom w:val="none" w:sz="0" w:space="0" w:color="auto"/>
                                    <w:right w:val="none" w:sz="0" w:space="0" w:color="auto"/>
                                  </w:divBdr>
                                </w:div>
                              </w:divsChild>
                            </w:div>
                            <w:div w:id="524027772">
                              <w:marLeft w:val="45"/>
                              <w:marRight w:val="0"/>
                              <w:marTop w:val="0"/>
                              <w:marBottom w:val="0"/>
                              <w:divBdr>
                                <w:top w:val="none" w:sz="0" w:space="0" w:color="auto"/>
                                <w:left w:val="none" w:sz="0" w:space="0" w:color="auto"/>
                                <w:bottom w:val="none" w:sz="0" w:space="0" w:color="auto"/>
                                <w:right w:val="none" w:sz="0" w:space="0" w:color="auto"/>
                              </w:divBdr>
                            </w:div>
                          </w:divsChild>
                        </w:div>
                        <w:div w:id="1822115641">
                          <w:marLeft w:val="135"/>
                          <w:marRight w:val="45"/>
                          <w:marTop w:val="60"/>
                          <w:marBottom w:val="60"/>
                          <w:divBdr>
                            <w:top w:val="none" w:sz="0" w:space="0" w:color="auto"/>
                            <w:left w:val="none" w:sz="0" w:space="0" w:color="auto"/>
                            <w:bottom w:val="none" w:sz="0" w:space="0" w:color="auto"/>
                            <w:right w:val="none" w:sz="0" w:space="0" w:color="auto"/>
                          </w:divBdr>
                          <w:divsChild>
                            <w:div w:id="1235360699">
                              <w:marLeft w:val="0"/>
                              <w:marRight w:val="0"/>
                              <w:marTop w:val="0"/>
                              <w:marBottom w:val="0"/>
                              <w:divBdr>
                                <w:top w:val="none" w:sz="0" w:space="0" w:color="auto"/>
                                <w:left w:val="none" w:sz="0" w:space="0" w:color="auto"/>
                                <w:bottom w:val="none" w:sz="0" w:space="0" w:color="auto"/>
                                <w:right w:val="none" w:sz="0" w:space="0" w:color="auto"/>
                              </w:divBdr>
                              <w:divsChild>
                                <w:div w:id="106048925">
                                  <w:marLeft w:val="0"/>
                                  <w:marRight w:val="0"/>
                                  <w:marTop w:val="0"/>
                                  <w:marBottom w:val="0"/>
                                  <w:divBdr>
                                    <w:top w:val="none" w:sz="0" w:space="0" w:color="auto"/>
                                    <w:left w:val="none" w:sz="0" w:space="0" w:color="auto"/>
                                    <w:bottom w:val="none" w:sz="0" w:space="0" w:color="auto"/>
                                    <w:right w:val="none" w:sz="0" w:space="0" w:color="auto"/>
                                  </w:divBdr>
                                </w:div>
                                <w:div w:id="17550821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60816">
          <w:marLeft w:val="0"/>
          <w:marRight w:val="0"/>
          <w:marTop w:val="0"/>
          <w:marBottom w:val="0"/>
          <w:divBdr>
            <w:top w:val="none" w:sz="0" w:space="0" w:color="auto"/>
            <w:left w:val="none" w:sz="0" w:space="0" w:color="auto"/>
            <w:bottom w:val="none" w:sz="0" w:space="0" w:color="auto"/>
            <w:right w:val="none" w:sz="0" w:space="0" w:color="auto"/>
          </w:divBdr>
          <w:divsChild>
            <w:div w:id="955986717">
              <w:marLeft w:val="210"/>
              <w:marRight w:val="0"/>
              <w:marTop w:val="120"/>
              <w:marBottom w:val="0"/>
              <w:divBdr>
                <w:top w:val="none" w:sz="0" w:space="0" w:color="auto"/>
                <w:left w:val="none" w:sz="0" w:space="0" w:color="auto"/>
                <w:bottom w:val="none" w:sz="0" w:space="0" w:color="auto"/>
                <w:right w:val="none" w:sz="0" w:space="0" w:color="auto"/>
              </w:divBdr>
              <w:divsChild>
                <w:div w:id="1923642861">
                  <w:marLeft w:val="0"/>
                  <w:marRight w:val="0"/>
                  <w:marTop w:val="0"/>
                  <w:marBottom w:val="0"/>
                  <w:divBdr>
                    <w:top w:val="none" w:sz="0" w:space="0" w:color="auto"/>
                    <w:left w:val="none" w:sz="0" w:space="0" w:color="auto"/>
                    <w:bottom w:val="none" w:sz="0" w:space="0" w:color="auto"/>
                    <w:right w:val="none" w:sz="0" w:space="0" w:color="auto"/>
                  </w:divBdr>
                  <w:divsChild>
                    <w:div w:id="111636992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252932372">
      <w:bodyDiv w:val="1"/>
      <w:marLeft w:val="0"/>
      <w:marRight w:val="0"/>
      <w:marTop w:val="0"/>
      <w:marBottom w:val="0"/>
      <w:divBdr>
        <w:top w:val="none" w:sz="0" w:space="0" w:color="auto"/>
        <w:left w:val="none" w:sz="0" w:space="0" w:color="auto"/>
        <w:bottom w:val="none" w:sz="0" w:space="0" w:color="auto"/>
        <w:right w:val="none" w:sz="0" w:space="0" w:color="auto"/>
      </w:divBdr>
    </w:div>
    <w:div w:id="1259292304">
      <w:bodyDiv w:val="1"/>
      <w:marLeft w:val="0"/>
      <w:marRight w:val="0"/>
      <w:marTop w:val="0"/>
      <w:marBottom w:val="0"/>
      <w:divBdr>
        <w:top w:val="none" w:sz="0" w:space="0" w:color="auto"/>
        <w:left w:val="none" w:sz="0" w:space="0" w:color="auto"/>
        <w:bottom w:val="none" w:sz="0" w:space="0" w:color="auto"/>
        <w:right w:val="none" w:sz="0" w:space="0" w:color="auto"/>
      </w:divBdr>
    </w:div>
    <w:div w:id="1260286354">
      <w:bodyDiv w:val="1"/>
      <w:marLeft w:val="0"/>
      <w:marRight w:val="0"/>
      <w:marTop w:val="0"/>
      <w:marBottom w:val="0"/>
      <w:divBdr>
        <w:top w:val="none" w:sz="0" w:space="0" w:color="auto"/>
        <w:left w:val="none" w:sz="0" w:space="0" w:color="auto"/>
        <w:bottom w:val="none" w:sz="0" w:space="0" w:color="auto"/>
        <w:right w:val="none" w:sz="0" w:space="0" w:color="auto"/>
      </w:divBdr>
      <w:divsChild>
        <w:div w:id="360396411">
          <w:marLeft w:val="0"/>
          <w:marRight w:val="0"/>
          <w:marTop w:val="0"/>
          <w:marBottom w:val="0"/>
          <w:divBdr>
            <w:top w:val="none" w:sz="0" w:space="0" w:color="auto"/>
            <w:left w:val="none" w:sz="0" w:space="0" w:color="auto"/>
            <w:bottom w:val="none" w:sz="0" w:space="0" w:color="auto"/>
            <w:right w:val="none" w:sz="0" w:space="0" w:color="auto"/>
          </w:divBdr>
          <w:divsChild>
            <w:div w:id="1085422223">
              <w:marLeft w:val="210"/>
              <w:marRight w:val="0"/>
              <w:marTop w:val="120"/>
              <w:marBottom w:val="0"/>
              <w:divBdr>
                <w:top w:val="none" w:sz="0" w:space="0" w:color="auto"/>
                <w:left w:val="none" w:sz="0" w:space="0" w:color="auto"/>
                <w:bottom w:val="none" w:sz="0" w:space="0" w:color="auto"/>
                <w:right w:val="none" w:sz="0" w:space="0" w:color="auto"/>
              </w:divBdr>
              <w:divsChild>
                <w:div w:id="956908217">
                  <w:marLeft w:val="0"/>
                  <w:marRight w:val="0"/>
                  <w:marTop w:val="0"/>
                  <w:marBottom w:val="0"/>
                  <w:divBdr>
                    <w:top w:val="none" w:sz="0" w:space="0" w:color="auto"/>
                    <w:left w:val="none" w:sz="0" w:space="0" w:color="auto"/>
                    <w:bottom w:val="none" w:sz="0" w:space="0" w:color="auto"/>
                    <w:right w:val="none" w:sz="0" w:space="0" w:color="auto"/>
                  </w:divBdr>
                  <w:divsChild>
                    <w:div w:id="4865639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485438516">
          <w:marLeft w:val="0"/>
          <w:marRight w:val="0"/>
          <w:marTop w:val="0"/>
          <w:marBottom w:val="0"/>
          <w:divBdr>
            <w:top w:val="none" w:sz="0" w:space="0" w:color="auto"/>
            <w:left w:val="none" w:sz="0" w:space="0" w:color="auto"/>
            <w:bottom w:val="none" w:sz="0" w:space="0" w:color="auto"/>
            <w:right w:val="none" w:sz="0" w:space="0" w:color="auto"/>
          </w:divBdr>
          <w:divsChild>
            <w:div w:id="637762412">
              <w:marLeft w:val="0"/>
              <w:marRight w:val="0"/>
              <w:marTop w:val="0"/>
              <w:marBottom w:val="0"/>
              <w:divBdr>
                <w:top w:val="none" w:sz="0" w:space="0" w:color="auto"/>
                <w:left w:val="none" w:sz="0" w:space="0" w:color="auto"/>
                <w:bottom w:val="none" w:sz="0" w:space="0" w:color="auto"/>
                <w:right w:val="none" w:sz="0" w:space="0" w:color="auto"/>
              </w:divBdr>
              <w:divsChild>
                <w:div w:id="1034886217">
                  <w:marLeft w:val="0"/>
                  <w:marRight w:val="0"/>
                  <w:marTop w:val="0"/>
                  <w:marBottom w:val="0"/>
                  <w:divBdr>
                    <w:top w:val="none" w:sz="0" w:space="0" w:color="auto"/>
                    <w:left w:val="none" w:sz="0" w:space="0" w:color="auto"/>
                    <w:bottom w:val="none" w:sz="0" w:space="0" w:color="auto"/>
                    <w:right w:val="none" w:sz="0" w:space="0" w:color="auto"/>
                  </w:divBdr>
                  <w:divsChild>
                    <w:div w:id="633876795">
                      <w:marLeft w:val="30"/>
                      <w:marRight w:val="30"/>
                      <w:marTop w:val="0"/>
                      <w:marBottom w:val="0"/>
                      <w:divBdr>
                        <w:top w:val="none" w:sz="0" w:space="0" w:color="auto"/>
                        <w:left w:val="none" w:sz="0" w:space="0" w:color="auto"/>
                        <w:bottom w:val="none" w:sz="0" w:space="0" w:color="auto"/>
                        <w:right w:val="none" w:sz="0" w:space="0" w:color="auto"/>
                      </w:divBdr>
                      <w:divsChild>
                        <w:div w:id="614870799">
                          <w:marLeft w:val="135"/>
                          <w:marRight w:val="45"/>
                          <w:marTop w:val="60"/>
                          <w:marBottom w:val="60"/>
                          <w:divBdr>
                            <w:top w:val="none" w:sz="0" w:space="0" w:color="auto"/>
                            <w:left w:val="none" w:sz="0" w:space="0" w:color="auto"/>
                            <w:bottom w:val="none" w:sz="0" w:space="0" w:color="auto"/>
                            <w:right w:val="none" w:sz="0" w:space="0" w:color="auto"/>
                          </w:divBdr>
                          <w:divsChild>
                            <w:div w:id="265237732">
                              <w:marLeft w:val="0"/>
                              <w:marRight w:val="0"/>
                              <w:marTop w:val="0"/>
                              <w:marBottom w:val="0"/>
                              <w:divBdr>
                                <w:top w:val="none" w:sz="0" w:space="0" w:color="auto"/>
                                <w:left w:val="none" w:sz="0" w:space="0" w:color="auto"/>
                                <w:bottom w:val="none" w:sz="0" w:space="0" w:color="auto"/>
                                <w:right w:val="none" w:sz="0" w:space="0" w:color="auto"/>
                              </w:divBdr>
                              <w:divsChild>
                                <w:div w:id="9541394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20138164">
                          <w:marLeft w:val="0"/>
                          <w:marRight w:val="90"/>
                          <w:marTop w:val="90"/>
                          <w:marBottom w:val="30"/>
                          <w:divBdr>
                            <w:top w:val="none" w:sz="0" w:space="0" w:color="auto"/>
                            <w:left w:val="none" w:sz="0" w:space="0" w:color="auto"/>
                            <w:bottom w:val="none" w:sz="0" w:space="0" w:color="auto"/>
                            <w:right w:val="none" w:sz="0" w:space="0" w:color="auto"/>
                          </w:divBdr>
                          <w:divsChild>
                            <w:div w:id="54745654">
                              <w:marLeft w:val="0"/>
                              <w:marRight w:val="30"/>
                              <w:marTop w:val="0"/>
                              <w:marBottom w:val="0"/>
                              <w:divBdr>
                                <w:top w:val="none" w:sz="0" w:space="0" w:color="auto"/>
                                <w:left w:val="none" w:sz="0" w:space="0" w:color="auto"/>
                                <w:bottom w:val="none" w:sz="0" w:space="0" w:color="auto"/>
                                <w:right w:val="none" w:sz="0" w:space="0" w:color="auto"/>
                              </w:divBdr>
                              <w:divsChild>
                                <w:div w:id="970786783">
                                  <w:marLeft w:val="0"/>
                                  <w:marRight w:val="0"/>
                                  <w:marTop w:val="0"/>
                                  <w:marBottom w:val="0"/>
                                  <w:divBdr>
                                    <w:top w:val="none" w:sz="0" w:space="0" w:color="auto"/>
                                    <w:left w:val="none" w:sz="0" w:space="0" w:color="auto"/>
                                    <w:bottom w:val="none" w:sz="0" w:space="0" w:color="auto"/>
                                    <w:right w:val="none" w:sz="0" w:space="0" w:color="auto"/>
                                  </w:divBdr>
                                  <w:divsChild>
                                    <w:div w:id="71388771">
                                      <w:marLeft w:val="0"/>
                                      <w:marRight w:val="0"/>
                                      <w:marTop w:val="0"/>
                                      <w:marBottom w:val="0"/>
                                      <w:divBdr>
                                        <w:top w:val="none" w:sz="0" w:space="0" w:color="auto"/>
                                        <w:left w:val="none" w:sz="0" w:space="0" w:color="auto"/>
                                        <w:bottom w:val="none" w:sz="0" w:space="0" w:color="auto"/>
                                        <w:right w:val="none" w:sz="0" w:space="0" w:color="auto"/>
                                      </w:divBdr>
                                      <w:divsChild>
                                        <w:div w:id="18435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835">
                              <w:marLeft w:val="0"/>
                              <w:marRight w:val="0"/>
                              <w:marTop w:val="0"/>
                              <w:marBottom w:val="0"/>
                              <w:divBdr>
                                <w:top w:val="none" w:sz="0" w:space="0" w:color="auto"/>
                                <w:left w:val="none" w:sz="0" w:space="0" w:color="auto"/>
                                <w:bottom w:val="none" w:sz="0" w:space="0" w:color="auto"/>
                                <w:right w:val="none" w:sz="0" w:space="0" w:color="auto"/>
                              </w:divBdr>
                              <w:divsChild>
                                <w:div w:id="1945991117">
                                  <w:marLeft w:val="45"/>
                                  <w:marRight w:val="0"/>
                                  <w:marTop w:val="0"/>
                                  <w:marBottom w:val="15"/>
                                  <w:divBdr>
                                    <w:top w:val="none" w:sz="0" w:space="0" w:color="auto"/>
                                    <w:left w:val="none" w:sz="0" w:space="0" w:color="auto"/>
                                    <w:bottom w:val="none" w:sz="0" w:space="0" w:color="auto"/>
                                    <w:right w:val="none" w:sz="0" w:space="0" w:color="auto"/>
                                  </w:divBdr>
                                </w:div>
                              </w:divsChild>
                            </w:div>
                            <w:div w:id="15040060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4964389">
                      <w:marLeft w:val="30"/>
                      <w:marRight w:val="30"/>
                      <w:marTop w:val="0"/>
                      <w:marBottom w:val="0"/>
                      <w:divBdr>
                        <w:top w:val="none" w:sz="0" w:space="0" w:color="auto"/>
                        <w:left w:val="none" w:sz="0" w:space="0" w:color="auto"/>
                        <w:bottom w:val="none" w:sz="0" w:space="0" w:color="auto"/>
                        <w:right w:val="none" w:sz="0" w:space="0" w:color="auto"/>
                      </w:divBdr>
                      <w:divsChild>
                        <w:div w:id="1425220989">
                          <w:marLeft w:val="180"/>
                          <w:marRight w:val="210"/>
                          <w:marTop w:val="0"/>
                          <w:marBottom w:val="30"/>
                          <w:divBdr>
                            <w:top w:val="none" w:sz="0" w:space="0" w:color="auto"/>
                            <w:left w:val="none" w:sz="0" w:space="0" w:color="auto"/>
                            <w:bottom w:val="none" w:sz="0" w:space="0" w:color="auto"/>
                            <w:right w:val="none" w:sz="0" w:space="0" w:color="auto"/>
                          </w:divBdr>
                          <w:divsChild>
                            <w:div w:id="252202912">
                              <w:marLeft w:val="0"/>
                              <w:marRight w:val="30"/>
                              <w:marTop w:val="0"/>
                              <w:marBottom w:val="0"/>
                              <w:divBdr>
                                <w:top w:val="none" w:sz="0" w:space="0" w:color="auto"/>
                                <w:left w:val="none" w:sz="0" w:space="0" w:color="auto"/>
                                <w:bottom w:val="none" w:sz="0" w:space="0" w:color="auto"/>
                                <w:right w:val="none" w:sz="0" w:space="0" w:color="auto"/>
                              </w:divBdr>
                              <w:divsChild>
                                <w:div w:id="1677999912">
                                  <w:marLeft w:val="0"/>
                                  <w:marRight w:val="0"/>
                                  <w:marTop w:val="0"/>
                                  <w:marBottom w:val="0"/>
                                  <w:divBdr>
                                    <w:top w:val="none" w:sz="0" w:space="0" w:color="auto"/>
                                    <w:left w:val="none" w:sz="0" w:space="0" w:color="auto"/>
                                    <w:bottom w:val="none" w:sz="0" w:space="0" w:color="auto"/>
                                    <w:right w:val="none" w:sz="0" w:space="0" w:color="auto"/>
                                  </w:divBdr>
                                  <w:divsChild>
                                    <w:div w:id="1060859057">
                                      <w:marLeft w:val="0"/>
                                      <w:marRight w:val="0"/>
                                      <w:marTop w:val="0"/>
                                      <w:marBottom w:val="0"/>
                                      <w:divBdr>
                                        <w:top w:val="none" w:sz="0" w:space="0" w:color="auto"/>
                                        <w:left w:val="none" w:sz="0" w:space="0" w:color="auto"/>
                                        <w:bottom w:val="none" w:sz="0" w:space="0" w:color="auto"/>
                                        <w:right w:val="none" w:sz="0" w:space="0" w:color="auto"/>
                                      </w:divBdr>
                                      <w:divsChild>
                                        <w:div w:id="3710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594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367233">
      <w:bodyDiv w:val="1"/>
      <w:marLeft w:val="0"/>
      <w:marRight w:val="0"/>
      <w:marTop w:val="0"/>
      <w:marBottom w:val="0"/>
      <w:divBdr>
        <w:top w:val="none" w:sz="0" w:space="0" w:color="auto"/>
        <w:left w:val="none" w:sz="0" w:space="0" w:color="auto"/>
        <w:bottom w:val="none" w:sz="0" w:space="0" w:color="auto"/>
        <w:right w:val="none" w:sz="0" w:space="0" w:color="auto"/>
      </w:divBdr>
    </w:div>
    <w:div w:id="1279869754">
      <w:bodyDiv w:val="1"/>
      <w:marLeft w:val="0"/>
      <w:marRight w:val="0"/>
      <w:marTop w:val="0"/>
      <w:marBottom w:val="0"/>
      <w:divBdr>
        <w:top w:val="none" w:sz="0" w:space="0" w:color="auto"/>
        <w:left w:val="none" w:sz="0" w:space="0" w:color="auto"/>
        <w:bottom w:val="none" w:sz="0" w:space="0" w:color="auto"/>
        <w:right w:val="none" w:sz="0" w:space="0" w:color="auto"/>
      </w:divBdr>
      <w:divsChild>
        <w:div w:id="718700071">
          <w:marLeft w:val="0"/>
          <w:marRight w:val="0"/>
          <w:marTop w:val="0"/>
          <w:marBottom w:val="0"/>
          <w:divBdr>
            <w:top w:val="none" w:sz="0" w:space="0" w:color="auto"/>
            <w:left w:val="none" w:sz="0" w:space="0" w:color="auto"/>
            <w:bottom w:val="none" w:sz="0" w:space="0" w:color="auto"/>
            <w:right w:val="none" w:sz="0" w:space="0" w:color="auto"/>
          </w:divBdr>
          <w:divsChild>
            <w:div w:id="1045836484">
              <w:marLeft w:val="210"/>
              <w:marRight w:val="0"/>
              <w:marTop w:val="120"/>
              <w:marBottom w:val="0"/>
              <w:divBdr>
                <w:top w:val="none" w:sz="0" w:space="0" w:color="auto"/>
                <w:left w:val="none" w:sz="0" w:space="0" w:color="auto"/>
                <w:bottom w:val="none" w:sz="0" w:space="0" w:color="auto"/>
                <w:right w:val="none" w:sz="0" w:space="0" w:color="auto"/>
              </w:divBdr>
              <w:divsChild>
                <w:div w:id="202404670">
                  <w:marLeft w:val="0"/>
                  <w:marRight w:val="0"/>
                  <w:marTop w:val="0"/>
                  <w:marBottom w:val="0"/>
                  <w:divBdr>
                    <w:top w:val="none" w:sz="0" w:space="0" w:color="auto"/>
                    <w:left w:val="none" w:sz="0" w:space="0" w:color="auto"/>
                    <w:bottom w:val="none" w:sz="0" w:space="0" w:color="auto"/>
                    <w:right w:val="none" w:sz="0" w:space="0" w:color="auto"/>
                  </w:divBdr>
                  <w:divsChild>
                    <w:div w:id="86902996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845289345">
          <w:marLeft w:val="0"/>
          <w:marRight w:val="0"/>
          <w:marTop w:val="0"/>
          <w:marBottom w:val="0"/>
          <w:divBdr>
            <w:top w:val="none" w:sz="0" w:space="0" w:color="auto"/>
            <w:left w:val="none" w:sz="0" w:space="0" w:color="auto"/>
            <w:bottom w:val="none" w:sz="0" w:space="0" w:color="auto"/>
            <w:right w:val="none" w:sz="0" w:space="0" w:color="auto"/>
          </w:divBdr>
          <w:divsChild>
            <w:div w:id="1041133497">
              <w:marLeft w:val="0"/>
              <w:marRight w:val="0"/>
              <w:marTop w:val="0"/>
              <w:marBottom w:val="0"/>
              <w:divBdr>
                <w:top w:val="none" w:sz="0" w:space="0" w:color="auto"/>
                <w:left w:val="none" w:sz="0" w:space="0" w:color="auto"/>
                <w:bottom w:val="none" w:sz="0" w:space="0" w:color="auto"/>
                <w:right w:val="none" w:sz="0" w:space="0" w:color="auto"/>
              </w:divBdr>
              <w:divsChild>
                <w:div w:id="1780370312">
                  <w:marLeft w:val="0"/>
                  <w:marRight w:val="0"/>
                  <w:marTop w:val="0"/>
                  <w:marBottom w:val="0"/>
                  <w:divBdr>
                    <w:top w:val="none" w:sz="0" w:space="0" w:color="auto"/>
                    <w:left w:val="none" w:sz="0" w:space="0" w:color="auto"/>
                    <w:bottom w:val="none" w:sz="0" w:space="0" w:color="auto"/>
                    <w:right w:val="none" w:sz="0" w:space="0" w:color="auto"/>
                  </w:divBdr>
                  <w:divsChild>
                    <w:div w:id="794830051">
                      <w:marLeft w:val="30"/>
                      <w:marRight w:val="30"/>
                      <w:marTop w:val="0"/>
                      <w:marBottom w:val="0"/>
                      <w:divBdr>
                        <w:top w:val="none" w:sz="0" w:space="0" w:color="auto"/>
                        <w:left w:val="none" w:sz="0" w:space="0" w:color="auto"/>
                        <w:bottom w:val="none" w:sz="0" w:space="0" w:color="auto"/>
                        <w:right w:val="none" w:sz="0" w:space="0" w:color="auto"/>
                      </w:divBdr>
                      <w:divsChild>
                        <w:div w:id="637346910">
                          <w:marLeft w:val="180"/>
                          <w:marRight w:val="210"/>
                          <w:marTop w:val="0"/>
                          <w:marBottom w:val="30"/>
                          <w:divBdr>
                            <w:top w:val="none" w:sz="0" w:space="0" w:color="auto"/>
                            <w:left w:val="none" w:sz="0" w:space="0" w:color="auto"/>
                            <w:bottom w:val="none" w:sz="0" w:space="0" w:color="auto"/>
                            <w:right w:val="none" w:sz="0" w:space="0" w:color="auto"/>
                          </w:divBdr>
                          <w:divsChild>
                            <w:div w:id="328367107">
                              <w:marLeft w:val="0"/>
                              <w:marRight w:val="30"/>
                              <w:marTop w:val="0"/>
                              <w:marBottom w:val="0"/>
                              <w:divBdr>
                                <w:top w:val="none" w:sz="0" w:space="0" w:color="auto"/>
                                <w:left w:val="none" w:sz="0" w:space="0" w:color="auto"/>
                                <w:bottom w:val="none" w:sz="0" w:space="0" w:color="auto"/>
                                <w:right w:val="none" w:sz="0" w:space="0" w:color="auto"/>
                              </w:divBdr>
                              <w:divsChild>
                                <w:div w:id="1421442324">
                                  <w:marLeft w:val="0"/>
                                  <w:marRight w:val="0"/>
                                  <w:marTop w:val="0"/>
                                  <w:marBottom w:val="0"/>
                                  <w:divBdr>
                                    <w:top w:val="none" w:sz="0" w:space="0" w:color="auto"/>
                                    <w:left w:val="none" w:sz="0" w:space="0" w:color="auto"/>
                                    <w:bottom w:val="none" w:sz="0" w:space="0" w:color="auto"/>
                                    <w:right w:val="none" w:sz="0" w:space="0" w:color="auto"/>
                                  </w:divBdr>
                                  <w:divsChild>
                                    <w:div w:id="1125277114">
                                      <w:marLeft w:val="0"/>
                                      <w:marRight w:val="0"/>
                                      <w:marTop w:val="0"/>
                                      <w:marBottom w:val="0"/>
                                      <w:divBdr>
                                        <w:top w:val="none" w:sz="0" w:space="0" w:color="auto"/>
                                        <w:left w:val="none" w:sz="0" w:space="0" w:color="auto"/>
                                        <w:bottom w:val="none" w:sz="0" w:space="0" w:color="auto"/>
                                        <w:right w:val="none" w:sz="0" w:space="0" w:color="auto"/>
                                      </w:divBdr>
                                      <w:divsChild>
                                        <w:div w:id="12782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50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34016227">
                      <w:marLeft w:val="30"/>
                      <w:marRight w:val="30"/>
                      <w:marTop w:val="0"/>
                      <w:marBottom w:val="0"/>
                      <w:divBdr>
                        <w:top w:val="none" w:sz="0" w:space="0" w:color="auto"/>
                        <w:left w:val="none" w:sz="0" w:space="0" w:color="auto"/>
                        <w:bottom w:val="none" w:sz="0" w:space="0" w:color="auto"/>
                        <w:right w:val="none" w:sz="0" w:space="0" w:color="auto"/>
                      </w:divBdr>
                      <w:divsChild>
                        <w:div w:id="479540170">
                          <w:marLeft w:val="0"/>
                          <w:marRight w:val="90"/>
                          <w:marTop w:val="90"/>
                          <w:marBottom w:val="30"/>
                          <w:divBdr>
                            <w:top w:val="none" w:sz="0" w:space="0" w:color="auto"/>
                            <w:left w:val="none" w:sz="0" w:space="0" w:color="auto"/>
                            <w:bottom w:val="none" w:sz="0" w:space="0" w:color="auto"/>
                            <w:right w:val="none" w:sz="0" w:space="0" w:color="auto"/>
                          </w:divBdr>
                          <w:divsChild>
                            <w:div w:id="180749276">
                              <w:marLeft w:val="0"/>
                              <w:marRight w:val="30"/>
                              <w:marTop w:val="0"/>
                              <w:marBottom w:val="0"/>
                              <w:divBdr>
                                <w:top w:val="none" w:sz="0" w:space="0" w:color="auto"/>
                                <w:left w:val="none" w:sz="0" w:space="0" w:color="auto"/>
                                <w:bottom w:val="none" w:sz="0" w:space="0" w:color="auto"/>
                                <w:right w:val="none" w:sz="0" w:space="0" w:color="auto"/>
                              </w:divBdr>
                              <w:divsChild>
                                <w:div w:id="1075973001">
                                  <w:marLeft w:val="0"/>
                                  <w:marRight w:val="0"/>
                                  <w:marTop w:val="0"/>
                                  <w:marBottom w:val="0"/>
                                  <w:divBdr>
                                    <w:top w:val="none" w:sz="0" w:space="0" w:color="auto"/>
                                    <w:left w:val="none" w:sz="0" w:space="0" w:color="auto"/>
                                    <w:bottom w:val="none" w:sz="0" w:space="0" w:color="auto"/>
                                    <w:right w:val="none" w:sz="0" w:space="0" w:color="auto"/>
                                  </w:divBdr>
                                  <w:divsChild>
                                    <w:div w:id="1629125095">
                                      <w:marLeft w:val="0"/>
                                      <w:marRight w:val="0"/>
                                      <w:marTop w:val="0"/>
                                      <w:marBottom w:val="0"/>
                                      <w:divBdr>
                                        <w:top w:val="none" w:sz="0" w:space="0" w:color="auto"/>
                                        <w:left w:val="none" w:sz="0" w:space="0" w:color="auto"/>
                                        <w:bottom w:val="none" w:sz="0" w:space="0" w:color="auto"/>
                                        <w:right w:val="none" w:sz="0" w:space="0" w:color="auto"/>
                                      </w:divBdr>
                                      <w:divsChild>
                                        <w:div w:id="20573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1259">
                              <w:marLeft w:val="0"/>
                              <w:marRight w:val="0"/>
                              <w:marTop w:val="0"/>
                              <w:marBottom w:val="0"/>
                              <w:divBdr>
                                <w:top w:val="none" w:sz="0" w:space="0" w:color="auto"/>
                                <w:left w:val="none" w:sz="0" w:space="0" w:color="auto"/>
                                <w:bottom w:val="none" w:sz="0" w:space="0" w:color="auto"/>
                                <w:right w:val="none" w:sz="0" w:space="0" w:color="auto"/>
                              </w:divBdr>
                              <w:divsChild>
                                <w:div w:id="25159639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987779746">
                          <w:marLeft w:val="135"/>
                          <w:marRight w:val="45"/>
                          <w:marTop w:val="60"/>
                          <w:marBottom w:val="60"/>
                          <w:divBdr>
                            <w:top w:val="none" w:sz="0" w:space="0" w:color="auto"/>
                            <w:left w:val="none" w:sz="0" w:space="0" w:color="auto"/>
                            <w:bottom w:val="none" w:sz="0" w:space="0" w:color="auto"/>
                            <w:right w:val="none" w:sz="0" w:space="0" w:color="auto"/>
                          </w:divBdr>
                          <w:divsChild>
                            <w:div w:id="2059233637">
                              <w:marLeft w:val="0"/>
                              <w:marRight w:val="0"/>
                              <w:marTop w:val="0"/>
                              <w:marBottom w:val="0"/>
                              <w:divBdr>
                                <w:top w:val="none" w:sz="0" w:space="0" w:color="auto"/>
                                <w:left w:val="none" w:sz="0" w:space="0" w:color="auto"/>
                                <w:bottom w:val="none" w:sz="0" w:space="0" w:color="auto"/>
                                <w:right w:val="none" w:sz="0" w:space="0" w:color="auto"/>
                              </w:divBdr>
                              <w:divsChild>
                                <w:div w:id="1009482423">
                                  <w:marLeft w:val="0"/>
                                  <w:marRight w:val="0"/>
                                  <w:marTop w:val="0"/>
                                  <w:marBottom w:val="0"/>
                                  <w:divBdr>
                                    <w:top w:val="none" w:sz="0" w:space="0" w:color="auto"/>
                                    <w:left w:val="none" w:sz="0" w:space="0" w:color="auto"/>
                                    <w:bottom w:val="none" w:sz="0" w:space="0" w:color="auto"/>
                                    <w:right w:val="none" w:sz="0" w:space="0" w:color="auto"/>
                                  </w:divBdr>
                                </w:div>
                                <w:div w:id="15834925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3552">
      <w:bodyDiv w:val="1"/>
      <w:marLeft w:val="0"/>
      <w:marRight w:val="0"/>
      <w:marTop w:val="0"/>
      <w:marBottom w:val="0"/>
      <w:divBdr>
        <w:top w:val="none" w:sz="0" w:space="0" w:color="auto"/>
        <w:left w:val="none" w:sz="0" w:space="0" w:color="auto"/>
        <w:bottom w:val="none" w:sz="0" w:space="0" w:color="auto"/>
        <w:right w:val="none" w:sz="0" w:space="0" w:color="auto"/>
      </w:divBdr>
    </w:div>
    <w:div w:id="1297180448">
      <w:bodyDiv w:val="1"/>
      <w:marLeft w:val="0"/>
      <w:marRight w:val="0"/>
      <w:marTop w:val="0"/>
      <w:marBottom w:val="0"/>
      <w:divBdr>
        <w:top w:val="none" w:sz="0" w:space="0" w:color="auto"/>
        <w:left w:val="none" w:sz="0" w:space="0" w:color="auto"/>
        <w:bottom w:val="none" w:sz="0" w:space="0" w:color="auto"/>
        <w:right w:val="none" w:sz="0" w:space="0" w:color="auto"/>
      </w:divBdr>
    </w:div>
    <w:div w:id="1304385514">
      <w:bodyDiv w:val="1"/>
      <w:marLeft w:val="0"/>
      <w:marRight w:val="0"/>
      <w:marTop w:val="0"/>
      <w:marBottom w:val="0"/>
      <w:divBdr>
        <w:top w:val="none" w:sz="0" w:space="0" w:color="auto"/>
        <w:left w:val="none" w:sz="0" w:space="0" w:color="auto"/>
        <w:bottom w:val="none" w:sz="0" w:space="0" w:color="auto"/>
        <w:right w:val="none" w:sz="0" w:space="0" w:color="auto"/>
      </w:divBdr>
      <w:divsChild>
        <w:div w:id="574048390">
          <w:marLeft w:val="0"/>
          <w:marRight w:val="0"/>
          <w:marTop w:val="0"/>
          <w:marBottom w:val="0"/>
          <w:divBdr>
            <w:top w:val="none" w:sz="0" w:space="0" w:color="auto"/>
            <w:left w:val="none" w:sz="0" w:space="0" w:color="auto"/>
            <w:bottom w:val="none" w:sz="0" w:space="0" w:color="auto"/>
            <w:right w:val="none" w:sz="0" w:space="0" w:color="auto"/>
          </w:divBdr>
          <w:divsChild>
            <w:div w:id="1574925344">
              <w:marLeft w:val="210"/>
              <w:marRight w:val="0"/>
              <w:marTop w:val="120"/>
              <w:marBottom w:val="0"/>
              <w:divBdr>
                <w:top w:val="none" w:sz="0" w:space="0" w:color="auto"/>
                <w:left w:val="none" w:sz="0" w:space="0" w:color="auto"/>
                <w:bottom w:val="none" w:sz="0" w:space="0" w:color="auto"/>
                <w:right w:val="none" w:sz="0" w:space="0" w:color="auto"/>
              </w:divBdr>
              <w:divsChild>
                <w:div w:id="837231084">
                  <w:marLeft w:val="0"/>
                  <w:marRight w:val="0"/>
                  <w:marTop w:val="0"/>
                  <w:marBottom w:val="0"/>
                  <w:divBdr>
                    <w:top w:val="none" w:sz="0" w:space="0" w:color="auto"/>
                    <w:left w:val="none" w:sz="0" w:space="0" w:color="auto"/>
                    <w:bottom w:val="none" w:sz="0" w:space="0" w:color="auto"/>
                    <w:right w:val="none" w:sz="0" w:space="0" w:color="auto"/>
                  </w:divBdr>
                  <w:divsChild>
                    <w:div w:id="157438591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400253025">
          <w:marLeft w:val="0"/>
          <w:marRight w:val="0"/>
          <w:marTop w:val="0"/>
          <w:marBottom w:val="0"/>
          <w:divBdr>
            <w:top w:val="none" w:sz="0" w:space="0" w:color="auto"/>
            <w:left w:val="none" w:sz="0" w:space="0" w:color="auto"/>
            <w:bottom w:val="none" w:sz="0" w:space="0" w:color="auto"/>
            <w:right w:val="none" w:sz="0" w:space="0" w:color="auto"/>
          </w:divBdr>
          <w:divsChild>
            <w:div w:id="1929195819">
              <w:marLeft w:val="0"/>
              <w:marRight w:val="0"/>
              <w:marTop w:val="0"/>
              <w:marBottom w:val="0"/>
              <w:divBdr>
                <w:top w:val="none" w:sz="0" w:space="0" w:color="auto"/>
                <w:left w:val="none" w:sz="0" w:space="0" w:color="auto"/>
                <w:bottom w:val="none" w:sz="0" w:space="0" w:color="auto"/>
                <w:right w:val="none" w:sz="0" w:space="0" w:color="auto"/>
              </w:divBdr>
              <w:divsChild>
                <w:div w:id="279145766">
                  <w:marLeft w:val="0"/>
                  <w:marRight w:val="0"/>
                  <w:marTop w:val="0"/>
                  <w:marBottom w:val="0"/>
                  <w:divBdr>
                    <w:top w:val="none" w:sz="0" w:space="0" w:color="auto"/>
                    <w:left w:val="none" w:sz="0" w:space="0" w:color="auto"/>
                    <w:bottom w:val="none" w:sz="0" w:space="0" w:color="auto"/>
                    <w:right w:val="none" w:sz="0" w:space="0" w:color="auto"/>
                  </w:divBdr>
                  <w:divsChild>
                    <w:div w:id="211037704">
                      <w:marLeft w:val="30"/>
                      <w:marRight w:val="30"/>
                      <w:marTop w:val="0"/>
                      <w:marBottom w:val="0"/>
                      <w:divBdr>
                        <w:top w:val="none" w:sz="0" w:space="0" w:color="auto"/>
                        <w:left w:val="none" w:sz="0" w:space="0" w:color="auto"/>
                        <w:bottom w:val="none" w:sz="0" w:space="0" w:color="auto"/>
                        <w:right w:val="none" w:sz="0" w:space="0" w:color="auto"/>
                      </w:divBdr>
                      <w:divsChild>
                        <w:div w:id="186455338">
                          <w:marLeft w:val="0"/>
                          <w:marRight w:val="90"/>
                          <w:marTop w:val="90"/>
                          <w:marBottom w:val="30"/>
                          <w:divBdr>
                            <w:top w:val="none" w:sz="0" w:space="0" w:color="auto"/>
                            <w:left w:val="none" w:sz="0" w:space="0" w:color="auto"/>
                            <w:bottom w:val="none" w:sz="0" w:space="0" w:color="auto"/>
                            <w:right w:val="none" w:sz="0" w:space="0" w:color="auto"/>
                          </w:divBdr>
                          <w:divsChild>
                            <w:div w:id="233856764">
                              <w:marLeft w:val="0"/>
                              <w:marRight w:val="30"/>
                              <w:marTop w:val="0"/>
                              <w:marBottom w:val="0"/>
                              <w:divBdr>
                                <w:top w:val="none" w:sz="0" w:space="0" w:color="auto"/>
                                <w:left w:val="none" w:sz="0" w:space="0" w:color="auto"/>
                                <w:bottom w:val="none" w:sz="0" w:space="0" w:color="auto"/>
                                <w:right w:val="none" w:sz="0" w:space="0" w:color="auto"/>
                              </w:divBdr>
                              <w:divsChild>
                                <w:div w:id="979650855">
                                  <w:marLeft w:val="0"/>
                                  <w:marRight w:val="0"/>
                                  <w:marTop w:val="0"/>
                                  <w:marBottom w:val="0"/>
                                  <w:divBdr>
                                    <w:top w:val="none" w:sz="0" w:space="0" w:color="auto"/>
                                    <w:left w:val="none" w:sz="0" w:space="0" w:color="auto"/>
                                    <w:bottom w:val="none" w:sz="0" w:space="0" w:color="auto"/>
                                    <w:right w:val="none" w:sz="0" w:space="0" w:color="auto"/>
                                  </w:divBdr>
                                  <w:divsChild>
                                    <w:div w:id="561985645">
                                      <w:marLeft w:val="0"/>
                                      <w:marRight w:val="0"/>
                                      <w:marTop w:val="0"/>
                                      <w:marBottom w:val="0"/>
                                      <w:divBdr>
                                        <w:top w:val="none" w:sz="0" w:space="0" w:color="auto"/>
                                        <w:left w:val="none" w:sz="0" w:space="0" w:color="auto"/>
                                        <w:bottom w:val="none" w:sz="0" w:space="0" w:color="auto"/>
                                        <w:right w:val="none" w:sz="0" w:space="0" w:color="auto"/>
                                      </w:divBdr>
                                      <w:divsChild>
                                        <w:div w:id="8740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4773">
                              <w:marLeft w:val="45"/>
                              <w:marRight w:val="0"/>
                              <w:marTop w:val="0"/>
                              <w:marBottom w:val="0"/>
                              <w:divBdr>
                                <w:top w:val="none" w:sz="0" w:space="0" w:color="auto"/>
                                <w:left w:val="none" w:sz="0" w:space="0" w:color="auto"/>
                                <w:bottom w:val="none" w:sz="0" w:space="0" w:color="auto"/>
                                <w:right w:val="none" w:sz="0" w:space="0" w:color="auto"/>
                              </w:divBdr>
                            </w:div>
                            <w:div w:id="2041008889">
                              <w:marLeft w:val="0"/>
                              <w:marRight w:val="0"/>
                              <w:marTop w:val="0"/>
                              <w:marBottom w:val="0"/>
                              <w:divBdr>
                                <w:top w:val="none" w:sz="0" w:space="0" w:color="auto"/>
                                <w:left w:val="none" w:sz="0" w:space="0" w:color="auto"/>
                                <w:bottom w:val="none" w:sz="0" w:space="0" w:color="auto"/>
                                <w:right w:val="none" w:sz="0" w:space="0" w:color="auto"/>
                              </w:divBdr>
                              <w:divsChild>
                                <w:div w:id="1621843237">
                                  <w:marLeft w:val="0"/>
                                  <w:marRight w:val="0"/>
                                  <w:marTop w:val="0"/>
                                  <w:marBottom w:val="0"/>
                                  <w:divBdr>
                                    <w:top w:val="none" w:sz="0" w:space="0" w:color="auto"/>
                                    <w:left w:val="none" w:sz="0" w:space="0" w:color="auto"/>
                                    <w:bottom w:val="none" w:sz="0" w:space="0" w:color="auto"/>
                                    <w:right w:val="none" w:sz="0" w:space="0" w:color="auto"/>
                                  </w:divBdr>
                                  <w:divsChild>
                                    <w:div w:id="15034103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075666287">
                          <w:marLeft w:val="135"/>
                          <w:marRight w:val="45"/>
                          <w:marTop w:val="60"/>
                          <w:marBottom w:val="60"/>
                          <w:divBdr>
                            <w:top w:val="none" w:sz="0" w:space="0" w:color="auto"/>
                            <w:left w:val="none" w:sz="0" w:space="0" w:color="auto"/>
                            <w:bottom w:val="none" w:sz="0" w:space="0" w:color="auto"/>
                            <w:right w:val="none" w:sz="0" w:space="0" w:color="auto"/>
                          </w:divBdr>
                          <w:divsChild>
                            <w:div w:id="102966439">
                              <w:marLeft w:val="0"/>
                              <w:marRight w:val="0"/>
                              <w:marTop w:val="0"/>
                              <w:marBottom w:val="0"/>
                              <w:divBdr>
                                <w:top w:val="none" w:sz="0" w:space="0" w:color="auto"/>
                                <w:left w:val="none" w:sz="0" w:space="0" w:color="auto"/>
                                <w:bottom w:val="none" w:sz="0" w:space="0" w:color="auto"/>
                                <w:right w:val="none" w:sz="0" w:space="0" w:color="auto"/>
                              </w:divBdr>
                              <w:divsChild>
                                <w:div w:id="1468275453">
                                  <w:marLeft w:val="0"/>
                                  <w:marRight w:val="0"/>
                                  <w:marTop w:val="0"/>
                                  <w:marBottom w:val="0"/>
                                  <w:divBdr>
                                    <w:top w:val="none" w:sz="0" w:space="0" w:color="auto"/>
                                    <w:left w:val="none" w:sz="0" w:space="0" w:color="auto"/>
                                    <w:bottom w:val="none" w:sz="0" w:space="0" w:color="auto"/>
                                    <w:right w:val="none" w:sz="0" w:space="0" w:color="auto"/>
                                  </w:divBdr>
                                </w:div>
                                <w:div w:id="18226217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44386227">
                      <w:marLeft w:val="30"/>
                      <w:marRight w:val="30"/>
                      <w:marTop w:val="0"/>
                      <w:marBottom w:val="0"/>
                      <w:divBdr>
                        <w:top w:val="none" w:sz="0" w:space="0" w:color="auto"/>
                        <w:left w:val="none" w:sz="0" w:space="0" w:color="auto"/>
                        <w:bottom w:val="none" w:sz="0" w:space="0" w:color="auto"/>
                        <w:right w:val="none" w:sz="0" w:space="0" w:color="auto"/>
                      </w:divBdr>
                      <w:divsChild>
                        <w:div w:id="1797065820">
                          <w:marLeft w:val="180"/>
                          <w:marRight w:val="210"/>
                          <w:marTop w:val="0"/>
                          <w:marBottom w:val="30"/>
                          <w:divBdr>
                            <w:top w:val="none" w:sz="0" w:space="0" w:color="auto"/>
                            <w:left w:val="none" w:sz="0" w:space="0" w:color="auto"/>
                            <w:bottom w:val="none" w:sz="0" w:space="0" w:color="auto"/>
                            <w:right w:val="none" w:sz="0" w:space="0" w:color="auto"/>
                          </w:divBdr>
                          <w:divsChild>
                            <w:div w:id="968629436">
                              <w:marLeft w:val="45"/>
                              <w:marRight w:val="0"/>
                              <w:marTop w:val="0"/>
                              <w:marBottom w:val="0"/>
                              <w:divBdr>
                                <w:top w:val="none" w:sz="0" w:space="0" w:color="auto"/>
                                <w:left w:val="none" w:sz="0" w:space="0" w:color="auto"/>
                                <w:bottom w:val="none" w:sz="0" w:space="0" w:color="auto"/>
                                <w:right w:val="none" w:sz="0" w:space="0" w:color="auto"/>
                              </w:divBdr>
                            </w:div>
                            <w:div w:id="1091585150">
                              <w:marLeft w:val="0"/>
                              <w:marRight w:val="30"/>
                              <w:marTop w:val="0"/>
                              <w:marBottom w:val="0"/>
                              <w:divBdr>
                                <w:top w:val="none" w:sz="0" w:space="0" w:color="auto"/>
                                <w:left w:val="none" w:sz="0" w:space="0" w:color="auto"/>
                                <w:bottom w:val="none" w:sz="0" w:space="0" w:color="auto"/>
                                <w:right w:val="none" w:sz="0" w:space="0" w:color="auto"/>
                              </w:divBdr>
                              <w:divsChild>
                                <w:div w:id="627517785">
                                  <w:marLeft w:val="0"/>
                                  <w:marRight w:val="0"/>
                                  <w:marTop w:val="0"/>
                                  <w:marBottom w:val="0"/>
                                  <w:divBdr>
                                    <w:top w:val="none" w:sz="0" w:space="0" w:color="auto"/>
                                    <w:left w:val="none" w:sz="0" w:space="0" w:color="auto"/>
                                    <w:bottom w:val="none" w:sz="0" w:space="0" w:color="auto"/>
                                    <w:right w:val="none" w:sz="0" w:space="0" w:color="auto"/>
                                  </w:divBdr>
                                  <w:divsChild>
                                    <w:div w:id="1614022020">
                                      <w:marLeft w:val="0"/>
                                      <w:marRight w:val="0"/>
                                      <w:marTop w:val="0"/>
                                      <w:marBottom w:val="0"/>
                                      <w:divBdr>
                                        <w:top w:val="none" w:sz="0" w:space="0" w:color="auto"/>
                                        <w:left w:val="none" w:sz="0" w:space="0" w:color="auto"/>
                                        <w:bottom w:val="none" w:sz="0" w:space="0" w:color="auto"/>
                                        <w:right w:val="none" w:sz="0" w:space="0" w:color="auto"/>
                                      </w:divBdr>
                                      <w:divsChild>
                                        <w:div w:id="12615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577831">
      <w:bodyDiv w:val="1"/>
      <w:marLeft w:val="0"/>
      <w:marRight w:val="0"/>
      <w:marTop w:val="0"/>
      <w:marBottom w:val="0"/>
      <w:divBdr>
        <w:top w:val="none" w:sz="0" w:space="0" w:color="auto"/>
        <w:left w:val="none" w:sz="0" w:space="0" w:color="auto"/>
        <w:bottom w:val="none" w:sz="0" w:space="0" w:color="auto"/>
        <w:right w:val="none" w:sz="0" w:space="0" w:color="auto"/>
      </w:divBdr>
      <w:divsChild>
        <w:div w:id="963006634">
          <w:marLeft w:val="0"/>
          <w:marRight w:val="0"/>
          <w:marTop w:val="0"/>
          <w:marBottom w:val="0"/>
          <w:divBdr>
            <w:top w:val="none" w:sz="0" w:space="0" w:color="auto"/>
            <w:left w:val="none" w:sz="0" w:space="0" w:color="auto"/>
            <w:bottom w:val="none" w:sz="0" w:space="0" w:color="auto"/>
            <w:right w:val="none" w:sz="0" w:space="0" w:color="auto"/>
          </w:divBdr>
          <w:divsChild>
            <w:div w:id="1190871470">
              <w:marLeft w:val="210"/>
              <w:marRight w:val="0"/>
              <w:marTop w:val="120"/>
              <w:marBottom w:val="0"/>
              <w:divBdr>
                <w:top w:val="none" w:sz="0" w:space="0" w:color="auto"/>
                <w:left w:val="none" w:sz="0" w:space="0" w:color="auto"/>
                <w:bottom w:val="none" w:sz="0" w:space="0" w:color="auto"/>
                <w:right w:val="none" w:sz="0" w:space="0" w:color="auto"/>
              </w:divBdr>
              <w:divsChild>
                <w:div w:id="2009479390">
                  <w:marLeft w:val="0"/>
                  <w:marRight w:val="0"/>
                  <w:marTop w:val="0"/>
                  <w:marBottom w:val="0"/>
                  <w:divBdr>
                    <w:top w:val="none" w:sz="0" w:space="0" w:color="auto"/>
                    <w:left w:val="none" w:sz="0" w:space="0" w:color="auto"/>
                    <w:bottom w:val="none" w:sz="0" w:space="0" w:color="auto"/>
                    <w:right w:val="none" w:sz="0" w:space="0" w:color="auto"/>
                  </w:divBdr>
                  <w:divsChild>
                    <w:div w:id="174699729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966590639">
          <w:marLeft w:val="0"/>
          <w:marRight w:val="0"/>
          <w:marTop w:val="0"/>
          <w:marBottom w:val="0"/>
          <w:divBdr>
            <w:top w:val="none" w:sz="0" w:space="0" w:color="auto"/>
            <w:left w:val="none" w:sz="0" w:space="0" w:color="auto"/>
            <w:bottom w:val="none" w:sz="0" w:space="0" w:color="auto"/>
            <w:right w:val="none" w:sz="0" w:space="0" w:color="auto"/>
          </w:divBdr>
          <w:divsChild>
            <w:div w:id="2077436655">
              <w:marLeft w:val="0"/>
              <w:marRight w:val="0"/>
              <w:marTop w:val="0"/>
              <w:marBottom w:val="0"/>
              <w:divBdr>
                <w:top w:val="none" w:sz="0" w:space="0" w:color="auto"/>
                <w:left w:val="none" w:sz="0" w:space="0" w:color="auto"/>
                <w:bottom w:val="none" w:sz="0" w:space="0" w:color="auto"/>
                <w:right w:val="none" w:sz="0" w:space="0" w:color="auto"/>
              </w:divBdr>
              <w:divsChild>
                <w:div w:id="1603607934">
                  <w:marLeft w:val="0"/>
                  <w:marRight w:val="0"/>
                  <w:marTop w:val="0"/>
                  <w:marBottom w:val="0"/>
                  <w:divBdr>
                    <w:top w:val="none" w:sz="0" w:space="0" w:color="auto"/>
                    <w:left w:val="none" w:sz="0" w:space="0" w:color="auto"/>
                    <w:bottom w:val="none" w:sz="0" w:space="0" w:color="auto"/>
                    <w:right w:val="none" w:sz="0" w:space="0" w:color="auto"/>
                  </w:divBdr>
                  <w:divsChild>
                    <w:div w:id="156849519">
                      <w:marLeft w:val="30"/>
                      <w:marRight w:val="30"/>
                      <w:marTop w:val="0"/>
                      <w:marBottom w:val="0"/>
                      <w:divBdr>
                        <w:top w:val="none" w:sz="0" w:space="0" w:color="auto"/>
                        <w:left w:val="none" w:sz="0" w:space="0" w:color="auto"/>
                        <w:bottom w:val="none" w:sz="0" w:space="0" w:color="auto"/>
                        <w:right w:val="none" w:sz="0" w:space="0" w:color="auto"/>
                      </w:divBdr>
                      <w:divsChild>
                        <w:div w:id="1779718477">
                          <w:marLeft w:val="180"/>
                          <w:marRight w:val="210"/>
                          <w:marTop w:val="0"/>
                          <w:marBottom w:val="30"/>
                          <w:divBdr>
                            <w:top w:val="none" w:sz="0" w:space="0" w:color="auto"/>
                            <w:left w:val="none" w:sz="0" w:space="0" w:color="auto"/>
                            <w:bottom w:val="none" w:sz="0" w:space="0" w:color="auto"/>
                            <w:right w:val="none" w:sz="0" w:space="0" w:color="auto"/>
                          </w:divBdr>
                          <w:divsChild>
                            <w:div w:id="1396860171">
                              <w:marLeft w:val="45"/>
                              <w:marRight w:val="0"/>
                              <w:marTop w:val="0"/>
                              <w:marBottom w:val="0"/>
                              <w:divBdr>
                                <w:top w:val="none" w:sz="0" w:space="0" w:color="auto"/>
                                <w:left w:val="none" w:sz="0" w:space="0" w:color="auto"/>
                                <w:bottom w:val="none" w:sz="0" w:space="0" w:color="auto"/>
                                <w:right w:val="none" w:sz="0" w:space="0" w:color="auto"/>
                              </w:divBdr>
                            </w:div>
                            <w:div w:id="1733118086">
                              <w:marLeft w:val="0"/>
                              <w:marRight w:val="30"/>
                              <w:marTop w:val="0"/>
                              <w:marBottom w:val="0"/>
                              <w:divBdr>
                                <w:top w:val="none" w:sz="0" w:space="0" w:color="auto"/>
                                <w:left w:val="none" w:sz="0" w:space="0" w:color="auto"/>
                                <w:bottom w:val="none" w:sz="0" w:space="0" w:color="auto"/>
                                <w:right w:val="none" w:sz="0" w:space="0" w:color="auto"/>
                              </w:divBdr>
                              <w:divsChild>
                                <w:div w:id="1693651758">
                                  <w:marLeft w:val="0"/>
                                  <w:marRight w:val="0"/>
                                  <w:marTop w:val="0"/>
                                  <w:marBottom w:val="0"/>
                                  <w:divBdr>
                                    <w:top w:val="none" w:sz="0" w:space="0" w:color="auto"/>
                                    <w:left w:val="none" w:sz="0" w:space="0" w:color="auto"/>
                                    <w:bottom w:val="none" w:sz="0" w:space="0" w:color="auto"/>
                                    <w:right w:val="none" w:sz="0" w:space="0" w:color="auto"/>
                                  </w:divBdr>
                                  <w:divsChild>
                                    <w:div w:id="181284313">
                                      <w:marLeft w:val="0"/>
                                      <w:marRight w:val="0"/>
                                      <w:marTop w:val="0"/>
                                      <w:marBottom w:val="0"/>
                                      <w:divBdr>
                                        <w:top w:val="none" w:sz="0" w:space="0" w:color="auto"/>
                                        <w:left w:val="none" w:sz="0" w:space="0" w:color="auto"/>
                                        <w:bottom w:val="none" w:sz="0" w:space="0" w:color="auto"/>
                                        <w:right w:val="none" w:sz="0" w:space="0" w:color="auto"/>
                                      </w:divBdr>
                                      <w:divsChild>
                                        <w:div w:id="6753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10215">
                      <w:marLeft w:val="30"/>
                      <w:marRight w:val="30"/>
                      <w:marTop w:val="0"/>
                      <w:marBottom w:val="0"/>
                      <w:divBdr>
                        <w:top w:val="none" w:sz="0" w:space="0" w:color="auto"/>
                        <w:left w:val="none" w:sz="0" w:space="0" w:color="auto"/>
                        <w:bottom w:val="none" w:sz="0" w:space="0" w:color="auto"/>
                        <w:right w:val="none" w:sz="0" w:space="0" w:color="auto"/>
                      </w:divBdr>
                      <w:divsChild>
                        <w:div w:id="625769626">
                          <w:marLeft w:val="135"/>
                          <w:marRight w:val="45"/>
                          <w:marTop w:val="60"/>
                          <w:marBottom w:val="60"/>
                          <w:divBdr>
                            <w:top w:val="none" w:sz="0" w:space="0" w:color="auto"/>
                            <w:left w:val="none" w:sz="0" w:space="0" w:color="auto"/>
                            <w:bottom w:val="none" w:sz="0" w:space="0" w:color="auto"/>
                            <w:right w:val="none" w:sz="0" w:space="0" w:color="auto"/>
                          </w:divBdr>
                          <w:divsChild>
                            <w:div w:id="429156921">
                              <w:marLeft w:val="0"/>
                              <w:marRight w:val="0"/>
                              <w:marTop w:val="0"/>
                              <w:marBottom w:val="0"/>
                              <w:divBdr>
                                <w:top w:val="none" w:sz="0" w:space="0" w:color="auto"/>
                                <w:left w:val="none" w:sz="0" w:space="0" w:color="auto"/>
                                <w:bottom w:val="none" w:sz="0" w:space="0" w:color="auto"/>
                                <w:right w:val="none" w:sz="0" w:space="0" w:color="auto"/>
                              </w:divBdr>
                              <w:divsChild>
                                <w:div w:id="7581387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09113003">
                          <w:marLeft w:val="0"/>
                          <w:marRight w:val="90"/>
                          <w:marTop w:val="90"/>
                          <w:marBottom w:val="30"/>
                          <w:divBdr>
                            <w:top w:val="none" w:sz="0" w:space="0" w:color="auto"/>
                            <w:left w:val="none" w:sz="0" w:space="0" w:color="auto"/>
                            <w:bottom w:val="none" w:sz="0" w:space="0" w:color="auto"/>
                            <w:right w:val="none" w:sz="0" w:space="0" w:color="auto"/>
                          </w:divBdr>
                          <w:divsChild>
                            <w:div w:id="1136680735">
                              <w:marLeft w:val="0"/>
                              <w:marRight w:val="30"/>
                              <w:marTop w:val="0"/>
                              <w:marBottom w:val="0"/>
                              <w:divBdr>
                                <w:top w:val="none" w:sz="0" w:space="0" w:color="auto"/>
                                <w:left w:val="none" w:sz="0" w:space="0" w:color="auto"/>
                                <w:bottom w:val="none" w:sz="0" w:space="0" w:color="auto"/>
                                <w:right w:val="none" w:sz="0" w:space="0" w:color="auto"/>
                              </w:divBdr>
                              <w:divsChild>
                                <w:div w:id="1754350325">
                                  <w:marLeft w:val="0"/>
                                  <w:marRight w:val="0"/>
                                  <w:marTop w:val="0"/>
                                  <w:marBottom w:val="0"/>
                                  <w:divBdr>
                                    <w:top w:val="none" w:sz="0" w:space="0" w:color="auto"/>
                                    <w:left w:val="none" w:sz="0" w:space="0" w:color="auto"/>
                                    <w:bottom w:val="none" w:sz="0" w:space="0" w:color="auto"/>
                                    <w:right w:val="none" w:sz="0" w:space="0" w:color="auto"/>
                                  </w:divBdr>
                                  <w:divsChild>
                                    <w:div w:id="78866162">
                                      <w:marLeft w:val="0"/>
                                      <w:marRight w:val="0"/>
                                      <w:marTop w:val="0"/>
                                      <w:marBottom w:val="0"/>
                                      <w:divBdr>
                                        <w:top w:val="none" w:sz="0" w:space="0" w:color="auto"/>
                                        <w:left w:val="none" w:sz="0" w:space="0" w:color="auto"/>
                                        <w:bottom w:val="none" w:sz="0" w:space="0" w:color="auto"/>
                                        <w:right w:val="none" w:sz="0" w:space="0" w:color="auto"/>
                                      </w:divBdr>
                                      <w:divsChild>
                                        <w:div w:id="6703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67975">
                              <w:marLeft w:val="0"/>
                              <w:marRight w:val="0"/>
                              <w:marTop w:val="0"/>
                              <w:marBottom w:val="0"/>
                              <w:divBdr>
                                <w:top w:val="none" w:sz="0" w:space="0" w:color="auto"/>
                                <w:left w:val="none" w:sz="0" w:space="0" w:color="auto"/>
                                <w:bottom w:val="none" w:sz="0" w:space="0" w:color="auto"/>
                                <w:right w:val="none" w:sz="0" w:space="0" w:color="auto"/>
                              </w:divBdr>
                              <w:divsChild>
                                <w:div w:id="117844903">
                                  <w:marLeft w:val="0"/>
                                  <w:marRight w:val="0"/>
                                  <w:marTop w:val="0"/>
                                  <w:marBottom w:val="0"/>
                                  <w:divBdr>
                                    <w:top w:val="none" w:sz="0" w:space="0" w:color="auto"/>
                                    <w:left w:val="none" w:sz="0" w:space="0" w:color="auto"/>
                                    <w:bottom w:val="none" w:sz="0" w:space="0" w:color="auto"/>
                                    <w:right w:val="none" w:sz="0" w:space="0" w:color="auto"/>
                                  </w:divBdr>
                                  <w:divsChild>
                                    <w:div w:id="157385053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478897">
      <w:bodyDiv w:val="1"/>
      <w:marLeft w:val="0"/>
      <w:marRight w:val="0"/>
      <w:marTop w:val="0"/>
      <w:marBottom w:val="0"/>
      <w:divBdr>
        <w:top w:val="none" w:sz="0" w:space="0" w:color="auto"/>
        <w:left w:val="none" w:sz="0" w:space="0" w:color="auto"/>
        <w:bottom w:val="none" w:sz="0" w:space="0" w:color="auto"/>
        <w:right w:val="none" w:sz="0" w:space="0" w:color="auto"/>
      </w:divBdr>
    </w:div>
    <w:div w:id="1348824946">
      <w:bodyDiv w:val="1"/>
      <w:marLeft w:val="0"/>
      <w:marRight w:val="0"/>
      <w:marTop w:val="0"/>
      <w:marBottom w:val="0"/>
      <w:divBdr>
        <w:top w:val="none" w:sz="0" w:space="0" w:color="auto"/>
        <w:left w:val="none" w:sz="0" w:space="0" w:color="auto"/>
        <w:bottom w:val="none" w:sz="0" w:space="0" w:color="auto"/>
        <w:right w:val="none" w:sz="0" w:space="0" w:color="auto"/>
      </w:divBdr>
    </w:div>
    <w:div w:id="1382246864">
      <w:bodyDiv w:val="1"/>
      <w:marLeft w:val="0"/>
      <w:marRight w:val="0"/>
      <w:marTop w:val="0"/>
      <w:marBottom w:val="0"/>
      <w:divBdr>
        <w:top w:val="none" w:sz="0" w:space="0" w:color="auto"/>
        <w:left w:val="none" w:sz="0" w:space="0" w:color="auto"/>
        <w:bottom w:val="none" w:sz="0" w:space="0" w:color="auto"/>
        <w:right w:val="none" w:sz="0" w:space="0" w:color="auto"/>
      </w:divBdr>
    </w:div>
    <w:div w:id="1387143242">
      <w:bodyDiv w:val="1"/>
      <w:marLeft w:val="0"/>
      <w:marRight w:val="0"/>
      <w:marTop w:val="0"/>
      <w:marBottom w:val="0"/>
      <w:divBdr>
        <w:top w:val="none" w:sz="0" w:space="0" w:color="auto"/>
        <w:left w:val="none" w:sz="0" w:space="0" w:color="auto"/>
        <w:bottom w:val="none" w:sz="0" w:space="0" w:color="auto"/>
        <w:right w:val="none" w:sz="0" w:space="0" w:color="auto"/>
      </w:divBdr>
    </w:div>
    <w:div w:id="1402367365">
      <w:bodyDiv w:val="1"/>
      <w:marLeft w:val="0"/>
      <w:marRight w:val="0"/>
      <w:marTop w:val="0"/>
      <w:marBottom w:val="0"/>
      <w:divBdr>
        <w:top w:val="none" w:sz="0" w:space="0" w:color="auto"/>
        <w:left w:val="none" w:sz="0" w:space="0" w:color="auto"/>
        <w:bottom w:val="none" w:sz="0" w:space="0" w:color="auto"/>
        <w:right w:val="none" w:sz="0" w:space="0" w:color="auto"/>
      </w:divBdr>
      <w:divsChild>
        <w:div w:id="16002053">
          <w:marLeft w:val="446"/>
          <w:marRight w:val="0"/>
          <w:marTop w:val="0"/>
          <w:marBottom w:val="120"/>
          <w:divBdr>
            <w:top w:val="none" w:sz="0" w:space="0" w:color="auto"/>
            <w:left w:val="none" w:sz="0" w:space="0" w:color="auto"/>
            <w:bottom w:val="none" w:sz="0" w:space="0" w:color="auto"/>
            <w:right w:val="none" w:sz="0" w:space="0" w:color="auto"/>
          </w:divBdr>
        </w:div>
        <w:div w:id="174853546">
          <w:marLeft w:val="446"/>
          <w:marRight w:val="0"/>
          <w:marTop w:val="0"/>
          <w:marBottom w:val="120"/>
          <w:divBdr>
            <w:top w:val="none" w:sz="0" w:space="0" w:color="auto"/>
            <w:left w:val="none" w:sz="0" w:space="0" w:color="auto"/>
            <w:bottom w:val="none" w:sz="0" w:space="0" w:color="auto"/>
            <w:right w:val="none" w:sz="0" w:space="0" w:color="auto"/>
          </w:divBdr>
        </w:div>
      </w:divsChild>
    </w:div>
    <w:div w:id="1402488720">
      <w:bodyDiv w:val="1"/>
      <w:marLeft w:val="0"/>
      <w:marRight w:val="0"/>
      <w:marTop w:val="0"/>
      <w:marBottom w:val="0"/>
      <w:divBdr>
        <w:top w:val="none" w:sz="0" w:space="0" w:color="auto"/>
        <w:left w:val="none" w:sz="0" w:space="0" w:color="auto"/>
        <w:bottom w:val="none" w:sz="0" w:space="0" w:color="auto"/>
        <w:right w:val="none" w:sz="0" w:space="0" w:color="auto"/>
      </w:divBdr>
    </w:div>
    <w:div w:id="1419326462">
      <w:bodyDiv w:val="1"/>
      <w:marLeft w:val="0"/>
      <w:marRight w:val="0"/>
      <w:marTop w:val="0"/>
      <w:marBottom w:val="0"/>
      <w:divBdr>
        <w:top w:val="none" w:sz="0" w:space="0" w:color="auto"/>
        <w:left w:val="none" w:sz="0" w:space="0" w:color="auto"/>
        <w:bottom w:val="none" w:sz="0" w:space="0" w:color="auto"/>
        <w:right w:val="none" w:sz="0" w:space="0" w:color="auto"/>
      </w:divBdr>
    </w:div>
    <w:div w:id="1427267196">
      <w:bodyDiv w:val="1"/>
      <w:marLeft w:val="0"/>
      <w:marRight w:val="0"/>
      <w:marTop w:val="0"/>
      <w:marBottom w:val="0"/>
      <w:divBdr>
        <w:top w:val="none" w:sz="0" w:space="0" w:color="auto"/>
        <w:left w:val="none" w:sz="0" w:space="0" w:color="auto"/>
        <w:bottom w:val="none" w:sz="0" w:space="0" w:color="auto"/>
        <w:right w:val="none" w:sz="0" w:space="0" w:color="auto"/>
      </w:divBdr>
    </w:div>
    <w:div w:id="1450246585">
      <w:bodyDiv w:val="1"/>
      <w:marLeft w:val="0"/>
      <w:marRight w:val="0"/>
      <w:marTop w:val="0"/>
      <w:marBottom w:val="0"/>
      <w:divBdr>
        <w:top w:val="none" w:sz="0" w:space="0" w:color="auto"/>
        <w:left w:val="none" w:sz="0" w:space="0" w:color="auto"/>
        <w:bottom w:val="none" w:sz="0" w:space="0" w:color="auto"/>
        <w:right w:val="none" w:sz="0" w:space="0" w:color="auto"/>
      </w:divBdr>
      <w:divsChild>
        <w:div w:id="891622450">
          <w:marLeft w:val="0"/>
          <w:marRight w:val="0"/>
          <w:marTop w:val="0"/>
          <w:marBottom w:val="0"/>
          <w:divBdr>
            <w:top w:val="none" w:sz="0" w:space="0" w:color="auto"/>
            <w:left w:val="none" w:sz="0" w:space="0" w:color="auto"/>
            <w:bottom w:val="none" w:sz="0" w:space="0" w:color="auto"/>
            <w:right w:val="none" w:sz="0" w:space="0" w:color="auto"/>
          </w:divBdr>
        </w:div>
      </w:divsChild>
    </w:div>
    <w:div w:id="1450464925">
      <w:bodyDiv w:val="1"/>
      <w:marLeft w:val="0"/>
      <w:marRight w:val="0"/>
      <w:marTop w:val="0"/>
      <w:marBottom w:val="0"/>
      <w:divBdr>
        <w:top w:val="none" w:sz="0" w:space="0" w:color="auto"/>
        <w:left w:val="none" w:sz="0" w:space="0" w:color="auto"/>
        <w:bottom w:val="none" w:sz="0" w:space="0" w:color="auto"/>
        <w:right w:val="none" w:sz="0" w:space="0" w:color="auto"/>
      </w:divBdr>
    </w:div>
    <w:div w:id="1454515486">
      <w:bodyDiv w:val="1"/>
      <w:marLeft w:val="0"/>
      <w:marRight w:val="0"/>
      <w:marTop w:val="0"/>
      <w:marBottom w:val="0"/>
      <w:divBdr>
        <w:top w:val="none" w:sz="0" w:space="0" w:color="auto"/>
        <w:left w:val="none" w:sz="0" w:space="0" w:color="auto"/>
        <w:bottom w:val="none" w:sz="0" w:space="0" w:color="auto"/>
        <w:right w:val="none" w:sz="0" w:space="0" w:color="auto"/>
      </w:divBdr>
    </w:div>
    <w:div w:id="1464613733">
      <w:bodyDiv w:val="1"/>
      <w:marLeft w:val="0"/>
      <w:marRight w:val="0"/>
      <w:marTop w:val="0"/>
      <w:marBottom w:val="0"/>
      <w:divBdr>
        <w:top w:val="none" w:sz="0" w:space="0" w:color="auto"/>
        <w:left w:val="none" w:sz="0" w:space="0" w:color="auto"/>
        <w:bottom w:val="none" w:sz="0" w:space="0" w:color="auto"/>
        <w:right w:val="none" w:sz="0" w:space="0" w:color="auto"/>
      </w:divBdr>
    </w:div>
    <w:div w:id="1473667756">
      <w:bodyDiv w:val="1"/>
      <w:marLeft w:val="0"/>
      <w:marRight w:val="0"/>
      <w:marTop w:val="0"/>
      <w:marBottom w:val="0"/>
      <w:divBdr>
        <w:top w:val="none" w:sz="0" w:space="0" w:color="auto"/>
        <w:left w:val="none" w:sz="0" w:space="0" w:color="auto"/>
        <w:bottom w:val="none" w:sz="0" w:space="0" w:color="auto"/>
        <w:right w:val="none" w:sz="0" w:space="0" w:color="auto"/>
      </w:divBdr>
      <w:divsChild>
        <w:div w:id="664162193">
          <w:marLeft w:val="0"/>
          <w:marRight w:val="0"/>
          <w:marTop w:val="0"/>
          <w:marBottom w:val="0"/>
          <w:divBdr>
            <w:top w:val="none" w:sz="0" w:space="0" w:color="auto"/>
            <w:left w:val="none" w:sz="0" w:space="0" w:color="auto"/>
            <w:bottom w:val="none" w:sz="0" w:space="0" w:color="auto"/>
            <w:right w:val="none" w:sz="0" w:space="0" w:color="auto"/>
          </w:divBdr>
          <w:divsChild>
            <w:div w:id="491482537">
              <w:marLeft w:val="210"/>
              <w:marRight w:val="0"/>
              <w:marTop w:val="120"/>
              <w:marBottom w:val="0"/>
              <w:divBdr>
                <w:top w:val="none" w:sz="0" w:space="0" w:color="auto"/>
                <w:left w:val="none" w:sz="0" w:space="0" w:color="auto"/>
                <w:bottom w:val="none" w:sz="0" w:space="0" w:color="auto"/>
                <w:right w:val="none" w:sz="0" w:space="0" w:color="auto"/>
              </w:divBdr>
              <w:divsChild>
                <w:div w:id="1107774764">
                  <w:marLeft w:val="0"/>
                  <w:marRight w:val="0"/>
                  <w:marTop w:val="0"/>
                  <w:marBottom w:val="0"/>
                  <w:divBdr>
                    <w:top w:val="none" w:sz="0" w:space="0" w:color="auto"/>
                    <w:left w:val="none" w:sz="0" w:space="0" w:color="auto"/>
                    <w:bottom w:val="none" w:sz="0" w:space="0" w:color="auto"/>
                    <w:right w:val="none" w:sz="0" w:space="0" w:color="auto"/>
                  </w:divBdr>
                  <w:divsChild>
                    <w:div w:id="167132301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76118993">
          <w:marLeft w:val="0"/>
          <w:marRight w:val="0"/>
          <w:marTop w:val="0"/>
          <w:marBottom w:val="0"/>
          <w:divBdr>
            <w:top w:val="none" w:sz="0" w:space="0" w:color="auto"/>
            <w:left w:val="none" w:sz="0" w:space="0" w:color="auto"/>
            <w:bottom w:val="none" w:sz="0" w:space="0" w:color="auto"/>
            <w:right w:val="none" w:sz="0" w:space="0" w:color="auto"/>
          </w:divBdr>
          <w:divsChild>
            <w:div w:id="1186602496">
              <w:marLeft w:val="0"/>
              <w:marRight w:val="0"/>
              <w:marTop w:val="0"/>
              <w:marBottom w:val="0"/>
              <w:divBdr>
                <w:top w:val="none" w:sz="0" w:space="0" w:color="auto"/>
                <w:left w:val="none" w:sz="0" w:space="0" w:color="auto"/>
                <w:bottom w:val="none" w:sz="0" w:space="0" w:color="auto"/>
                <w:right w:val="none" w:sz="0" w:space="0" w:color="auto"/>
              </w:divBdr>
              <w:divsChild>
                <w:div w:id="1620456613">
                  <w:marLeft w:val="0"/>
                  <w:marRight w:val="0"/>
                  <w:marTop w:val="0"/>
                  <w:marBottom w:val="0"/>
                  <w:divBdr>
                    <w:top w:val="none" w:sz="0" w:space="0" w:color="auto"/>
                    <w:left w:val="none" w:sz="0" w:space="0" w:color="auto"/>
                    <w:bottom w:val="none" w:sz="0" w:space="0" w:color="auto"/>
                    <w:right w:val="none" w:sz="0" w:space="0" w:color="auto"/>
                  </w:divBdr>
                  <w:divsChild>
                    <w:div w:id="189148924">
                      <w:marLeft w:val="30"/>
                      <w:marRight w:val="30"/>
                      <w:marTop w:val="0"/>
                      <w:marBottom w:val="0"/>
                      <w:divBdr>
                        <w:top w:val="none" w:sz="0" w:space="0" w:color="auto"/>
                        <w:left w:val="none" w:sz="0" w:space="0" w:color="auto"/>
                        <w:bottom w:val="none" w:sz="0" w:space="0" w:color="auto"/>
                        <w:right w:val="none" w:sz="0" w:space="0" w:color="auto"/>
                      </w:divBdr>
                      <w:divsChild>
                        <w:div w:id="19086020">
                          <w:marLeft w:val="0"/>
                          <w:marRight w:val="90"/>
                          <w:marTop w:val="90"/>
                          <w:marBottom w:val="30"/>
                          <w:divBdr>
                            <w:top w:val="none" w:sz="0" w:space="0" w:color="auto"/>
                            <w:left w:val="none" w:sz="0" w:space="0" w:color="auto"/>
                            <w:bottom w:val="none" w:sz="0" w:space="0" w:color="auto"/>
                            <w:right w:val="none" w:sz="0" w:space="0" w:color="auto"/>
                          </w:divBdr>
                          <w:divsChild>
                            <w:div w:id="159853761">
                              <w:marLeft w:val="45"/>
                              <w:marRight w:val="0"/>
                              <w:marTop w:val="0"/>
                              <w:marBottom w:val="0"/>
                              <w:divBdr>
                                <w:top w:val="none" w:sz="0" w:space="0" w:color="auto"/>
                                <w:left w:val="none" w:sz="0" w:space="0" w:color="auto"/>
                                <w:bottom w:val="none" w:sz="0" w:space="0" w:color="auto"/>
                                <w:right w:val="none" w:sz="0" w:space="0" w:color="auto"/>
                              </w:divBdr>
                            </w:div>
                            <w:div w:id="1640308852">
                              <w:marLeft w:val="0"/>
                              <w:marRight w:val="0"/>
                              <w:marTop w:val="0"/>
                              <w:marBottom w:val="0"/>
                              <w:divBdr>
                                <w:top w:val="none" w:sz="0" w:space="0" w:color="auto"/>
                                <w:left w:val="none" w:sz="0" w:space="0" w:color="auto"/>
                                <w:bottom w:val="none" w:sz="0" w:space="0" w:color="auto"/>
                                <w:right w:val="none" w:sz="0" w:space="0" w:color="auto"/>
                              </w:divBdr>
                              <w:divsChild>
                                <w:div w:id="1498886070">
                                  <w:marLeft w:val="45"/>
                                  <w:marRight w:val="0"/>
                                  <w:marTop w:val="0"/>
                                  <w:marBottom w:val="15"/>
                                  <w:divBdr>
                                    <w:top w:val="none" w:sz="0" w:space="0" w:color="auto"/>
                                    <w:left w:val="none" w:sz="0" w:space="0" w:color="auto"/>
                                    <w:bottom w:val="none" w:sz="0" w:space="0" w:color="auto"/>
                                    <w:right w:val="none" w:sz="0" w:space="0" w:color="auto"/>
                                  </w:divBdr>
                                </w:div>
                              </w:divsChild>
                            </w:div>
                            <w:div w:id="2116897474">
                              <w:marLeft w:val="0"/>
                              <w:marRight w:val="30"/>
                              <w:marTop w:val="0"/>
                              <w:marBottom w:val="0"/>
                              <w:divBdr>
                                <w:top w:val="none" w:sz="0" w:space="0" w:color="auto"/>
                                <w:left w:val="none" w:sz="0" w:space="0" w:color="auto"/>
                                <w:bottom w:val="none" w:sz="0" w:space="0" w:color="auto"/>
                                <w:right w:val="none" w:sz="0" w:space="0" w:color="auto"/>
                              </w:divBdr>
                              <w:divsChild>
                                <w:div w:id="1984652395">
                                  <w:marLeft w:val="0"/>
                                  <w:marRight w:val="0"/>
                                  <w:marTop w:val="0"/>
                                  <w:marBottom w:val="0"/>
                                  <w:divBdr>
                                    <w:top w:val="none" w:sz="0" w:space="0" w:color="auto"/>
                                    <w:left w:val="none" w:sz="0" w:space="0" w:color="auto"/>
                                    <w:bottom w:val="none" w:sz="0" w:space="0" w:color="auto"/>
                                    <w:right w:val="none" w:sz="0" w:space="0" w:color="auto"/>
                                  </w:divBdr>
                                  <w:divsChild>
                                    <w:div w:id="109784470">
                                      <w:marLeft w:val="0"/>
                                      <w:marRight w:val="0"/>
                                      <w:marTop w:val="0"/>
                                      <w:marBottom w:val="0"/>
                                      <w:divBdr>
                                        <w:top w:val="none" w:sz="0" w:space="0" w:color="auto"/>
                                        <w:left w:val="none" w:sz="0" w:space="0" w:color="auto"/>
                                        <w:bottom w:val="none" w:sz="0" w:space="0" w:color="auto"/>
                                        <w:right w:val="none" w:sz="0" w:space="0" w:color="auto"/>
                                      </w:divBdr>
                                      <w:divsChild>
                                        <w:div w:id="3570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6204">
                          <w:marLeft w:val="135"/>
                          <w:marRight w:val="45"/>
                          <w:marTop w:val="60"/>
                          <w:marBottom w:val="60"/>
                          <w:divBdr>
                            <w:top w:val="none" w:sz="0" w:space="0" w:color="auto"/>
                            <w:left w:val="none" w:sz="0" w:space="0" w:color="auto"/>
                            <w:bottom w:val="none" w:sz="0" w:space="0" w:color="auto"/>
                            <w:right w:val="none" w:sz="0" w:space="0" w:color="auto"/>
                          </w:divBdr>
                          <w:divsChild>
                            <w:div w:id="1123159107">
                              <w:marLeft w:val="0"/>
                              <w:marRight w:val="0"/>
                              <w:marTop w:val="0"/>
                              <w:marBottom w:val="0"/>
                              <w:divBdr>
                                <w:top w:val="none" w:sz="0" w:space="0" w:color="auto"/>
                                <w:left w:val="none" w:sz="0" w:space="0" w:color="auto"/>
                                <w:bottom w:val="none" w:sz="0" w:space="0" w:color="auto"/>
                                <w:right w:val="none" w:sz="0" w:space="0" w:color="auto"/>
                              </w:divBdr>
                              <w:divsChild>
                                <w:div w:id="23026002">
                                  <w:marLeft w:val="0"/>
                                  <w:marRight w:val="150"/>
                                  <w:marTop w:val="0"/>
                                  <w:marBottom w:val="0"/>
                                  <w:divBdr>
                                    <w:top w:val="none" w:sz="0" w:space="0" w:color="auto"/>
                                    <w:left w:val="none" w:sz="0" w:space="0" w:color="auto"/>
                                    <w:bottom w:val="none" w:sz="0" w:space="0" w:color="auto"/>
                                    <w:right w:val="none" w:sz="0" w:space="0" w:color="auto"/>
                                  </w:divBdr>
                                </w:div>
                                <w:div w:id="14066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5074">
                      <w:marLeft w:val="30"/>
                      <w:marRight w:val="30"/>
                      <w:marTop w:val="0"/>
                      <w:marBottom w:val="0"/>
                      <w:divBdr>
                        <w:top w:val="none" w:sz="0" w:space="0" w:color="auto"/>
                        <w:left w:val="none" w:sz="0" w:space="0" w:color="auto"/>
                        <w:bottom w:val="none" w:sz="0" w:space="0" w:color="auto"/>
                        <w:right w:val="none" w:sz="0" w:space="0" w:color="auto"/>
                      </w:divBdr>
                      <w:divsChild>
                        <w:div w:id="1193808388">
                          <w:marLeft w:val="180"/>
                          <w:marRight w:val="210"/>
                          <w:marTop w:val="0"/>
                          <w:marBottom w:val="30"/>
                          <w:divBdr>
                            <w:top w:val="none" w:sz="0" w:space="0" w:color="auto"/>
                            <w:left w:val="none" w:sz="0" w:space="0" w:color="auto"/>
                            <w:bottom w:val="none" w:sz="0" w:space="0" w:color="auto"/>
                            <w:right w:val="none" w:sz="0" w:space="0" w:color="auto"/>
                          </w:divBdr>
                          <w:divsChild>
                            <w:div w:id="153686479">
                              <w:marLeft w:val="45"/>
                              <w:marRight w:val="0"/>
                              <w:marTop w:val="0"/>
                              <w:marBottom w:val="0"/>
                              <w:divBdr>
                                <w:top w:val="none" w:sz="0" w:space="0" w:color="auto"/>
                                <w:left w:val="none" w:sz="0" w:space="0" w:color="auto"/>
                                <w:bottom w:val="none" w:sz="0" w:space="0" w:color="auto"/>
                                <w:right w:val="none" w:sz="0" w:space="0" w:color="auto"/>
                              </w:divBdr>
                            </w:div>
                            <w:div w:id="194470112">
                              <w:marLeft w:val="0"/>
                              <w:marRight w:val="30"/>
                              <w:marTop w:val="0"/>
                              <w:marBottom w:val="0"/>
                              <w:divBdr>
                                <w:top w:val="none" w:sz="0" w:space="0" w:color="auto"/>
                                <w:left w:val="none" w:sz="0" w:space="0" w:color="auto"/>
                                <w:bottom w:val="none" w:sz="0" w:space="0" w:color="auto"/>
                                <w:right w:val="none" w:sz="0" w:space="0" w:color="auto"/>
                              </w:divBdr>
                              <w:divsChild>
                                <w:div w:id="563569157">
                                  <w:marLeft w:val="0"/>
                                  <w:marRight w:val="0"/>
                                  <w:marTop w:val="0"/>
                                  <w:marBottom w:val="0"/>
                                  <w:divBdr>
                                    <w:top w:val="none" w:sz="0" w:space="0" w:color="auto"/>
                                    <w:left w:val="none" w:sz="0" w:space="0" w:color="auto"/>
                                    <w:bottom w:val="none" w:sz="0" w:space="0" w:color="auto"/>
                                    <w:right w:val="none" w:sz="0" w:space="0" w:color="auto"/>
                                  </w:divBdr>
                                  <w:divsChild>
                                    <w:div w:id="1556315673">
                                      <w:marLeft w:val="0"/>
                                      <w:marRight w:val="0"/>
                                      <w:marTop w:val="0"/>
                                      <w:marBottom w:val="0"/>
                                      <w:divBdr>
                                        <w:top w:val="none" w:sz="0" w:space="0" w:color="auto"/>
                                        <w:left w:val="none" w:sz="0" w:space="0" w:color="auto"/>
                                        <w:bottom w:val="none" w:sz="0" w:space="0" w:color="auto"/>
                                        <w:right w:val="none" w:sz="0" w:space="0" w:color="auto"/>
                                      </w:divBdr>
                                      <w:divsChild>
                                        <w:div w:id="1934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807189">
                      <w:marLeft w:val="30"/>
                      <w:marRight w:val="30"/>
                      <w:marTop w:val="0"/>
                      <w:marBottom w:val="0"/>
                      <w:divBdr>
                        <w:top w:val="none" w:sz="0" w:space="0" w:color="auto"/>
                        <w:left w:val="none" w:sz="0" w:space="0" w:color="auto"/>
                        <w:bottom w:val="none" w:sz="0" w:space="0" w:color="auto"/>
                        <w:right w:val="none" w:sz="0" w:space="0" w:color="auto"/>
                      </w:divBdr>
                      <w:divsChild>
                        <w:div w:id="605818098">
                          <w:marLeft w:val="135"/>
                          <w:marRight w:val="45"/>
                          <w:marTop w:val="60"/>
                          <w:marBottom w:val="60"/>
                          <w:divBdr>
                            <w:top w:val="none" w:sz="0" w:space="0" w:color="auto"/>
                            <w:left w:val="none" w:sz="0" w:space="0" w:color="auto"/>
                            <w:bottom w:val="none" w:sz="0" w:space="0" w:color="auto"/>
                            <w:right w:val="none" w:sz="0" w:space="0" w:color="auto"/>
                          </w:divBdr>
                          <w:divsChild>
                            <w:div w:id="2109882387">
                              <w:marLeft w:val="0"/>
                              <w:marRight w:val="0"/>
                              <w:marTop w:val="0"/>
                              <w:marBottom w:val="0"/>
                              <w:divBdr>
                                <w:top w:val="none" w:sz="0" w:space="0" w:color="auto"/>
                                <w:left w:val="none" w:sz="0" w:space="0" w:color="auto"/>
                                <w:bottom w:val="none" w:sz="0" w:space="0" w:color="auto"/>
                                <w:right w:val="none" w:sz="0" w:space="0" w:color="auto"/>
                              </w:divBdr>
                              <w:divsChild>
                                <w:div w:id="554703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74003047">
                          <w:marLeft w:val="0"/>
                          <w:marRight w:val="90"/>
                          <w:marTop w:val="90"/>
                          <w:marBottom w:val="30"/>
                          <w:divBdr>
                            <w:top w:val="none" w:sz="0" w:space="0" w:color="auto"/>
                            <w:left w:val="none" w:sz="0" w:space="0" w:color="auto"/>
                            <w:bottom w:val="none" w:sz="0" w:space="0" w:color="auto"/>
                            <w:right w:val="none" w:sz="0" w:space="0" w:color="auto"/>
                          </w:divBdr>
                          <w:divsChild>
                            <w:div w:id="631712980">
                              <w:marLeft w:val="0"/>
                              <w:marRight w:val="0"/>
                              <w:marTop w:val="0"/>
                              <w:marBottom w:val="0"/>
                              <w:divBdr>
                                <w:top w:val="none" w:sz="0" w:space="0" w:color="auto"/>
                                <w:left w:val="none" w:sz="0" w:space="0" w:color="auto"/>
                                <w:bottom w:val="none" w:sz="0" w:space="0" w:color="auto"/>
                                <w:right w:val="none" w:sz="0" w:space="0" w:color="auto"/>
                              </w:divBdr>
                              <w:divsChild>
                                <w:div w:id="527716332">
                                  <w:marLeft w:val="45"/>
                                  <w:marRight w:val="0"/>
                                  <w:marTop w:val="0"/>
                                  <w:marBottom w:val="15"/>
                                  <w:divBdr>
                                    <w:top w:val="none" w:sz="0" w:space="0" w:color="auto"/>
                                    <w:left w:val="none" w:sz="0" w:space="0" w:color="auto"/>
                                    <w:bottom w:val="none" w:sz="0" w:space="0" w:color="auto"/>
                                    <w:right w:val="none" w:sz="0" w:space="0" w:color="auto"/>
                                  </w:divBdr>
                                </w:div>
                              </w:divsChild>
                            </w:div>
                            <w:div w:id="840776608">
                              <w:marLeft w:val="45"/>
                              <w:marRight w:val="0"/>
                              <w:marTop w:val="0"/>
                              <w:marBottom w:val="0"/>
                              <w:divBdr>
                                <w:top w:val="none" w:sz="0" w:space="0" w:color="auto"/>
                                <w:left w:val="none" w:sz="0" w:space="0" w:color="auto"/>
                                <w:bottom w:val="none" w:sz="0" w:space="0" w:color="auto"/>
                                <w:right w:val="none" w:sz="0" w:space="0" w:color="auto"/>
                              </w:divBdr>
                            </w:div>
                            <w:div w:id="1935360166">
                              <w:marLeft w:val="0"/>
                              <w:marRight w:val="30"/>
                              <w:marTop w:val="0"/>
                              <w:marBottom w:val="0"/>
                              <w:divBdr>
                                <w:top w:val="none" w:sz="0" w:space="0" w:color="auto"/>
                                <w:left w:val="none" w:sz="0" w:space="0" w:color="auto"/>
                                <w:bottom w:val="none" w:sz="0" w:space="0" w:color="auto"/>
                                <w:right w:val="none" w:sz="0" w:space="0" w:color="auto"/>
                              </w:divBdr>
                              <w:divsChild>
                                <w:div w:id="450369754">
                                  <w:marLeft w:val="0"/>
                                  <w:marRight w:val="0"/>
                                  <w:marTop w:val="0"/>
                                  <w:marBottom w:val="0"/>
                                  <w:divBdr>
                                    <w:top w:val="none" w:sz="0" w:space="0" w:color="auto"/>
                                    <w:left w:val="none" w:sz="0" w:space="0" w:color="auto"/>
                                    <w:bottom w:val="none" w:sz="0" w:space="0" w:color="auto"/>
                                    <w:right w:val="none" w:sz="0" w:space="0" w:color="auto"/>
                                  </w:divBdr>
                                  <w:divsChild>
                                    <w:div w:id="1935743435">
                                      <w:marLeft w:val="0"/>
                                      <w:marRight w:val="0"/>
                                      <w:marTop w:val="0"/>
                                      <w:marBottom w:val="0"/>
                                      <w:divBdr>
                                        <w:top w:val="none" w:sz="0" w:space="0" w:color="auto"/>
                                        <w:left w:val="none" w:sz="0" w:space="0" w:color="auto"/>
                                        <w:bottom w:val="none" w:sz="0" w:space="0" w:color="auto"/>
                                        <w:right w:val="none" w:sz="0" w:space="0" w:color="auto"/>
                                      </w:divBdr>
                                      <w:divsChild>
                                        <w:div w:id="13842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619195">
      <w:bodyDiv w:val="1"/>
      <w:marLeft w:val="0"/>
      <w:marRight w:val="0"/>
      <w:marTop w:val="0"/>
      <w:marBottom w:val="0"/>
      <w:divBdr>
        <w:top w:val="none" w:sz="0" w:space="0" w:color="auto"/>
        <w:left w:val="none" w:sz="0" w:space="0" w:color="auto"/>
        <w:bottom w:val="none" w:sz="0" w:space="0" w:color="auto"/>
        <w:right w:val="none" w:sz="0" w:space="0" w:color="auto"/>
      </w:divBdr>
    </w:div>
    <w:div w:id="1505243903">
      <w:bodyDiv w:val="1"/>
      <w:marLeft w:val="0"/>
      <w:marRight w:val="0"/>
      <w:marTop w:val="0"/>
      <w:marBottom w:val="0"/>
      <w:divBdr>
        <w:top w:val="none" w:sz="0" w:space="0" w:color="auto"/>
        <w:left w:val="none" w:sz="0" w:space="0" w:color="auto"/>
        <w:bottom w:val="none" w:sz="0" w:space="0" w:color="auto"/>
        <w:right w:val="none" w:sz="0" w:space="0" w:color="auto"/>
      </w:divBdr>
      <w:divsChild>
        <w:div w:id="421804519">
          <w:marLeft w:val="0"/>
          <w:marRight w:val="0"/>
          <w:marTop w:val="0"/>
          <w:marBottom w:val="0"/>
          <w:divBdr>
            <w:top w:val="none" w:sz="0" w:space="0" w:color="auto"/>
            <w:left w:val="none" w:sz="0" w:space="0" w:color="auto"/>
            <w:bottom w:val="none" w:sz="0" w:space="0" w:color="auto"/>
            <w:right w:val="none" w:sz="0" w:space="0" w:color="auto"/>
          </w:divBdr>
          <w:divsChild>
            <w:div w:id="366221194">
              <w:marLeft w:val="0"/>
              <w:marRight w:val="0"/>
              <w:marTop w:val="0"/>
              <w:marBottom w:val="0"/>
              <w:divBdr>
                <w:top w:val="none" w:sz="0" w:space="0" w:color="auto"/>
                <w:left w:val="none" w:sz="0" w:space="0" w:color="auto"/>
                <w:bottom w:val="none" w:sz="0" w:space="0" w:color="auto"/>
                <w:right w:val="none" w:sz="0" w:space="0" w:color="auto"/>
              </w:divBdr>
              <w:divsChild>
                <w:div w:id="1381592903">
                  <w:marLeft w:val="0"/>
                  <w:marRight w:val="0"/>
                  <w:marTop w:val="0"/>
                  <w:marBottom w:val="0"/>
                  <w:divBdr>
                    <w:top w:val="none" w:sz="0" w:space="0" w:color="auto"/>
                    <w:left w:val="none" w:sz="0" w:space="0" w:color="auto"/>
                    <w:bottom w:val="none" w:sz="0" w:space="0" w:color="auto"/>
                    <w:right w:val="none" w:sz="0" w:space="0" w:color="auto"/>
                  </w:divBdr>
                  <w:divsChild>
                    <w:div w:id="702169632">
                      <w:marLeft w:val="30"/>
                      <w:marRight w:val="30"/>
                      <w:marTop w:val="0"/>
                      <w:marBottom w:val="0"/>
                      <w:divBdr>
                        <w:top w:val="none" w:sz="0" w:space="0" w:color="auto"/>
                        <w:left w:val="none" w:sz="0" w:space="0" w:color="auto"/>
                        <w:bottom w:val="none" w:sz="0" w:space="0" w:color="auto"/>
                        <w:right w:val="none" w:sz="0" w:space="0" w:color="auto"/>
                      </w:divBdr>
                      <w:divsChild>
                        <w:div w:id="1111627211">
                          <w:marLeft w:val="135"/>
                          <w:marRight w:val="45"/>
                          <w:marTop w:val="60"/>
                          <w:marBottom w:val="60"/>
                          <w:divBdr>
                            <w:top w:val="none" w:sz="0" w:space="0" w:color="auto"/>
                            <w:left w:val="none" w:sz="0" w:space="0" w:color="auto"/>
                            <w:bottom w:val="none" w:sz="0" w:space="0" w:color="auto"/>
                            <w:right w:val="none" w:sz="0" w:space="0" w:color="auto"/>
                          </w:divBdr>
                          <w:divsChild>
                            <w:div w:id="1078016896">
                              <w:marLeft w:val="0"/>
                              <w:marRight w:val="0"/>
                              <w:marTop w:val="0"/>
                              <w:marBottom w:val="0"/>
                              <w:divBdr>
                                <w:top w:val="none" w:sz="0" w:space="0" w:color="auto"/>
                                <w:left w:val="none" w:sz="0" w:space="0" w:color="auto"/>
                                <w:bottom w:val="none" w:sz="0" w:space="0" w:color="auto"/>
                                <w:right w:val="none" w:sz="0" w:space="0" w:color="auto"/>
                              </w:divBdr>
                              <w:divsChild>
                                <w:div w:id="970553865">
                                  <w:marLeft w:val="0"/>
                                  <w:marRight w:val="0"/>
                                  <w:marTop w:val="0"/>
                                  <w:marBottom w:val="0"/>
                                  <w:divBdr>
                                    <w:top w:val="none" w:sz="0" w:space="0" w:color="auto"/>
                                    <w:left w:val="none" w:sz="0" w:space="0" w:color="auto"/>
                                    <w:bottom w:val="none" w:sz="0" w:space="0" w:color="auto"/>
                                    <w:right w:val="none" w:sz="0" w:space="0" w:color="auto"/>
                                  </w:divBdr>
                                </w:div>
                                <w:div w:id="13319060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17720958">
                          <w:marLeft w:val="0"/>
                          <w:marRight w:val="90"/>
                          <w:marTop w:val="90"/>
                          <w:marBottom w:val="30"/>
                          <w:divBdr>
                            <w:top w:val="none" w:sz="0" w:space="0" w:color="auto"/>
                            <w:left w:val="none" w:sz="0" w:space="0" w:color="auto"/>
                            <w:bottom w:val="none" w:sz="0" w:space="0" w:color="auto"/>
                            <w:right w:val="none" w:sz="0" w:space="0" w:color="auto"/>
                          </w:divBdr>
                          <w:divsChild>
                            <w:div w:id="898711597">
                              <w:marLeft w:val="0"/>
                              <w:marRight w:val="0"/>
                              <w:marTop w:val="0"/>
                              <w:marBottom w:val="0"/>
                              <w:divBdr>
                                <w:top w:val="none" w:sz="0" w:space="0" w:color="auto"/>
                                <w:left w:val="none" w:sz="0" w:space="0" w:color="auto"/>
                                <w:bottom w:val="none" w:sz="0" w:space="0" w:color="auto"/>
                                <w:right w:val="none" w:sz="0" w:space="0" w:color="auto"/>
                              </w:divBdr>
                              <w:divsChild>
                                <w:div w:id="568149425">
                                  <w:marLeft w:val="45"/>
                                  <w:marRight w:val="0"/>
                                  <w:marTop w:val="0"/>
                                  <w:marBottom w:val="15"/>
                                  <w:divBdr>
                                    <w:top w:val="none" w:sz="0" w:space="0" w:color="auto"/>
                                    <w:left w:val="none" w:sz="0" w:space="0" w:color="auto"/>
                                    <w:bottom w:val="none" w:sz="0" w:space="0" w:color="auto"/>
                                    <w:right w:val="none" w:sz="0" w:space="0" w:color="auto"/>
                                  </w:divBdr>
                                </w:div>
                              </w:divsChild>
                            </w:div>
                            <w:div w:id="1281259658">
                              <w:marLeft w:val="0"/>
                              <w:marRight w:val="30"/>
                              <w:marTop w:val="0"/>
                              <w:marBottom w:val="0"/>
                              <w:divBdr>
                                <w:top w:val="none" w:sz="0" w:space="0" w:color="auto"/>
                                <w:left w:val="none" w:sz="0" w:space="0" w:color="auto"/>
                                <w:bottom w:val="none" w:sz="0" w:space="0" w:color="auto"/>
                                <w:right w:val="none" w:sz="0" w:space="0" w:color="auto"/>
                              </w:divBdr>
                              <w:divsChild>
                                <w:div w:id="50927409">
                                  <w:marLeft w:val="0"/>
                                  <w:marRight w:val="0"/>
                                  <w:marTop w:val="0"/>
                                  <w:marBottom w:val="0"/>
                                  <w:divBdr>
                                    <w:top w:val="none" w:sz="0" w:space="0" w:color="auto"/>
                                    <w:left w:val="none" w:sz="0" w:space="0" w:color="auto"/>
                                    <w:bottom w:val="none" w:sz="0" w:space="0" w:color="auto"/>
                                    <w:right w:val="none" w:sz="0" w:space="0" w:color="auto"/>
                                  </w:divBdr>
                                  <w:divsChild>
                                    <w:div w:id="2020309427">
                                      <w:marLeft w:val="0"/>
                                      <w:marRight w:val="0"/>
                                      <w:marTop w:val="0"/>
                                      <w:marBottom w:val="0"/>
                                      <w:divBdr>
                                        <w:top w:val="none" w:sz="0" w:space="0" w:color="auto"/>
                                        <w:left w:val="none" w:sz="0" w:space="0" w:color="auto"/>
                                        <w:bottom w:val="none" w:sz="0" w:space="0" w:color="auto"/>
                                        <w:right w:val="none" w:sz="0" w:space="0" w:color="auto"/>
                                      </w:divBdr>
                                      <w:divsChild>
                                        <w:div w:id="6699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597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0244938">
                      <w:marLeft w:val="30"/>
                      <w:marRight w:val="30"/>
                      <w:marTop w:val="0"/>
                      <w:marBottom w:val="0"/>
                      <w:divBdr>
                        <w:top w:val="none" w:sz="0" w:space="0" w:color="auto"/>
                        <w:left w:val="none" w:sz="0" w:space="0" w:color="auto"/>
                        <w:bottom w:val="none" w:sz="0" w:space="0" w:color="auto"/>
                        <w:right w:val="none" w:sz="0" w:space="0" w:color="auto"/>
                      </w:divBdr>
                      <w:divsChild>
                        <w:div w:id="505174604">
                          <w:marLeft w:val="0"/>
                          <w:marRight w:val="90"/>
                          <w:marTop w:val="90"/>
                          <w:marBottom w:val="30"/>
                          <w:divBdr>
                            <w:top w:val="none" w:sz="0" w:space="0" w:color="auto"/>
                            <w:left w:val="none" w:sz="0" w:space="0" w:color="auto"/>
                            <w:bottom w:val="none" w:sz="0" w:space="0" w:color="auto"/>
                            <w:right w:val="none" w:sz="0" w:space="0" w:color="auto"/>
                          </w:divBdr>
                          <w:divsChild>
                            <w:div w:id="394669840">
                              <w:marLeft w:val="0"/>
                              <w:marRight w:val="30"/>
                              <w:marTop w:val="0"/>
                              <w:marBottom w:val="0"/>
                              <w:divBdr>
                                <w:top w:val="none" w:sz="0" w:space="0" w:color="auto"/>
                                <w:left w:val="none" w:sz="0" w:space="0" w:color="auto"/>
                                <w:bottom w:val="none" w:sz="0" w:space="0" w:color="auto"/>
                                <w:right w:val="none" w:sz="0" w:space="0" w:color="auto"/>
                              </w:divBdr>
                              <w:divsChild>
                                <w:div w:id="2036885475">
                                  <w:marLeft w:val="0"/>
                                  <w:marRight w:val="0"/>
                                  <w:marTop w:val="0"/>
                                  <w:marBottom w:val="0"/>
                                  <w:divBdr>
                                    <w:top w:val="none" w:sz="0" w:space="0" w:color="auto"/>
                                    <w:left w:val="none" w:sz="0" w:space="0" w:color="auto"/>
                                    <w:bottom w:val="none" w:sz="0" w:space="0" w:color="auto"/>
                                    <w:right w:val="none" w:sz="0" w:space="0" w:color="auto"/>
                                  </w:divBdr>
                                  <w:divsChild>
                                    <w:div w:id="104691156">
                                      <w:marLeft w:val="0"/>
                                      <w:marRight w:val="0"/>
                                      <w:marTop w:val="0"/>
                                      <w:marBottom w:val="0"/>
                                      <w:divBdr>
                                        <w:top w:val="none" w:sz="0" w:space="0" w:color="auto"/>
                                        <w:left w:val="none" w:sz="0" w:space="0" w:color="auto"/>
                                        <w:bottom w:val="none" w:sz="0" w:space="0" w:color="auto"/>
                                        <w:right w:val="none" w:sz="0" w:space="0" w:color="auto"/>
                                      </w:divBdr>
                                      <w:divsChild>
                                        <w:div w:id="16495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1934">
                              <w:marLeft w:val="0"/>
                              <w:marRight w:val="0"/>
                              <w:marTop w:val="0"/>
                              <w:marBottom w:val="0"/>
                              <w:divBdr>
                                <w:top w:val="none" w:sz="0" w:space="0" w:color="auto"/>
                                <w:left w:val="none" w:sz="0" w:space="0" w:color="auto"/>
                                <w:bottom w:val="none" w:sz="0" w:space="0" w:color="auto"/>
                                <w:right w:val="none" w:sz="0" w:space="0" w:color="auto"/>
                              </w:divBdr>
                              <w:divsChild>
                                <w:div w:id="621763425">
                                  <w:marLeft w:val="45"/>
                                  <w:marRight w:val="0"/>
                                  <w:marTop w:val="0"/>
                                  <w:marBottom w:val="15"/>
                                  <w:divBdr>
                                    <w:top w:val="none" w:sz="0" w:space="0" w:color="auto"/>
                                    <w:left w:val="none" w:sz="0" w:space="0" w:color="auto"/>
                                    <w:bottom w:val="none" w:sz="0" w:space="0" w:color="auto"/>
                                    <w:right w:val="none" w:sz="0" w:space="0" w:color="auto"/>
                                  </w:divBdr>
                                </w:div>
                              </w:divsChild>
                            </w:div>
                            <w:div w:id="2103454390">
                              <w:marLeft w:val="45"/>
                              <w:marRight w:val="0"/>
                              <w:marTop w:val="0"/>
                              <w:marBottom w:val="0"/>
                              <w:divBdr>
                                <w:top w:val="none" w:sz="0" w:space="0" w:color="auto"/>
                                <w:left w:val="none" w:sz="0" w:space="0" w:color="auto"/>
                                <w:bottom w:val="none" w:sz="0" w:space="0" w:color="auto"/>
                                <w:right w:val="none" w:sz="0" w:space="0" w:color="auto"/>
                              </w:divBdr>
                            </w:div>
                          </w:divsChild>
                        </w:div>
                        <w:div w:id="1403873992">
                          <w:marLeft w:val="135"/>
                          <w:marRight w:val="45"/>
                          <w:marTop w:val="60"/>
                          <w:marBottom w:val="60"/>
                          <w:divBdr>
                            <w:top w:val="none" w:sz="0" w:space="0" w:color="auto"/>
                            <w:left w:val="none" w:sz="0" w:space="0" w:color="auto"/>
                            <w:bottom w:val="none" w:sz="0" w:space="0" w:color="auto"/>
                            <w:right w:val="none" w:sz="0" w:space="0" w:color="auto"/>
                          </w:divBdr>
                          <w:divsChild>
                            <w:div w:id="226183986">
                              <w:marLeft w:val="0"/>
                              <w:marRight w:val="0"/>
                              <w:marTop w:val="0"/>
                              <w:marBottom w:val="0"/>
                              <w:divBdr>
                                <w:top w:val="none" w:sz="0" w:space="0" w:color="auto"/>
                                <w:left w:val="none" w:sz="0" w:space="0" w:color="auto"/>
                                <w:bottom w:val="none" w:sz="0" w:space="0" w:color="auto"/>
                                <w:right w:val="none" w:sz="0" w:space="0" w:color="auto"/>
                              </w:divBdr>
                              <w:divsChild>
                                <w:div w:id="211230926">
                                  <w:marLeft w:val="0"/>
                                  <w:marRight w:val="0"/>
                                  <w:marTop w:val="0"/>
                                  <w:marBottom w:val="0"/>
                                  <w:divBdr>
                                    <w:top w:val="none" w:sz="0" w:space="0" w:color="auto"/>
                                    <w:left w:val="none" w:sz="0" w:space="0" w:color="auto"/>
                                    <w:bottom w:val="none" w:sz="0" w:space="0" w:color="auto"/>
                                    <w:right w:val="none" w:sz="0" w:space="0" w:color="auto"/>
                                  </w:divBdr>
                                </w:div>
                                <w:div w:id="350840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65207715">
                      <w:marLeft w:val="30"/>
                      <w:marRight w:val="30"/>
                      <w:marTop w:val="0"/>
                      <w:marBottom w:val="0"/>
                      <w:divBdr>
                        <w:top w:val="none" w:sz="0" w:space="0" w:color="auto"/>
                        <w:left w:val="none" w:sz="0" w:space="0" w:color="auto"/>
                        <w:bottom w:val="none" w:sz="0" w:space="0" w:color="auto"/>
                        <w:right w:val="none" w:sz="0" w:space="0" w:color="auto"/>
                      </w:divBdr>
                      <w:divsChild>
                        <w:div w:id="1341082431">
                          <w:marLeft w:val="180"/>
                          <w:marRight w:val="210"/>
                          <w:marTop w:val="0"/>
                          <w:marBottom w:val="30"/>
                          <w:divBdr>
                            <w:top w:val="none" w:sz="0" w:space="0" w:color="auto"/>
                            <w:left w:val="none" w:sz="0" w:space="0" w:color="auto"/>
                            <w:bottom w:val="none" w:sz="0" w:space="0" w:color="auto"/>
                            <w:right w:val="none" w:sz="0" w:space="0" w:color="auto"/>
                          </w:divBdr>
                          <w:divsChild>
                            <w:div w:id="317805549">
                              <w:marLeft w:val="0"/>
                              <w:marRight w:val="30"/>
                              <w:marTop w:val="0"/>
                              <w:marBottom w:val="0"/>
                              <w:divBdr>
                                <w:top w:val="none" w:sz="0" w:space="0" w:color="auto"/>
                                <w:left w:val="none" w:sz="0" w:space="0" w:color="auto"/>
                                <w:bottom w:val="none" w:sz="0" w:space="0" w:color="auto"/>
                                <w:right w:val="none" w:sz="0" w:space="0" w:color="auto"/>
                              </w:divBdr>
                              <w:divsChild>
                                <w:div w:id="1781410593">
                                  <w:marLeft w:val="0"/>
                                  <w:marRight w:val="0"/>
                                  <w:marTop w:val="0"/>
                                  <w:marBottom w:val="0"/>
                                  <w:divBdr>
                                    <w:top w:val="none" w:sz="0" w:space="0" w:color="auto"/>
                                    <w:left w:val="none" w:sz="0" w:space="0" w:color="auto"/>
                                    <w:bottom w:val="none" w:sz="0" w:space="0" w:color="auto"/>
                                    <w:right w:val="none" w:sz="0" w:space="0" w:color="auto"/>
                                  </w:divBdr>
                                  <w:divsChild>
                                    <w:div w:id="2043047626">
                                      <w:marLeft w:val="0"/>
                                      <w:marRight w:val="0"/>
                                      <w:marTop w:val="0"/>
                                      <w:marBottom w:val="0"/>
                                      <w:divBdr>
                                        <w:top w:val="none" w:sz="0" w:space="0" w:color="auto"/>
                                        <w:left w:val="none" w:sz="0" w:space="0" w:color="auto"/>
                                        <w:bottom w:val="none" w:sz="0" w:space="0" w:color="auto"/>
                                        <w:right w:val="none" w:sz="0" w:space="0" w:color="auto"/>
                                      </w:divBdr>
                                      <w:divsChild>
                                        <w:div w:id="18405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626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632571">
          <w:marLeft w:val="0"/>
          <w:marRight w:val="0"/>
          <w:marTop w:val="0"/>
          <w:marBottom w:val="0"/>
          <w:divBdr>
            <w:top w:val="none" w:sz="0" w:space="0" w:color="auto"/>
            <w:left w:val="none" w:sz="0" w:space="0" w:color="auto"/>
            <w:bottom w:val="none" w:sz="0" w:space="0" w:color="auto"/>
            <w:right w:val="none" w:sz="0" w:space="0" w:color="auto"/>
          </w:divBdr>
          <w:divsChild>
            <w:div w:id="359208811">
              <w:marLeft w:val="210"/>
              <w:marRight w:val="0"/>
              <w:marTop w:val="120"/>
              <w:marBottom w:val="0"/>
              <w:divBdr>
                <w:top w:val="none" w:sz="0" w:space="0" w:color="auto"/>
                <w:left w:val="none" w:sz="0" w:space="0" w:color="auto"/>
                <w:bottom w:val="none" w:sz="0" w:space="0" w:color="auto"/>
                <w:right w:val="none" w:sz="0" w:space="0" w:color="auto"/>
              </w:divBdr>
              <w:divsChild>
                <w:div w:id="1613896152">
                  <w:marLeft w:val="0"/>
                  <w:marRight w:val="0"/>
                  <w:marTop w:val="0"/>
                  <w:marBottom w:val="0"/>
                  <w:divBdr>
                    <w:top w:val="none" w:sz="0" w:space="0" w:color="auto"/>
                    <w:left w:val="none" w:sz="0" w:space="0" w:color="auto"/>
                    <w:bottom w:val="none" w:sz="0" w:space="0" w:color="auto"/>
                    <w:right w:val="none" w:sz="0" w:space="0" w:color="auto"/>
                  </w:divBdr>
                  <w:divsChild>
                    <w:div w:id="124387497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516308412">
      <w:bodyDiv w:val="1"/>
      <w:marLeft w:val="0"/>
      <w:marRight w:val="0"/>
      <w:marTop w:val="0"/>
      <w:marBottom w:val="0"/>
      <w:divBdr>
        <w:top w:val="none" w:sz="0" w:space="0" w:color="auto"/>
        <w:left w:val="none" w:sz="0" w:space="0" w:color="auto"/>
        <w:bottom w:val="none" w:sz="0" w:space="0" w:color="auto"/>
        <w:right w:val="none" w:sz="0" w:space="0" w:color="auto"/>
      </w:divBdr>
    </w:div>
    <w:div w:id="1539391290">
      <w:bodyDiv w:val="1"/>
      <w:marLeft w:val="0"/>
      <w:marRight w:val="0"/>
      <w:marTop w:val="0"/>
      <w:marBottom w:val="0"/>
      <w:divBdr>
        <w:top w:val="none" w:sz="0" w:space="0" w:color="auto"/>
        <w:left w:val="none" w:sz="0" w:space="0" w:color="auto"/>
        <w:bottom w:val="none" w:sz="0" w:space="0" w:color="auto"/>
        <w:right w:val="none" w:sz="0" w:space="0" w:color="auto"/>
      </w:divBdr>
    </w:div>
    <w:div w:id="1542673453">
      <w:bodyDiv w:val="1"/>
      <w:marLeft w:val="0"/>
      <w:marRight w:val="0"/>
      <w:marTop w:val="0"/>
      <w:marBottom w:val="0"/>
      <w:divBdr>
        <w:top w:val="none" w:sz="0" w:space="0" w:color="auto"/>
        <w:left w:val="none" w:sz="0" w:space="0" w:color="auto"/>
        <w:bottom w:val="none" w:sz="0" w:space="0" w:color="auto"/>
        <w:right w:val="none" w:sz="0" w:space="0" w:color="auto"/>
      </w:divBdr>
    </w:div>
    <w:div w:id="1568488876">
      <w:bodyDiv w:val="1"/>
      <w:marLeft w:val="0"/>
      <w:marRight w:val="0"/>
      <w:marTop w:val="0"/>
      <w:marBottom w:val="0"/>
      <w:divBdr>
        <w:top w:val="none" w:sz="0" w:space="0" w:color="auto"/>
        <w:left w:val="none" w:sz="0" w:space="0" w:color="auto"/>
        <w:bottom w:val="none" w:sz="0" w:space="0" w:color="auto"/>
        <w:right w:val="none" w:sz="0" w:space="0" w:color="auto"/>
      </w:divBdr>
    </w:div>
    <w:div w:id="1571964084">
      <w:bodyDiv w:val="1"/>
      <w:marLeft w:val="0"/>
      <w:marRight w:val="0"/>
      <w:marTop w:val="0"/>
      <w:marBottom w:val="0"/>
      <w:divBdr>
        <w:top w:val="none" w:sz="0" w:space="0" w:color="auto"/>
        <w:left w:val="none" w:sz="0" w:space="0" w:color="auto"/>
        <w:bottom w:val="none" w:sz="0" w:space="0" w:color="auto"/>
        <w:right w:val="none" w:sz="0" w:space="0" w:color="auto"/>
      </w:divBdr>
      <w:divsChild>
        <w:div w:id="1327898809">
          <w:marLeft w:val="0"/>
          <w:marRight w:val="0"/>
          <w:marTop w:val="0"/>
          <w:marBottom w:val="0"/>
          <w:divBdr>
            <w:top w:val="none" w:sz="0" w:space="0" w:color="auto"/>
            <w:left w:val="none" w:sz="0" w:space="0" w:color="auto"/>
            <w:bottom w:val="none" w:sz="0" w:space="0" w:color="auto"/>
            <w:right w:val="none" w:sz="0" w:space="0" w:color="auto"/>
          </w:divBdr>
          <w:divsChild>
            <w:div w:id="6761961">
              <w:marLeft w:val="210"/>
              <w:marRight w:val="0"/>
              <w:marTop w:val="120"/>
              <w:marBottom w:val="0"/>
              <w:divBdr>
                <w:top w:val="none" w:sz="0" w:space="0" w:color="auto"/>
                <w:left w:val="none" w:sz="0" w:space="0" w:color="auto"/>
                <w:bottom w:val="none" w:sz="0" w:space="0" w:color="auto"/>
                <w:right w:val="none" w:sz="0" w:space="0" w:color="auto"/>
              </w:divBdr>
              <w:divsChild>
                <w:div w:id="1370228052">
                  <w:marLeft w:val="0"/>
                  <w:marRight w:val="0"/>
                  <w:marTop w:val="0"/>
                  <w:marBottom w:val="0"/>
                  <w:divBdr>
                    <w:top w:val="none" w:sz="0" w:space="0" w:color="auto"/>
                    <w:left w:val="none" w:sz="0" w:space="0" w:color="auto"/>
                    <w:bottom w:val="none" w:sz="0" w:space="0" w:color="auto"/>
                    <w:right w:val="none" w:sz="0" w:space="0" w:color="auto"/>
                  </w:divBdr>
                  <w:divsChild>
                    <w:div w:id="148304168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93789518">
          <w:marLeft w:val="0"/>
          <w:marRight w:val="0"/>
          <w:marTop w:val="0"/>
          <w:marBottom w:val="0"/>
          <w:divBdr>
            <w:top w:val="none" w:sz="0" w:space="0" w:color="auto"/>
            <w:left w:val="none" w:sz="0" w:space="0" w:color="auto"/>
            <w:bottom w:val="none" w:sz="0" w:space="0" w:color="auto"/>
            <w:right w:val="none" w:sz="0" w:space="0" w:color="auto"/>
          </w:divBdr>
          <w:divsChild>
            <w:div w:id="1819222134">
              <w:marLeft w:val="0"/>
              <w:marRight w:val="0"/>
              <w:marTop w:val="0"/>
              <w:marBottom w:val="0"/>
              <w:divBdr>
                <w:top w:val="none" w:sz="0" w:space="0" w:color="auto"/>
                <w:left w:val="none" w:sz="0" w:space="0" w:color="auto"/>
                <w:bottom w:val="none" w:sz="0" w:space="0" w:color="auto"/>
                <w:right w:val="none" w:sz="0" w:space="0" w:color="auto"/>
              </w:divBdr>
              <w:divsChild>
                <w:div w:id="840894387">
                  <w:marLeft w:val="0"/>
                  <w:marRight w:val="0"/>
                  <w:marTop w:val="0"/>
                  <w:marBottom w:val="0"/>
                  <w:divBdr>
                    <w:top w:val="none" w:sz="0" w:space="0" w:color="auto"/>
                    <w:left w:val="none" w:sz="0" w:space="0" w:color="auto"/>
                    <w:bottom w:val="none" w:sz="0" w:space="0" w:color="auto"/>
                    <w:right w:val="none" w:sz="0" w:space="0" w:color="auto"/>
                  </w:divBdr>
                  <w:divsChild>
                    <w:div w:id="1490825077">
                      <w:marLeft w:val="30"/>
                      <w:marRight w:val="30"/>
                      <w:marTop w:val="0"/>
                      <w:marBottom w:val="0"/>
                      <w:divBdr>
                        <w:top w:val="none" w:sz="0" w:space="0" w:color="auto"/>
                        <w:left w:val="none" w:sz="0" w:space="0" w:color="auto"/>
                        <w:bottom w:val="none" w:sz="0" w:space="0" w:color="auto"/>
                        <w:right w:val="none" w:sz="0" w:space="0" w:color="auto"/>
                      </w:divBdr>
                      <w:divsChild>
                        <w:div w:id="1212493783">
                          <w:marLeft w:val="180"/>
                          <w:marRight w:val="210"/>
                          <w:marTop w:val="0"/>
                          <w:marBottom w:val="30"/>
                          <w:divBdr>
                            <w:top w:val="none" w:sz="0" w:space="0" w:color="auto"/>
                            <w:left w:val="none" w:sz="0" w:space="0" w:color="auto"/>
                            <w:bottom w:val="none" w:sz="0" w:space="0" w:color="auto"/>
                            <w:right w:val="none" w:sz="0" w:space="0" w:color="auto"/>
                          </w:divBdr>
                          <w:divsChild>
                            <w:div w:id="502162371">
                              <w:marLeft w:val="45"/>
                              <w:marRight w:val="0"/>
                              <w:marTop w:val="0"/>
                              <w:marBottom w:val="0"/>
                              <w:divBdr>
                                <w:top w:val="none" w:sz="0" w:space="0" w:color="auto"/>
                                <w:left w:val="none" w:sz="0" w:space="0" w:color="auto"/>
                                <w:bottom w:val="none" w:sz="0" w:space="0" w:color="auto"/>
                                <w:right w:val="none" w:sz="0" w:space="0" w:color="auto"/>
                              </w:divBdr>
                            </w:div>
                            <w:div w:id="1390373956">
                              <w:marLeft w:val="0"/>
                              <w:marRight w:val="30"/>
                              <w:marTop w:val="0"/>
                              <w:marBottom w:val="0"/>
                              <w:divBdr>
                                <w:top w:val="none" w:sz="0" w:space="0" w:color="auto"/>
                                <w:left w:val="none" w:sz="0" w:space="0" w:color="auto"/>
                                <w:bottom w:val="none" w:sz="0" w:space="0" w:color="auto"/>
                                <w:right w:val="none" w:sz="0" w:space="0" w:color="auto"/>
                              </w:divBdr>
                              <w:divsChild>
                                <w:div w:id="1612012499">
                                  <w:marLeft w:val="0"/>
                                  <w:marRight w:val="0"/>
                                  <w:marTop w:val="0"/>
                                  <w:marBottom w:val="0"/>
                                  <w:divBdr>
                                    <w:top w:val="none" w:sz="0" w:space="0" w:color="auto"/>
                                    <w:left w:val="none" w:sz="0" w:space="0" w:color="auto"/>
                                    <w:bottom w:val="none" w:sz="0" w:space="0" w:color="auto"/>
                                    <w:right w:val="none" w:sz="0" w:space="0" w:color="auto"/>
                                  </w:divBdr>
                                  <w:divsChild>
                                    <w:div w:id="109470019">
                                      <w:marLeft w:val="0"/>
                                      <w:marRight w:val="0"/>
                                      <w:marTop w:val="0"/>
                                      <w:marBottom w:val="0"/>
                                      <w:divBdr>
                                        <w:top w:val="none" w:sz="0" w:space="0" w:color="auto"/>
                                        <w:left w:val="none" w:sz="0" w:space="0" w:color="auto"/>
                                        <w:bottom w:val="none" w:sz="0" w:space="0" w:color="auto"/>
                                        <w:right w:val="none" w:sz="0" w:space="0" w:color="auto"/>
                                      </w:divBdr>
                                      <w:divsChild>
                                        <w:div w:id="18067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688">
      <w:bodyDiv w:val="1"/>
      <w:marLeft w:val="0"/>
      <w:marRight w:val="0"/>
      <w:marTop w:val="0"/>
      <w:marBottom w:val="0"/>
      <w:divBdr>
        <w:top w:val="none" w:sz="0" w:space="0" w:color="auto"/>
        <w:left w:val="none" w:sz="0" w:space="0" w:color="auto"/>
        <w:bottom w:val="none" w:sz="0" w:space="0" w:color="auto"/>
        <w:right w:val="none" w:sz="0" w:space="0" w:color="auto"/>
      </w:divBdr>
      <w:divsChild>
        <w:div w:id="585966500">
          <w:marLeft w:val="0"/>
          <w:marRight w:val="0"/>
          <w:marTop w:val="0"/>
          <w:marBottom w:val="0"/>
          <w:divBdr>
            <w:top w:val="none" w:sz="0" w:space="0" w:color="auto"/>
            <w:left w:val="none" w:sz="0" w:space="0" w:color="auto"/>
            <w:bottom w:val="none" w:sz="0" w:space="0" w:color="auto"/>
            <w:right w:val="none" w:sz="0" w:space="0" w:color="auto"/>
          </w:divBdr>
          <w:divsChild>
            <w:div w:id="2072073189">
              <w:marLeft w:val="0"/>
              <w:marRight w:val="0"/>
              <w:marTop w:val="0"/>
              <w:marBottom w:val="0"/>
              <w:divBdr>
                <w:top w:val="none" w:sz="0" w:space="0" w:color="auto"/>
                <w:left w:val="none" w:sz="0" w:space="0" w:color="auto"/>
                <w:bottom w:val="none" w:sz="0" w:space="0" w:color="auto"/>
                <w:right w:val="none" w:sz="0" w:space="0" w:color="auto"/>
              </w:divBdr>
              <w:divsChild>
                <w:div w:id="1014115785">
                  <w:marLeft w:val="0"/>
                  <w:marRight w:val="0"/>
                  <w:marTop w:val="0"/>
                  <w:marBottom w:val="0"/>
                  <w:divBdr>
                    <w:top w:val="none" w:sz="0" w:space="0" w:color="auto"/>
                    <w:left w:val="none" w:sz="0" w:space="0" w:color="auto"/>
                    <w:bottom w:val="none" w:sz="0" w:space="0" w:color="auto"/>
                    <w:right w:val="none" w:sz="0" w:space="0" w:color="auto"/>
                  </w:divBdr>
                  <w:divsChild>
                    <w:div w:id="369767122">
                      <w:marLeft w:val="30"/>
                      <w:marRight w:val="30"/>
                      <w:marTop w:val="0"/>
                      <w:marBottom w:val="0"/>
                      <w:divBdr>
                        <w:top w:val="none" w:sz="0" w:space="0" w:color="auto"/>
                        <w:left w:val="none" w:sz="0" w:space="0" w:color="auto"/>
                        <w:bottom w:val="none" w:sz="0" w:space="0" w:color="auto"/>
                        <w:right w:val="none" w:sz="0" w:space="0" w:color="auto"/>
                      </w:divBdr>
                      <w:divsChild>
                        <w:div w:id="1772118784">
                          <w:marLeft w:val="180"/>
                          <w:marRight w:val="210"/>
                          <w:marTop w:val="0"/>
                          <w:marBottom w:val="30"/>
                          <w:divBdr>
                            <w:top w:val="none" w:sz="0" w:space="0" w:color="auto"/>
                            <w:left w:val="none" w:sz="0" w:space="0" w:color="auto"/>
                            <w:bottom w:val="none" w:sz="0" w:space="0" w:color="auto"/>
                            <w:right w:val="none" w:sz="0" w:space="0" w:color="auto"/>
                          </w:divBdr>
                          <w:divsChild>
                            <w:div w:id="900798498">
                              <w:marLeft w:val="45"/>
                              <w:marRight w:val="0"/>
                              <w:marTop w:val="0"/>
                              <w:marBottom w:val="0"/>
                              <w:divBdr>
                                <w:top w:val="none" w:sz="0" w:space="0" w:color="auto"/>
                                <w:left w:val="none" w:sz="0" w:space="0" w:color="auto"/>
                                <w:bottom w:val="none" w:sz="0" w:space="0" w:color="auto"/>
                                <w:right w:val="none" w:sz="0" w:space="0" w:color="auto"/>
                              </w:divBdr>
                            </w:div>
                            <w:div w:id="1880435663">
                              <w:marLeft w:val="0"/>
                              <w:marRight w:val="30"/>
                              <w:marTop w:val="0"/>
                              <w:marBottom w:val="0"/>
                              <w:divBdr>
                                <w:top w:val="none" w:sz="0" w:space="0" w:color="auto"/>
                                <w:left w:val="none" w:sz="0" w:space="0" w:color="auto"/>
                                <w:bottom w:val="none" w:sz="0" w:space="0" w:color="auto"/>
                                <w:right w:val="none" w:sz="0" w:space="0" w:color="auto"/>
                              </w:divBdr>
                              <w:divsChild>
                                <w:div w:id="1088304505">
                                  <w:marLeft w:val="0"/>
                                  <w:marRight w:val="0"/>
                                  <w:marTop w:val="0"/>
                                  <w:marBottom w:val="0"/>
                                  <w:divBdr>
                                    <w:top w:val="none" w:sz="0" w:space="0" w:color="auto"/>
                                    <w:left w:val="none" w:sz="0" w:space="0" w:color="auto"/>
                                    <w:bottom w:val="none" w:sz="0" w:space="0" w:color="auto"/>
                                    <w:right w:val="none" w:sz="0" w:space="0" w:color="auto"/>
                                  </w:divBdr>
                                  <w:divsChild>
                                    <w:div w:id="880049059">
                                      <w:marLeft w:val="0"/>
                                      <w:marRight w:val="0"/>
                                      <w:marTop w:val="0"/>
                                      <w:marBottom w:val="0"/>
                                      <w:divBdr>
                                        <w:top w:val="none" w:sz="0" w:space="0" w:color="auto"/>
                                        <w:left w:val="none" w:sz="0" w:space="0" w:color="auto"/>
                                        <w:bottom w:val="none" w:sz="0" w:space="0" w:color="auto"/>
                                        <w:right w:val="none" w:sz="0" w:space="0" w:color="auto"/>
                                      </w:divBdr>
                                      <w:divsChild>
                                        <w:div w:id="14899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06530">
                      <w:marLeft w:val="30"/>
                      <w:marRight w:val="30"/>
                      <w:marTop w:val="0"/>
                      <w:marBottom w:val="0"/>
                      <w:divBdr>
                        <w:top w:val="none" w:sz="0" w:space="0" w:color="auto"/>
                        <w:left w:val="none" w:sz="0" w:space="0" w:color="auto"/>
                        <w:bottom w:val="none" w:sz="0" w:space="0" w:color="auto"/>
                        <w:right w:val="none" w:sz="0" w:space="0" w:color="auto"/>
                      </w:divBdr>
                      <w:divsChild>
                        <w:div w:id="1479961303">
                          <w:marLeft w:val="0"/>
                          <w:marRight w:val="90"/>
                          <w:marTop w:val="90"/>
                          <w:marBottom w:val="30"/>
                          <w:divBdr>
                            <w:top w:val="none" w:sz="0" w:space="0" w:color="auto"/>
                            <w:left w:val="none" w:sz="0" w:space="0" w:color="auto"/>
                            <w:bottom w:val="none" w:sz="0" w:space="0" w:color="auto"/>
                            <w:right w:val="none" w:sz="0" w:space="0" w:color="auto"/>
                          </w:divBdr>
                          <w:divsChild>
                            <w:div w:id="1613825707">
                              <w:marLeft w:val="0"/>
                              <w:marRight w:val="30"/>
                              <w:marTop w:val="0"/>
                              <w:marBottom w:val="0"/>
                              <w:divBdr>
                                <w:top w:val="none" w:sz="0" w:space="0" w:color="auto"/>
                                <w:left w:val="none" w:sz="0" w:space="0" w:color="auto"/>
                                <w:bottom w:val="none" w:sz="0" w:space="0" w:color="auto"/>
                                <w:right w:val="none" w:sz="0" w:space="0" w:color="auto"/>
                              </w:divBdr>
                              <w:divsChild>
                                <w:div w:id="988630601">
                                  <w:marLeft w:val="0"/>
                                  <w:marRight w:val="0"/>
                                  <w:marTop w:val="0"/>
                                  <w:marBottom w:val="0"/>
                                  <w:divBdr>
                                    <w:top w:val="none" w:sz="0" w:space="0" w:color="auto"/>
                                    <w:left w:val="none" w:sz="0" w:space="0" w:color="auto"/>
                                    <w:bottom w:val="none" w:sz="0" w:space="0" w:color="auto"/>
                                    <w:right w:val="none" w:sz="0" w:space="0" w:color="auto"/>
                                  </w:divBdr>
                                  <w:divsChild>
                                    <w:div w:id="1066800631">
                                      <w:marLeft w:val="0"/>
                                      <w:marRight w:val="0"/>
                                      <w:marTop w:val="0"/>
                                      <w:marBottom w:val="0"/>
                                      <w:divBdr>
                                        <w:top w:val="none" w:sz="0" w:space="0" w:color="auto"/>
                                        <w:left w:val="none" w:sz="0" w:space="0" w:color="auto"/>
                                        <w:bottom w:val="none" w:sz="0" w:space="0" w:color="auto"/>
                                        <w:right w:val="none" w:sz="0" w:space="0" w:color="auto"/>
                                      </w:divBdr>
                                      <w:divsChild>
                                        <w:div w:id="19725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9202">
                              <w:marLeft w:val="0"/>
                              <w:marRight w:val="0"/>
                              <w:marTop w:val="0"/>
                              <w:marBottom w:val="0"/>
                              <w:divBdr>
                                <w:top w:val="none" w:sz="0" w:space="0" w:color="auto"/>
                                <w:left w:val="none" w:sz="0" w:space="0" w:color="auto"/>
                                <w:bottom w:val="none" w:sz="0" w:space="0" w:color="auto"/>
                                <w:right w:val="none" w:sz="0" w:space="0" w:color="auto"/>
                              </w:divBdr>
                              <w:divsChild>
                                <w:div w:id="1546831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586449930">
                          <w:marLeft w:val="135"/>
                          <w:marRight w:val="45"/>
                          <w:marTop w:val="60"/>
                          <w:marBottom w:val="60"/>
                          <w:divBdr>
                            <w:top w:val="none" w:sz="0" w:space="0" w:color="auto"/>
                            <w:left w:val="none" w:sz="0" w:space="0" w:color="auto"/>
                            <w:bottom w:val="none" w:sz="0" w:space="0" w:color="auto"/>
                            <w:right w:val="none" w:sz="0" w:space="0" w:color="auto"/>
                          </w:divBdr>
                          <w:divsChild>
                            <w:div w:id="268437634">
                              <w:marLeft w:val="0"/>
                              <w:marRight w:val="0"/>
                              <w:marTop w:val="0"/>
                              <w:marBottom w:val="0"/>
                              <w:divBdr>
                                <w:top w:val="none" w:sz="0" w:space="0" w:color="auto"/>
                                <w:left w:val="none" w:sz="0" w:space="0" w:color="auto"/>
                                <w:bottom w:val="none" w:sz="0" w:space="0" w:color="auto"/>
                                <w:right w:val="none" w:sz="0" w:space="0" w:color="auto"/>
                              </w:divBdr>
                              <w:divsChild>
                                <w:div w:id="991056378">
                                  <w:marLeft w:val="0"/>
                                  <w:marRight w:val="150"/>
                                  <w:marTop w:val="0"/>
                                  <w:marBottom w:val="0"/>
                                  <w:divBdr>
                                    <w:top w:val="none" w:sz="0" w:space="0" w:color="auto"/>
                                    <w:left w:val="none" w:sz="0" w:space="0" w:color="auto"/>
                                    <w:bottom w:val="none" w:sz="0" w:space="0" w:color="auto"/>
                                    <w:right w:val="none" w:sz="0" w:space="0" w:color="auto"/>
                                  </w:divBdr>
                                </w:div>
                                <w:div w:id="9941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08329">
          <w:marLeft w:val="0"/>
          <w:marRight w:val="0"/>
          <w:marTop w:val="0"/>
          <w:marBottom w:val="0"/>
          <w:divBdr>
            <w:top w:val="none" w:sz="0" w:space="0" w:color="auto"/>
            <w:left w:val="none" w:sz="0" w:space="0" w:color="auto"/>
            <w:bottom w:val="none" w:sz="0" w:space="0" w:color="auto"/>
            <w:right w:val="none" w:sz="0" w:space="0" w:color="auto"/>
          </w:divBdr>
          <w:divsChild>
            <w:div w:id="1451436962">
              <w:marLeft w:val="210"/>
              <w:marRight w:val="0"/>
              <w:marTop w:val="120"/>
              <w:marBottom w:val="0"/>
              <w:divBdr>
                <w:top w:val="none" w:sz="0" w:space="0" w:color="auto"/>
                <w:left w:val="none" w:sz="0" w:space="0" w:color="auto"/>
                <w:bottom w:val="none" w:sz="0" w:space="0" w:color="auto"/>
                <w:right w:val="none" w:sz="0" w:space="0" w:color="auto"/>
              </w:divBdr>
              <w:divsChild>
                <w:div w:id="1599412355">
                  <w:marLeft w:val="0"/>
                  <w:marRight w:val="0"/>
                  <w:marTop w:val="0"/>
                  <w:marBottom w:val="0"/>
                  <w:divBdr>
                    <w:top w:val="none" w:sz="0" w:space="0" w:color="auto"/>
                    <w:left w:val="none" w:sz="0" w:space="0" w:color="auto"/>
                    <w:bottom w:val="none" w:sz="0" w:space="0" w:color="auto"/>
                    <w:right w:val="none" w:sz="0" w:space="0" w:color="auto"/>
                  </w:divBdr>
                  <w:divsChild>
                    <w:div w:id="198843389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599941395">
      <w:bodyDiv w:val="1"/>
      <w:marLeft w:val="0"/>
      <w:marRight w:val="0"/>
      <w:marTop w:val="0"/>
      <w:marBottom w:val="0"/>
      <w:divBdr>
        <w:top w:val="none" w:sz="0" w:space="0" w:color="auto"/>
        <w:left w:val="none" w:sz="0" w:space="0" w:color="auto"/>
        <w:bottom w:val="none" w:sz="0" w:space="0" w:color="auto"/>
        <w:right w:val="none" w:sz="0" w:space="0" w:color="auto"/>
      </w:divBdr>
    </w:div>
    <w:div w:id="1611203158">
      <w:bodyDiv w:val="1"/>
      <w:marLeft w:val="0"/>
      <w:marRight w:val="0"/>
      <w:marTop w:val="0"/>
      <w:marBottom w:val="0"/>
      <w:divBdr>
        <w:top w:val="none" w:sz="0" w:space="0" w:color="auto"/>
        <w:left w:val="none" w:sz="0" w:space="0" w:color="auto"/>
        <w:bottom w:val="none" w:sz="0" w:space="0" w:color="auto"/>
        <w:right w:val="none" w:sz="0" w:space="0" w:color="auto"/>
      </w:divBdr>
      <w:divsChild>
        <w:div w:id="442961800">
          <w:marLeft w:val="0"/>
          <w:marRight w:val="0"/>
          <w:marTop w:val="0"/>
          <w:marBottom w:val="0"/>
          <w:divBdr>
            <w:top w:val="none" w:sz="0" w:space="0" w:color="auto"/>
            <w:left w:val="none" w:sz="0" w:space="0" w:color="auto"/>
            <w:bottom w:val="none" w:sz="0" w:space="0" w:color="auto"/>
            <w:right w:val="none" w:sz="0" w:space="0" w:color="auto"/>
          </w:divBdr>
          <w:divsChild>
            <w:div w:id="1271277875">
              <w:marLeft w:val="0"/>
              <w:marRight w:val="0"/>
              <w:marTop w:val="0"/>
              <w:marBottom w:val="0"/>
              <w:divBdr>
                <w:top w:val="none" w:sz="0" w:space="0" w:color="auto"/>
                <w:left w:val="none" w:sz="0" w:space="0" w:color="auto"/>
                <w:bottom w:val="none" w:sz="0" w:space="0" w:color="auto"/>
                <w:right w:val="none" w:sz="0" w:space="0" w:color="auto"/>
              </w:divBdr>
              <w:divsChild>
                <w:div w:id="442727548">
                  <w:marLeft w:val="0"/>
                  <w:marRight w:val="0"/>
                  <w:marTop w:val="0"/>
                  <w:marBottom w:val="0"/>
                  <w:divBdr>
                    <w:top w:val="none" w:sz="0" w:space="0" w:color="auto"/>
                    <w:left w:val="none" w:sz="0" w:space="0" w:color="auto"/>
                    <w:bottom w:val="none" w:sz="0" w:space="0" w:color="auto"/>
                    <w:right w:val="none" w:sz="0" w:space="0" w:color="auto"/>
                  </w:divBdr>
                  <w:divsChild>
                    <w:div w:id="1436441590">
                      <w:marLeft w:val="30"/>
                      <w:marRight w:val="30"/>
                      <w:marTop w:val="0"/>
                      <w:marBottom w:val="0"/>
                      <w:divBdr>
                        <w:top w:val="none" w:sz="0" w:space="0" w:color="auto"/>
                        <w:left w:val="none" w:sz="0" w:space="0" w:color="auto"/>
                        <w:bottom w:val="none" w:sz="0" w:space="0" w:color="auto"/>
                        <w:right w:val="none" w:sz="0" w:space="0" w:color="auto"/>
                      </w:divBdr>
                      <w:divsChild>
                        <w:div w:id="1182473500">
                          <w:marLeft w:val="180"/>
                          <w:marRight w:val="210"/>
                          <w:marTop w:val="0"/>
                          <w:marBottom w:val="30"/>
                          <w:divBdr>
                            <w:top w:val="none" w:sz="0" w:space="0" w:color="auto"/>
                            <w:left w:val="none" w:sz="0" w:space="0" w:color="auto"/>
                            <w:bottom w:val="none" w:sz="0" w:space="0" w:color="auto"/>
                            <w:right w:val="none" w:sz="0" w:space="0" w:color="auto"/>
                          </w:divBdr>
                          <w:divsChild>
                            <w:div w:id="892692166">
                              <w:marLeft w:val="0"/>
                              <w:marRight w:val="30"/>
                              <w:marTop w:val="0"/>
                              <w:marBottom w:val="0"/>
                              <w:divBdr>
                                <w:top w:val="none" w:sz="0" w:space="0" w:color="auto"/>
                                <w:left w:val="none" w:sz="0" w:space="0" w:color="auto"/>
                                <w:bottom w:val="none" w:sz="0" w:space="0" w:color="auto"/>
                                <w:right w:val="none" w:sz="0" w:space="0" w:color="auto"/>
                              </w:divBdr>
                              <w:divsChild>
                                <w:div w:id="1771008383">
                                  <w:marLeft w:val="0"/>
                                  <w:marRight w:val="0"/>
                                  <w:marTop w:val="0"/>
                                  <w:marBottom w:val="0"/>
                                  <w:divBdr>
                                    <w:top w:val="none" w:sz="0" w:space="0" w:color="auto"/>
                                    <w:left w:val="none" w:sz="0" w:space="0" w:color="auto"/>
                                    <w:bottom w:val="none" w:sz="0" w:space="0" w:color="auto"/>
                                    <w:right w:val="none" w:sz="0" w:space="0" w:color="auto"/>
                                  </w:divBdr>
                                  <w:divsChild>
                                    <w:div w:id="1400790919">
                                      <w:marLeft w:val="0"/>
                                      <w:marRight w:val="0"/>
                                      <w:marTop w:val="0"/>
                                      <w:marBottom w:val="0"/>
                                      <w:divBdr>
                                        <w:top w:val="none" w:sz="0" w:space="0" w:color="auto"/>
                                        <w:left w:val="none" w:sz="0" w:space="0" w:color="auto"/>
                                        <w:bottom w:val="none" w:sz="0" w:space="0" w:color="auto"/>
                                        <w:right w:val="none" w:sz="0" w:space="0" w:color="auto"/>
                                      </w:divBdr>
                                      <w:divsChild>
                                        <w:div w:id="12858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296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6131">
          <w:marLeft w:val="0"/>
          <w:marRight w:val="0"/>
          <w:marTop w:val="0"/>
          <w:marBottom w:val="0"/>
          <w:divBdr>
            <w:top w:val="none" w:sz="0" w:space="0" w:color="auto"/>
            <w:left w:val="none" w:sz="0" w:space="0" w:color="auto"/>
            <w:bottom w:val="none" w:sz="0" w:space="0" w:color="auto"/>
            <w:right w:val="none" w:sz="0" w:space="0" w:color="auto"/>
          </w:divBdr>
          <w:divsChild>
            <w:div w:id="1964995180">
              <w:marLeft w:val="210"/>
              <w:marRight w:val="0"/>
              <w:marTop w:val="120"/>
              <w:marBottom w:val="0"/>
              <w:divBdr>
                <w:top w:val="none" w:sz="0" w:space="0" w:color="auto"/>
                <w:left w:val="none" w:sz="0" w:space="0" w:color="auto"/>
                <w:bottom w:val="none" w:sz="0" w:space="0" w:color="auto"/>
                <w:right w:val="none" w:sz="0" w:space="0" w:color="auto"/>
              </w:divBdr>
              <w:divsChild>
                <w:div w:id="1884754037">
                  <w:marLeft w:val="0"/>
                  <w:marRight w:val="0"/>
                  <w:marTop w:val="0"/>
                  <w:marBottom w:val="0"/>
                  <w:divBdr>
                    <w:top w:val="none" w:sz="0" w:space="0" w:color="auto"/>
                    <w:left w:val="none" w:sz="0" w:space="0" w:color="auto"/>
                    <w:bottom w:val="none" w:sz="0" w:space="0" w:color="auto"/>
                    <w:right w:val="none" w:sz="0" w:space="0" w:color="auto"/>
                  </w:divBdr>
                  <w:divsChild>
                    <w:div w:id="158934345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19020746">
      <w:bodyDiv w:val="1"/>
      <w:marLeft w:val="0"/>
      <w:marRight w:val="0"/>
      <w:marTop w:val="0"/>
      <w:marBottom w:val="0"/>
      <w:divBdr>
        <w:top w:val="none" w:sz="0" w:space="0" w:color="auto"/>
        <w:left w:val="none" w:sz="0" w:space="0" w:color="auto"/>
        <w:bottom w:val="none" w:sz="0" w:space="0" w:color="auto"/>
        <w:right w:val="none" w:sz="0" w:space="0" w:color="auto"/>
      </w:divBdr>
    </w:div>
    <w:div w:id="1637494423">
      <w:bodyDiv w:val="1"/>
      <w:marLeft w:val="0"/>
      <w:marRight w:val="0"/>
      <w:marTop w:val="0"/>
      <w:marBottom w:val="0"/>
      <w:divBdr>
        <w:top w:val="none" w:sz="0" w:space="0" w:color="auto"/>
        <w:left w:val="none" w:sz="0" w:space="0" w:color="auto"/>
        <w:bottom w:val="none" w:sz="0" w:space="0" w:color="auto"/>
        <w:right w:val="none" w:sz="0" w:space="0" w:color="auto"/>
      </w:divBdr>
    </w:div>
    <w:div w:id="1639803311">
      <w:bodyDiv w:val="1"/>
      <w:marLeft w:val="0"/>
      <w:marRight w:val="0"/>
      <w:marTop w:val="0"/>
      <w:marBottom w:val="0"/>
      <w:divBdr>
        <w:top w:val="none" w:sz="0" w:space="0" w:color="auto"/>
        <w:left w:val="none" w:sz="0" w:space="0" w:color="auto"/>
        <w:bottom w:val="none" w:sz="0" w:space="0" w:color="auto"/>
        <w:right w:val="none" w:sz="0" w:space="0" w:color="auto"/>
      </w:divBdr>
      <w:divsChild>
        <w:div w:id="985819369">
          <w:marLeft w:val="0"/>
          <w:marRight w:val="0"/>
          <w:marTop w:val="0"/>
          <w:marBottom w:val="0"/>
          <w:divBdr>
            <w:top w:val="none" w:sz="0" w:space="0" w:color="auto"/>
            <w:left w:val="none" w:sz="0" w:space="0" w:color="auto"/>
            <w:bottom w:val="none" w:sz="0" w:space="0" w:color="auto"/>
            <w:right w:val="none" w:sz="0" w:space="0" w:color="auto"/>
          </w:divBdr>
          <w:divsChild>
            <w:div w:id="506554957">
              <w:marLeft w:val="0"/>
              <w:marRight w:val="0"/>
              <w:marTop w:val="0"/>
              <w:marBottom w:val="0"/>
              <w:divBdr>
                <w:top w:val="none" w:sz="0" w:space="0" w:color="auto"/>
                <w:left w:val="none" w:sz="0" w:space="0" w:color="auto"/>
                <w:bottom w:val="none" w:sz="0" w:space="0" w:color="auto"/>
                <w:right w:val="none" w:sz="0" w:space="0" w:color="auto"/>
              </w:divBdr>
              <w:divsChild>
                <w:div w:id="2097702016">
                  <w:marLeft w:val="0"/>
                  <w:marRight w:val="0"/>
                  <w:marTop w:val="0"/>
                  <w:marBottom w:val="0"/>
                  <w:divBdr>
                    <w:top w:val="none" w:sz="0" w:space="0" w:color="auto"/>
                    <w:left w:val="none" w:sz="0" w:space="0" w:color="auto"/>
                    <w:bottom w:val="none" w:sz="0" w:space="0" w:color="auto"/>
                    <w:right w:val="none" w:sz="0" w:space="0" w:color="auto"/>
                  </w:divBdr>
                  <w:divsChild>
                    <w:div w:id="1175805755">
                      <w:marLeft w:val="30"/>
                      <w:marRight w:val="30"/>
                      <w:marTop w:val="0"/>
                      <w:marBottom w:val="0"/>
                      <w:divBdr>
                        <w:top w:val="none" w:sz="0" w:space="0" w:color="auto"/>
                        <w:left w:val="none" w:sz="0" w:space="0" w:color="auto"/>
                        <w:bottom w:val="none" w:sz="0" w:space="0" w:color="auto"/>
                        <w:right w:val="none" w:sz="0" w:space="0" w:color="auto"/>
                      </w:divBdr>
                      <w:divsChild>
                        <w:div w:id="934165260">
                          <w:marLeft w:val="180"/>
                          <w:marRight w:val="210"/>
                          <w:marTop w:val="0"/>
                          <w:marBottom w:val="30"/>
                          <w:divBdr>
                            <w:top w:val="none" w:sz="0" w:space="0" w:color="auto"/>
                            <w:left w:val="none" w:sz="0" w:space="0" w:color="auto"/>
                            <w:bottom w:val="none" w:sz="0" w:space="0" w:color="auto"/>
                            <w:right w:val="none" w:sz="0" w:space="0" w:color="auto"/>
                          </w:divBdr>
                          <w:divsChild>
                            <w:div w:id="507401857">
                              <w:marLeft w:val="45"/>
                              <w:marRight w:val="0"/>
                              <w:marTop w:val="0"/>
                              <w:marBottom w:val="0"/>
                              <w:divBdr>
                                <w:top w:val="none" w:sz="0" w:space="0" w:color="auto"/>
                                <w:left w:val="none" w:sz="0" w:space="0" w:color="auto"/>
                                <w:bottom w:val="none" w:sz="0" w:space="0" w:color="auto"/>
                                <w:right w:val="none" w:sz="0" w:space="0" w:color="auto"/>
                              </w:divBdr>
                            </w:div>
                            <w:div w:id="1069234898">
                              <w:marLeft w:val="0"/>
                              <w:marRight w:val="30"/>
                              <w:marTop w:val="0"/>
                              <w:marBottom w:val="0"/>
                              <w:divBdr>
                                <w:top w:val="none" w:sz="0" w:space="0" w:color="auto"/>
                                <w:left w:val="none" w:sz="0" w:space="0" w:color="auto"/>
                                <w:bottom w:val="none" w:sz="0" w:space="0" w:color="auto"/>
                                <w:right w:val="none" w:sz="0" w:space="0" w:color="auto"/>
                              </w:divBdr>
                              <w:divsChild>
                                <w:div w:id="343822830">
                                  <w:marLeft w:val="0"/>
                                  <w:marRight w:val="0"/>
                                  <w:marTop w:val="0"/>
                                  <w:marBottom w:val="0"/>
                                  <w:divBdr>
                                    <w:top w:val="none" w:sz="0" w:space="0" w:color="auto"/>
                                    <w:left w:val="none" w:sz="0" w:space="0" w:color="auto"/>
                                    <w:bottom w:val="none" w:sz="0" w:space="0" w:color="auto"/>
                                    <w:right w:val="none" w:sz="0" w:space="0" w:color="auto"/>
                                  </w:divBdr>
                                  <w:divsChild>
                                    <w:div w:id="349110553">
                                      <w:marLeft w:val="0"/>
                                      <w:marRight w:val="0"/>
                                      <w:marTop w:val="0"/>
                                      <w:marBottom w:val="0"/>
                                      <w:divBdr>
                                        <w:top w:val="none" w:sz="0" w:space="0" w:color="auto"/>
                                        <w:left w:val="none" w:sz="0" w:space="0" w:color="auto"/>
                                        <w:bottom w:val="none" w:sz="0" w:space="0" w:color="auto"/>
                                        <w:right w:val="none" w:sz="0" w:space="0" w:color="auto"/>
                                      </w:divBdr>
                                      <w:divsChild>
                                        <w:div w:id="4714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678578">
                      <w:marLeft w:val="30"/>
                      <w:marRight w:val="30"/>
                      <w:marTop w:val="0"/>
                      <w:marBottom w:val="0"/>
                      <w:divBdr>
                        <w:top w:val="none" w:sz="0" w:space="0" w:color="auto"/>
                        <w:left w:val="none" w:sz="0" w:space="0" w:color="auto"/>
                        <w:bottom w:val="none" w:sz="0" w:space="0" w:color="auto"/>
                        <w:right w:val="none" w:sz="0" w:space="0" w:color="auto"/>
                      </w:divBdr>
                      <w:divsChild>
                        <w:div w:id="405566261">
                          <w:marLeft w:val="0"/>
                          <w:marRight w:val="90"/>
                          <w:marTop w:val="90"/>
                          <w:marBottom w:val="30"/>
                          <w:divBdr>
                            <w:top w:val="none" w:sz="0" w:space="0" w:color="auto"/>
                            <w:left w:val="none" w:sz="0" w:space="0" w:color="auto"/>
                            <w:bottom w:val="none" w:sz="0" w:space="0" w:color="auto"/>
                            <w:right w:val="none" w:sz="0" w:space="0" w:color="auto"/>
                          </w:divBdr>
                          <w:divsChild>
                            <w:div w:id="648632083">
                              <w:marLeft w:val="45"/>
                              <w:marRight w:val="0"/>
                              <w:marTop w:val="0"/>
                              <w:marBottom w:val="0"/>
                              <w:divBdr>
                                <w:top w:val="none" w:sz="0" w:space="0" w:color="auto"/>
                                <w:left w:val="none" w:sz="0" w:space="0" w:color="auto"/>
                                <w:bottom w:val="none" w:sz="0" w:space="0" w:color="auto"/>
                                <w:right w:val="none" w:sz="0" w:space="0" w:color="auto"/>
                              </w:divBdr>
                            </w:div>
                            <w:div w:id="1782262275">
                              <w:marLeft w:val="0"/>
                              <w:marRight w:val="0"/>
                              <w:marTop w:val="0"/>
                              <w:marBottom w:val="0"/>
                              <w:divBdr>
                                <w:top w:val="none" w:sz="0" w:space="0" w:color="auto"/>
                                <w:left w:val="none" w:sz="0" w:space="0" w:color="auto"/>
                                <w:bottom w:val="none" w:sz="0" w:space="0" w:color="auto"/>
                                <w:right w:val="none" w:sz="0" w:space="0" w:color="auto"/>
                              </w:divBdr>
                              <w:divsChild>
                                <w:div w:id="236131642">
                                  <w:marLeft w:val="45"/>
                                  <w:marRight w:val="0"/>
                                  <w:marTop w:val="0"/>
                                  <w:marBottom w:val="15"/>
                                  <w:divBdr>
                                    <w:top w:val="none" w:sz="0" w:space="0" w:color="auto"/>
                                    <w:left w:val="none" w:sz="0" w:space="0" w:color="auto"/>
                                    <w:bottom w:val="none" w:sz="0" w:space="0" w:color="auto"/>
                                    <w:right w:val="none" w:sz="0" w:space="0" w:color="auto"/>
                                  </w:divBdr>
                                </w:div>
                              </w:divsChild>
                            </w:div>
                            <w:div w:id="2050494876">
                              <w:marLeft w:val="0"/>
                              <w:marRight w:val="30"/>
                              <w:marTop w:val="0"/>
                              <w:marBottom w:val="0"/>
                              <w:divBdr>
                                <w:top w:val="none" w:sz="0" w:space="0" w:color="auto"/>
                                <w:left w:val="none" w:sz="0" w:space="0" w:color="auto"/>
                                <w:bottom w:val="none" w:sz="0" w:space="0" w:color="auto"/>
                                <w:right w:val="none" w:sz="0" w:space="0" w:color="auto"/>
                              </w:divBdr>
                              <w:divsChild>
                                <w:div w:id="167064446">
                                  <w:marLeft w:val="0"/>
                                  <w:marRight w:val="0"/>
                                  <w:marTop w:val="0"/>
                                  <w:marBottom w:val="0"/>
                                  <w:divBdr>
                                    <w:top w:val="none" w:sz="0" w:space="0" w:color="auto"/>
                                    <w:left w:val="none" w:sz="0" w:space="0" w:color="auto"/>
                                    <w:bottom w:val="none" w:sz="0" w:space="0" w:color="auto"/>
                                    <w:right w:val="none" w:sz="0" w:space="0" w:color="auto"/>
                                  </w:divBdr>
                                  <w:divsChild>
                                    <w:div w:id="1530877251">
                                      <w:marLeft w:val="0"/>
                                      <w:marRight w:val="0"/>
                                      <w:marTop w:val="0"/>
                                      <w:marBottom w:val="0"/>
                                      <w:divBdr>
                                        <w:top w:val="none" w:sz="0" w:space="0" w:color="auto"/>
                                        <w:left w:val="none" w:sz="0" w:space="0" w:color="auto"/>
                                        <w:bottom w:val="none" w:sz="0" w:space="0" w:color="auto"/>
                                        <w:right w:val="none" w:sz="0" w:space="0" w:color="auto"/>
                                      </w:divBdr>
                                      <w:divsChild>
                                        <w:div w:id="9848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4122">
                          <w:marLeft w:val="135"/>
                          <w:marRight w:val="45"/>
                          <w:marTop w:val="60"/>
                          <w:marBottom w:val="60"/>
                          <w:divBdr>
                            <w:top w:val="none" w:sz="0" w:space="0" w:color="auto"/>
                            <w:left w:val="none" w:sz="0" w:space="0" w:color="auto"/>
                            <w:bottom w:val="none" w:sz="0" w:space="0" w:color="auto"/>
                            <w:right w:val="none" w:sz="0" w:space="0" w:color="auto"/>
                          </w:divBdr>
                          <w:divsChild>
                            <w:div w:id="1783764795">
                              <w:marLeft w:val="0"/>
                              <w:marRight w:val="0"/>
                              <w:marTop w:val="0"/>
                              <w:marBottom w:val="0"/>
                              <w:divBdr>
                                <w:top w:val="none" w:sz="0" w:space="0" w:color="auto"/>
                                <w:left w:val="none" w:sz="0" w:space="0" w:color="auto"/>
                                <w:bottom w:val="none" w:sz="0" w:space="0" w:color="auto"/>
                                <w:right w:val="none" w:sz="0" w:space="0" w:color="auto"/>
                              </w:divBdr>
                              <w:divsChild>
                                <w:div w:id="202595443">
                                  <w:marLeft w:val="0"/>
                                  <w:marRight w:val="0"/>
                                  <w:marTop w:val="0"/>
                                  <w:marBottom w:val="0"/>
                                  <w:divBdr>
                                    <w:top w:val="none" w:sz="0" w:space="0" w:color="auto"/>
                                    <w:left w:val="none" w:sz="0" w:space="0" w:color="auto"/>
                                    <w:bottom w:val="none" w:sz="0" w:space="0" w:color="auto"/>
                                    <w:right w:val="none" w:sz="0" w:space="0" w:color="auto"/>
                                  </w:divBdr>
                                </w:div>
                                <w:div w:id="10373184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4874">
          <w:marLeft w:val="0"/>
          <w:marRight w:val="0"/>
          <w:marTop w:val="0"/>
          <w:marBottom w:val="0"/>
          <w:divBdr>
            <w:top w:val="none" w:sz="0" w:space="0" w:color="auto"/>
            <w:left w:val="none" w:sz="0" w:space="0" w:color="auto"/>
            <w:bottom w:val="none" w:sz="0" w:space="0" w:color="auto"/>
            <w:right w:val="none" w:sz="0" w:space="0" w:color="auto"/>
          </w:divBdr>
          <w:divsChild>
            <w:div w:id="1022361989">
              <w:marLeft w:val="210"/>
              <w:marRight w:val="0"/>
              <w:marTop w:val="120"/>
              <w:marBottom w:val="0"/>
              <w:divBdr>
                <w:top w:val="none" w:sz="0" w:space="0" w:color="auto"/>
                <w:left w:val="none" w:sz="0" w:space="0" w:color="auto"/>
                <w:bottom w:val="none" w:sz="0" w:space="0" w:color="auto"/>
                <w:right w:val="none" w:sz="0" w:space="0" w:color="auto"/>
              </w:divBdr>
              <w:divsChild>
                <w:div w:id="1847668687">
                  <w:marLeft w:val="0"/>
                  <w:marRight w:val="0"/>
                  <w:marTop w:val="0"/>
                  <w:marBottom w:val="0"/>
                  <w:divBdr>
                    <w:top w:val="none" w:sz="0" w:space="0" w:color="auto"/>
                    <w:left w:val="none" w:sz="0" w:space="0" w:color="auto"/>
                    <w:bottom w:val="none" w:sz="0" w:space="0" w:color="auto"/>
                    <w:right w:val="none" w:sz="0" w:space="0" w:color="auto"/>
                  </w:divBdr>
                  <w:divsChild>
                    <w:div w:id="155584762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54292386">
      <w:bodyDiv w:val="1"/>
      <w:marLeft w:val="0"/>
      <w:marRight w:val="0"/>
      <w:marTop w:val="0"/>
      <w:marBottom w:val="0"/>
      <w:divBdr>
        <w:top w:val="none" w:sz="0" w:space="0" w:color="auto"/>
        <w:left w:val="none" w:sz="0" w:space="0" w:color="auto"/>
        <w:bottom w:val="none" w:sz="0" w:space="0" w:color="auto"/>
        <w:right w:val="none" w:sz="0" w:space="0" w:color="auto"/>
      </w:divBdr>
      <w:divsChild>
        <w:div w:id="1226799165">
          <w:marLeft w:val="0"/>
          <w:marRight w:val="0"/>
          <w:marTop w:val="0"/>
          <w:marBottom w:val="0"/>
          <w:divBdr>
            <w:top w:val="none" w:sz="0" w:space="0" w:color="auto"/>
            <w:left w:val="none" w:sz="0" w:space="0" w:color="auto"/>
            <w:bottom w:val="none" w:sz="0" w:space="0" w:color="auto"/>
            <w:right w:val="none" w:sz="0" w:space="0" w:color="auto"/>
          </w:divBdr>
          <w:divsChild>
            <w:div w:id="2090345113">
              <w:marLeft w:val="0"/>
              <w:marRight w:val="0"/>
              <w:marTop w:val="0"/>
              <w:marBottom w:val="0"/>
              <w:divBdr>
                <w:top w:val="none" w:sz="0" w:space="0" w:color="auto"/>
                <w:left w:val="none" w:sz="0" w:space="0" w:color="auto"/>
                <w:bottom w:val="none" w:sz="0" w:space="0" w:color="auto"/>
                <w:right w:val="none" w:sz="0" w:space="0" w:color="auto"/>
              </w:divBdr>
              <w:divsChild>
                <w:div w:id="252252518">
                  <w:marLeft w:val="0"/>
                  <w:marRight w:val="0"/>
                  <w:marTop w:val="0"/>
                  <w:marBottom w:val="0"/>
                  <w:divBdr>
                    <w:top w:val="none" w:sz="0" w:space="0" w:color="auto"/>
                    <w:left w:val="none" w:sz="0" w:space="0" w:color="auto"/>
                    <w:bottom w:val="none" w:sz="0" w:space="0" w:color="auto"/>
                    <w:right w:val="none" w:sz="0" w:space="0" w:color="auto"/>
                  </w:divBdr>
                  <w:divsChild>
                    <w:div w:id="617225755">
                      <w:marLeft w:val="30"/>
                      <w:marRight w:val="30"/>
                      <w:marTop w:val="0"/>
                      <w:marBottom w:val="0"/>
                      <w:divBdr>
                        <w:top w:val="none" w:sz="0" w:space="0" w:color="auto"/>
                        <w:left w:val="none" w:sz="0" w:space="0" w:color="auto"/>
                        <w:bottom w:val="none" w:sz="0" w:space="0" w:color="auto"/>
                        <w:right w:val="none" w:sz="0" w:space="0" w:color="auto"/>
                      </w:divBdr>
                      <w:divsChild>
                        <w:div w:id="945120197">
                          <w:marLeft w:val="180"/>
                          <w:marRight w:val="210"/>
                          <w:marTop w:val="0"/>
                          <w:marBottom w:val="30"/>
                          <w:divBdr>
                            <w:top w:val="none" w:sz="0" w:space="0" w:color="auto"/>
                            <w:left w:val="none" w:sz="0" w:space="0" w:color="auto"/>
                            <w:bottom w:val="none" w:sz="0" w:space="0" w:color="auto"/>
                            <w:right w:val="none" w:sz="0" w:space="0" w:color="auto"/>
                          </w:divBdr>
                          <w:divsChild>
                            <w:div w:id="860364767">
                              <w:marLeft w:val="45"/>
                              <w:marRight w:val="0"/>
                              <w:marTop w:val="0"/>
                              <w:marBottom w:val="0"/>
                              <w:divBdr>
                                <w:top w:val="none" w:sz="0" w:space="0" w:color="auto"/>
                                <w:left w:val="none" w:sz="0" w:space="0" w:color="auto"/>
                                <w:bottom w:val="none" w:sz="0" w:space="0" w:color="auto"/>
                                <w:right w:val="none" w:sz="0" w:space="0" w:color="auto"/>
                              </w:divBdr>
                            </w:div>
                            <w:div w:id="1272400479">
                              <w:marLeft w:val="0"/>
                              <w:marRight w:val="30"/>
                              <w:marTop w:val="0"/>
                              <w:marBottom w:val="0"/>
                              <w:divBdr>
                                <w:top w:val="none" w:sz="0" w:space="0" w:color="auto"/>
                                <w:left w:val="none" w:sz="0" w:space="0" w:color="auto"/>
                                <w:bottom w:val="none" w:sz="0" w:space="0" w:color="auto"/>
                                <w:right w:val="none" w:sz="0" w:space="0" w:color="auto"/>
                              </w:divBdr>
                              <w:divsChild>
                                <w:div w:id="216622606">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5713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726986">
          <w:marLeft w:val="0"/>
          <w:marRight w:val="0"/>
          <w:marTop w:val="0"/>
          <w:marBottom w:val="0"/>
          <w:divBdr>
            <w:top w:val="none" w:sz="0" w:space="0" w:color="auto"/>
            <w:left w:val="none" w:sz="0" w:space="0" w:color="auto"/>
            <w:bottom w:val="none" w:sz="0" w:space="0" w:color="auto"/>
            <w:right w:val="none" w:sz="0" w:space="0" w:color="auto"/>
          </w:divBdr>
          <w:divsChild>
            <w:div w:id="267615910">
              <w:marLeft w:val="210"/>
              <w:marRight w:val="0"/>
              <w:marTop w:val="120"/>
              <w:marBottom w:val="0"/>
              <w:divBdr>
                <w:top w:val="none" w:sz="0" w:space="0" w:color="auto"/>
                <w:left w:val="none" w:sz="0" w:space="0" w:color="auto"/>
                <w:bottom w:val="none" w:sz="0" w:space="0" w:color="auto"/>
                <w:right w:val="none" w:sz="0" w:space="0" w:color="auto"/>
              </w:divBdr>
              <w:divsChild>
                <w:div w:id="1458376859">
                  <w:marLeft w:val="0"/>
                  <w:marRight w:val="0"/>
                  <w:marTop w:val="0"/>
                  <w:marBottom w:val="0"/>
                  <w:divBdr>
                    <w:top w:val="none" w:sz="0" w:space="0" w:color="auto"/>
                    <w:left w:val="none" w:sz="0" w:space="0" w:color="auto"/>
                    <w:bottom w:val="none" w:sz="0" w:space="0" w:color="auto"/>
                    <w:right w:val="none" w:sz="0" w:space="0" w:color="auto"/>
                  </w:divBdr>
                  <w:divsChild>
                    <w:div w:id="185290909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74599957">
      <w:bodyDiv w:val="1"/>
      <w:marLeft w:val="0"/>
      <w:marRight w:val="0"/>
      <w:marTop w:val="0"/>
      <w:marBottom w:val="0"/>
      <w:divBdr>
        <w:top w:val="none" w:sz="0" w:space="0" w:color="auto"/>
        <w:left w:val="none" w:sz="0" w:space="0" w:color="auto"/>
        <w:bottom w:val="none" w:sz="0" w:space="0" w:color="auto"/>
        <w:right w:val="none" w:sz="0" w:space="0" w:color="auto"/>
      </w:divBdr>
    </w:div>
    <w:div w:id="1689063999">
      <w:bodyDiv w:val="1"/>
      <w:marLeft w:val="0"/>
      <w:marRight w:val="0"/>
      <w:marTop w:val="0"/>
      <w:marBottom w:val="0"/>
      <w:divBdr>
        <w:top w:val="none" w:sz="0" w:space="0" w:color="auto"/>
        <w:left w:val="none" w:sz="0" w:space="0" w:color="auto"/>
        <w:bottom w:val="none" w:sz="0" w:space="0" w:color="auto"/>
        <w:right w:val="none" w:sz="0" w:space="0" w:color="auto"/>
      </w:divBdr>
    </w:div>
    <w:div w:id="1690253514">
      <w:bodyDiv w:val="1"/>
      <w:marLeft w:val="0"/>
      <w:marRight w:val="0"/>
      <w:marTop w:val="0"/>
      <w:marBottom w:val="0"/>
      <w:divBdr>
        <w:top w:val="none" w:sz="0" w:space="0" w:color="auto"/>
        <w:left w:val="none" w:sz="0" w:space="0" w:color="auto"/>
        <w:bottom w:val="none" w:sz="0" w:space="0" w:color="auto"/>
        <w:right w:val="none" w:sz="0" w:space="0" w:color="auto"/>
      </w:divBdr>
    </w:div>
    <w:div w:id="1704015717">
      <w:bodyDiv w:val="1"/>
      <w:marLeft w:val="0"/>
      <w:marRight w:val="0"/>
      <w:marTop w:val="0"/>
      <w:marBottom w:val="0"/>
      <w:divBdr>
        <w:top w:val="none" w:sz="0" w:space="0" w:color="auto"/>
        <w:left w:val="none" w:sz="0" w:space="0" w:color="auto"/>
        <w:bottom w:val="none" w:sz="0" w:space="0" w:color="auto"/>
        <w:right w:val="none" w:sz="0" w:space="0" w:color="auto"/>
      </w:divBdr>
    </w:div>
    <w:div w:id="1716614440">
      <w:bodyDiv w:val="1"/>
      <w:marLeft w:val="0"/>
      <w:marRight w:val="0"/>
      <w:marTop w:val="0"/>
      <w:marBottom w:val="0"/>
      <w:divBdr>
        <w:top w:val="none" w:sz="0" w:space="0" w:color="auto"/>
        <w:left w:val="none" w:sz="0" w:space="0" w:color="auto"/>
        <w:bottom w:val="none" w:sz="0" w:space="0" w:color="auto"/>
        <w:right w:val="none" w:sz="0" w:space="0" w:color="auto"/>
      </w:divBdr>
    </w:div>
    <w:div w:id="1720277616">
      <w:bodyDiv w:val="1"/>
      <w:marLeft w:val="0"/>
      <w:marRight w:val="0"/>
      <w:marTop w:val="0"/>
      <w:marBottom w:val="0"/>
      <w:divBdr>
        <w:top w:val="none" w:sz="0" w:space="0" w:color="auto"/>
        <w:left w:val="none" w:sz="0" w:space="0" w:color="auto"/>
        <w:bottom w:val="none" w:sz="0" w:space="0" w:color="auto"/>
        <w:right w:val="none" w:sz="0" w:space="0" w:color="auto"/>
      </w:divBdr>
    </w:div>
    <w:div w:id="1720589950">
      <w:bodyDiv w:val="1"/>
      <w:marLeft w:val="0"/>
      <w:marRight w:val="0"/>
      <w:marTop w:val="0"/>
      <w:marBottom w:val="0"/>
      <w:divBdr>
        <w:top w:val="none" w:sz="0" w:space="0" w:color="auto"/>
        <w:left w:val="none" w:sz="0" w:space="0" w:color="auto"/>
        <w:bottom w:val="none" w:sz="0" w:space="0" w:color="auto"/>
        <w:right w:val="none" w:sz="0" w:space="0" w:color="auto"/>
      </w:divBdr>
    </w:div>
    <w:div w:id="1726757548">
      <w:bodyDiv w:val="1"/>
      <w:marLeft w:val="0"/>
      <w:marRight w:val="0"/>
      <w:marTop w:val="0"/>
      <w:marBottom w:val="0"/>
      <w:divBdr>
        <w:top w:val="none" w:sz="0" w:space="0" w:color="auto"/>
        <w:left w:val="none" w:sz="0" w:space="0" w:color="auto"/>
        <w:bottom w:val="none" w:sz="0" w:space="0" w:color="auto"/>
        <w:right w:val="none" w:sz="0" w:space="0" w:color="auto"/>
      </w:divBdr>
    </w:div>
    <w:div w:id="1735541351">
      <w:bodyDiv w:val="1"/>
      <w:marLeft w:val="0"/>
      <w:marRight w:val="0"/>
      <w:marTop w:val="0"/>
      <w:marBottom w:val="0"/>
      <w:divBdr>
        <w:top w:val="none" w:sz="0" w:space="0" w:color="auto"/>
        <w:left w:val="none" w:sz="0" w:space="0" w:color="auto"/>
        <w:bottom w:val="none" w:sz="0" w:space="0" w:color="auto"/>
        <w:right w:val="none" w:sz="0" w:space="0" w:color="auto"/>
      </w:divBdr>
    </w:div>
    <w:div w:id="1742096253">
      <w:bodyDiv w:val="1"/>
      <w:marLeft w:val="0"/>
      <w:marRight w:val="0"/>
      <w:marTop w:val="0"/>
      <w:marBottom w:val="0"/>
      <w:divBdr>
        <w:top w:val="none" w:sz="0" w:space="0" w:color="auto"/>
        <w:left w:val="none" w:sz="0" w:space="0" w:color="auto"/>
        <w:bottom w:val="none" w:sz="0" w:space="0" w:color="auto"/>
        <w:right w:val="none" w:sz="0" w:space="0" w:color="auto"/>
      </w:divBdr>
      <w:divsChild>
        <w:div w:id="294721870">
          <w:marLeft w:val="0"/>
          <w:marRight w:val="0"/>
          <w:marTop w:val="0"/>
          <w:marBottom w:val="0"/>
          <w:divBdr>
            <w:top w:val="none" w:sz="0" w:space="0" w:color="auto"/>
            <w:left w:val="none" w:sz="0" w:space="0" w:color="auto"/>
            <w:bottom w:val="none" w:sz="0" w:space="0" w:color="auto"/>
            <w:right w:val="none" w:sz="0" w:space="0" w:color="auto"/>
          </w:divBdr>
          <w:divsChild>
            <w:div w:id="1499419074">
              <w:marLeft w:val="210"/>
              <w:marRight w:val="0"/>
              <w:marTop w:val="120"/>
              <w:marBottom w:val="0"/>
              <w:divBdr>
                <w:top w:val="none" w:sz="0" w:space="0" w:color="auto"/>
                <w:left w:val="none" w:sz="0" w:space="0" w:color="auto"/>
                <w:bottom w:val="none" w:sz="0" w:space="0" w:color="auto"/>
                <w:right w:val="none" w:sz="0" w:space="0" w:color="auto"/>
              </w:divBdr>
              <w:divsChild>
                <w:div w:id="831025853">
                  <w:marLeft w:val="0"/>
                  <w:marRight w:val="0"/>
                  <w:marTop w:val="0"/>
                  <w:marBottom w:val="0"/>
                  <w:divBdr>
                    <w:top w:val="none" w:sz="0" w:space="0" w:color="auto"/>
                    <w:left w:val="none" w:sz="0" w:space="0" w:color="auto"/>
                    <w:bottom w:val="none" w:sz="0" w:space="0" w:color="auto"/>
                    <w:right w:val="none" w:sz="0" w:space="0" w:color="auto"/>
                  </w:divBdr>
                  <w:divsChild>
                    <w:div w:id="168501632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93727013">
          <w:marLeft w:val="0"/>
          <w:marRight w:val="0"/>
          <w:marTop w:val="0"/>
          <w:marBottom w:val="0"/>
          <w:divBdr>
            <w:top w:val="none" w:sz="0" w:space="0" w:color="auto"/>
            <w:left w:val="none" w:sz="0" w:space="0" w:color="auto"/>
            <w:bottom w:val="none" w:sz="0" w:space="0" w:color="auto"/>
            <w:right w:val="none" w:sz="0" w:space="0" w:color="auto"/>
          </w:divBdr>
          <w:divsChild>
            <w:div w:id="2130271097">
              <w:marLeft w:val="0"/>
              <w:marRight w:val="0"/>
              <w:marTop w:val="0"/>
              <w:marBottom w:val="0"/>
              <w:divBdr>
                <w:top w:val="none" w:sz="0" w:space="0" w:color="auto"/>
                <w:left w:val="none" w:sz="0" w:space="0" w:color="auto"/>
                <w:bottom w:val="none" w:sz="0" w:space="0" w:color="auto"/>
                <w:right w:val="none" w:sz="0" w:space="0" w:color="auto"/>
              </w:divBdr>
              <w:divsChild>
                <w:div w:id="1977832010">
                  <w:marLeft w:val="0"/>
                  <w:marRight w:val="0"/>
                  <w:marTop w:val="0"/>
                  <w:marBottom w:val="0"/>
                  <w:divBdr>
                    <w:top w:val="none" w:sz="0" w:space="0" w:color="auto"/>
                    <w:left w:val="none" w:sz="0" w:space="0" w:color="auto"/>
                    <w:bottom w:val="none" w:sz="0" w:space="0" w:color="auto"/>
                    <w:right w:val="none" w:sz="0" w:space="0" w:color="auto"/>
                  </w:divBdr>
                  <w:divsChild>
                    <w:div w:id="852691685">
                      <w:marLeft w:val="30"/>
                      <w:marRight w:val="30"/>
                      <w:marTop w:val="0"/>
                      <w:marBottom w:val="0"/>
                      <w:divBdr>
                        <w:top w:val="none" w:sz="0" w:space="0" w:color="auto"/>
                        <w:left w:val="none" w:sz="0" w:space="0" w:color="auto"/>
                        <w:bottom w:val="none" w:sz="0" w:space="0" w:color="auto"/>
                        <w:right w:val="none" w:sz="0" w:space="0" w:color="auto"/>
                      </w:divBdr>
                      <w:divsChild>
                        <w:div w:id="1376812936">
                          <w:marLeft w:val="180"/>
                          <w:marRight w:val="210"/>
                          <w:marTop w:val="0"/>
                          <w:marBottom w:val="30"/>
                          <w:divBdr>
                            <w:top w:val="none" w:sz="0" w:space="0" w:color="auto"/>
                            <w:left w:val="none" w:sz="0" w:space="0" w:color="auto"/>
                            <w:bottom w:val="none" w:sz="0" w:space="0" w:color="auto"/>
                            <w:right w:val="none" w:sz="0" w:space="0" w:color="auto"/>
                          </w:divBdr>
                          <w:divsChild>
                            <w:div w:id="109709655">
                              <w:marLeft w:val="45"/>
                              <w:marRight w:val="0"/>
                              <w:marTop w:val="0"/>
                              <w:marBottom w:val="0"/>
                              <w:divBdr>
                                <w:top w:val="none" w:sz="0" w:space="0" w:color="auto"/>
                                <w:left w:val="none" w:sz="0" w:space="0" w:color="auto"/>
                                <w:bottom w:val="none" w:sz="0" w:space="0" w:color="auto"/>
                                <w:right w:val="none" w:sz="0" w:space="0" w:color="auto"/>
                              </w:divBdr>
                            </w:div>
                            <w:div w:id="1860851545">
                              <w:marLeft w:val="0"/>
                              <w:marRight w:val="30"/>
                              <w:marTop w:val="0"/>
                              <w:marBottom w:val="0"/>
                              <w:divBdr>
                                <w:top w:val="none" w:sz="0" w:space="0" w:color="auto"/>
                                <w:left w:val="none" w:sz="0" w:space="0" w:color="auto"/>
                                <w:bottom w:val="none" w:sz="0" w:space="0" w:color="auto"/>
                                <w:right w:val="none" w:sz="0" w:space="0" w:color="auto"/>
                              </w:divBdr>
                              <w:divsChild>
                                <w:div w:id="2058360429">
                                  <w:marLeft w:val="0"/>
                                  <w:marRight w:val="0"/>
                                  <w:marTop w:val="0"/>
                                  <w:marBottom w:val="0"/>
                                  <w:divBdr>
                                    <w:top w:val="none" w:sz="0" w:space="0" w:color="auto"/>
                                    <w:left w:val="none" w:sz="0" w:space="0" w:color="auto"/>
                                    <w:bottom w:val="none" w:sz="0" w:space="0" w:color="auto"/>
                                    <w:right w:val="none" w:sz="0" w:space="0" w:color="auto"/>
                                  </w:divBdr>
                                  <w:divsChild>
                                    <w:div w:id="1583101529">
                                      <w:marLeft w:val="0"/>
                                      <w:marRight w:val="0"/>
                                      <w:marTop w:val="0"/>
                                      <w:marBottom w:val="0"/>
                                      <w:divBdr>
                                        <w:top w:val="none" w:sz="0" w:space="0" w:color="auto"/>
                                        <w:left w:val="none" w:sz="0" w:space="0" w:color="auto"/>
                                        <w:bottom w:val="none" w:sz="0" w:space="0" w:color="auto"/>
                                        <w:right w:val="none" w:sz="0" w:space="0" w:color="auto"/>
                                      </w:divBdr>
                                      <w:divsChild>
                                        <w:div w:id="17170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211153">
      <w:bodyDiv w:val="1"/>
      <w:marLeft w:val="0"/>
      <w:marRight w:val="0"/>
      <w:marTop w:val="0"/>
      <w:marBottom w:val="0"/>
      <w:divBdr>
        <w:top w:val="none" w:sz="0" w:space="0" w:color="auto"/>
        <w:left w:val="none" w:sz="0" w:space="0" w:color="auto"/>
        <w:bottom w:val="none" w:sz="0" w:space="0" w:color="auto"/>
        <w:right w:val="none" w:sz="0" w:space="0" w:color="auto"/>
      </w:divBdr>
      <w:divsChild>
        <w:div w:id="1184713339">
          <w:marLeft w:val="0"/>
          <w:marRight w:val="0"/>
          <w:marTop w:val="0"/>
          <w:marBottom w:val="0"/>
          <w:divBdr>
            <w:top w:val="none" w:sz="0" w:space="0" w:color="auto"/>
            <w:left w:val="none" w:sz="0" w:space="0" w:color="auto"/>
            <w:bottom w:val="none" w:sz="0" w:space="0" w:color="auto"/>
            <w:right w:val="none" w:sz="0" w:space="0" w:color="auto"/>
          </w:divBdr>
          <w:divsChild>
            <w:div w:id="1298994960">
              <w:marLeft w:val="0"/>
              <w:marRight w:val="0"/>
              <w:marTop w:val="0"/>
              <w:marBottom w:val="0"/>
              <w:divBdr>
                <w:top w:val="none" w:sz="0" w:space="0" w:color="auto"/>
                <w:left w:val="none" w:sz="0" w:space="0" w:color="auto"/>
                <w:bottom w:val="none" w:sz="0" w:space="0" w:color="auto"/>
                <w:right w:val="none" w:sz="0" w:space="0" w:color="auto"/>
              </w:divBdr>
              <w:divsChild>
                <w:div w:id="1637299456">
                  <w:marLeft w:val="0"/>
                  <w:marRight w:val="0"/>
                  <w:marTop w:val="0"/>
                  <w:marBottom w:val="0"/>
                  <w:divBdr>
                    <w:top w:val="none" w:sz="0" w:space="0" w:color="auto"/>
                    <w:left w:val="none" w:sz="0" w:space="0" w:color="auto"/>
                    <w:bottom w:val="none" w:sz="0" w:space="0" w:color="auto"/>
                    <w:right w:val="none" w:sz="0" w:space="0" w:color="auto"/>
                  </w:divBdr>
                  <w:divsChild>
                    <w:div w:id="1433936981">
                      <w:marLeft w:val="0"/>
                      <w:marRight w:val="0"/>
                      <w:marTop w:val="0"/>
                      <w:marBottom w:val="0"/>
                      <w:divBdr>
                        <w:top w:val="none" w:sz="0" w:space="0" w:color="auto"/>
                        <w:left w:val="none" w:sz="0" w:space="0" w:color="auto"/>
                        <w:bottom w:val="none" w:sz="0" w:space="0" w:color="auto"/>
                        <w:right w:val="none" w:sz="0" w:space="0" w:color="auto"/>
                      </w:divBdr>
                      <w:divsChild>
                        <w:div w:id="1925453854">
                          <w:marLeft w:val="0"/>
                          <w:marRight w:val="0"/>
                          <w:marTop w:val="0"/>
                          <w:marBottom w:val="0"/>
                          <w:divBdr>
                            <w:top w:val="none" w:sz="0" w:space="0" w:color="auto"/>
                            <w:left w:val="none" w:sz="0" w:space="0" w:color="auto"/>
                            <w:bottom w:val="none" w:sz="0" w:space="0" w:color="auto"/>
                            <w:right w:val="none" w:sz="0" w:space="0" w:color="auto"/>
                          </w:divBdr>
                          <w:divsChild>
                            <w:div w:id="994842822">
                              <w:marLeft w:val="0"/>
                              <w:marRight w:val="0"/>
                              <w:marTop w:val="0"/>
                              <w:marBottom w:val="0"/>
                              <w:divBdr>
                                <w:top w:val="none" w:sz="0" w:space="0" w:color="auto"/>
                                <w:left w:val="none" w:sz="0" w:space="0" w:color="auto"/>
                                <w:bottom w:val="none" w:sz="0" w:space="0" w:color="auto"/>
                                <w:right w:val="none" w:sz="0" w:space="0" w:color="auto"/>
                              </w:divBdr>
                              <w:divsChild>
                                <w:div w:id="204177368">
                                  <w:marLeft w:val="0"/>
                                  <w:marRight w:val="0"/>
                                  <w:marTop w:val="0"/>
                                  <w:marBottom w:val="0"/>
                                  <w:divBdr>
                                    <w:top w:val="single" w:sz="6" w:space="15" w:color="D7E9FF"/>
                                    <w:left w:val="single" w:sz="6" w:space="15" w:color="D7E9FF"/>
                                    <w:bottom w:val="single" w:sz="6" w:space="15" w:color="D7E9FF"/>
                                    <w:right w:val="single" w:sz="6" w:space="15" w:color="D7E9FF"/>
                                  </w:divBdr>
                                </w:div>
                              </w:divsChild>
                            </w:div>
                          </w:divsChild>
                        </w:div>
                      </w:divsChild>
                    </w:div>
                  </w:divsChild>
                </w:div>
              </w:divsChild>
            </w:div>
          </w:divsChild>
        </w:div>
      </w:divsChild>
    </w:div>
    <w:div w:id="1777823158">
      <w:bodyDiv w:val="1"/>
      <w:marLeft w:val="0"/>
      <w:marRight w:val="0"/>
      <w:marTop w:val="0"/>
      <w:marBottom w:val="0"/>
      <w:divBdr>
        <w:top w:val="none" w:sz="0" w:space="0" w:color="auto"/>
        <w:left w:val="none" w:sz="0" w:space="0" w:color="auto"/>
        <w:bottom w:val="none" w:sz="0" w:space="0" w:color="auto"/>
        <w:right w:val="none" w:sz="0" w:space="0" w:color="auto"/>
      </w:divBdr>
    </w:div>
    <w:div w:id="1781759463">
      <w:bodyDiv w:val="1"/>
      <w:marLeft w:val="0"/>
      <w:marRight w:val="0"/>
      <w:marTop w:val="0"/>
      <w:marBottom w:val="0"/>
      <w:divBdr>
        <w:top w:val="none" w:sz="0" w:space="0" w:color="auto"/>
        <w:left w:val="none" w:sz="0" w:space="0" w:color="auto"/>
        <w:bottom w:val="none" w:sz="0" w:space="0" w:color="auto"/>
        <w:right w:val="none" w:sz="0" w:space="0" w:color="auto"/>
      </w:divBdr>
    </w:div>
    <w:div w:id="1788237635">
      <w:bodyDiv w:val="1"/>
      <w:marLeft w:val="0"/>
      <w:marRight w:val="0"/>
      <w:marTop w:val="0"/>
      <w:marBottom w:val="0"/>
      <w:divBdr>
        <w:top w:val="none" w:sz="0" w:space="0" w:color="auto"/>
        <w:left w:val="none" w:sz="0" w:space="0" w:color="auto"/>
        <w:bottom w:val="none" w:sz="0" w:space="0" w:color="auto"/>
        <w:right w:val="none" w:sz="0" w:space="0" w:color="auto"/>
      </w:divBdr>
    </w:div>
    <w:div w:id="1791583485">
      <w:bodyDiv w:val="1"/>
      <w:marLeft w:val="0"/>
      <w:marRight w:val="0"/>
      <w:marTop w:val="0"/>
      <w:marBottom w:val="0"/>
      <w:divBdr>
        <w:top w:val="none" w:sz="0" w:space="0" w:color="auto"/>
        <w:left w:val="none" w:sz="0" w:space="0" w:color="auto"/>
        <w:bottom w:val="none" w:sz="0" w:space="0" w:color="auto"/>
        <w:right w:val="none" w:sz="0" w:space="0" w:color="auto"/>
      </w:divBdr>
      <w:divsChild>
        <w:div w:id="1393650070">
          <w:marLeft w:val="0"/>
          <w:marRight w:val="0"/>
          <w:marTop w:val="0"/>
          <w:marBottom w:val="0"/>
          <w:divBdr>
            <w:top w:val="none" w:sz="0" w:space="0" w:color="auto"/>
            <w:left w:val="none" w:sz="0" w:space="0" w:color="auto"/>
            <w:bottom w:val="none" w:sz="0" w:space="0" w:color="auto"/>
            <w:right w:val="none" w:sz="0" w:space="0" w:color="auto"/>
          </w:divBdr>
          <w:divsChild>
            <w:div w:id="1486776146">
              <w:marLeft w:val="210"/>
              <w:marRight w:val="0"/>
              <w:marTop w:val="120"/>
              <w:marBottom w:val="0"/>
              <w:divBdr>
                <w:top w:val="none" w:sz="0" w:space="0" w:color="auto"/>
                <w:left w:val="none" w:sz="0" w:space="0" w:color="auto"/>
                <w:bottom w:val="none" w:sz="0" w:space="0" w:color="auto"/>
                <w:right w:val="none" w:sz="0" w:space="0" w:color="auto"/>
              </w:divBdr>
              <w:divsChild>
                <w:div w:id="1944606935">
                  <w:marLeft w:val="0"/>
                  <w:marRight w:val="0"/>
                  <w:marTop w:val="0"/>
                  <w:marBottom w:val="0"/>
                  <w:divBdr>
                    <w:top w:val="none" w:sz="0" w:space="0" w:color="auto"/>
                    <w:left w:val="none" w:sz="0" w:space="0" w:color="auto"/>
                    <w:bottom w:val="none" w:sz="0" w:space="0" w:color="auto"/>
                    <w:right w:val="none" w:sz="0" w:space="0" w:color="auto"/>
                  </w:divBdr>
                  <w:divsChild>
                    <w:div w:id="196210351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657054">
          <w:marLeft w:val="0"/>
          <w:marRight w:val="0"/>
          <w:marTop w:val="0"/>
          <w:marBottom w:val="0"/>
          <w:divBdr>
            <w:top w:val="none" w:sz="0" w:space="0" w:color="auto"/>
            <w:left w:val="none" w:sz="0" w:space="0" w:color="auto"/>
            <w:bottom w:val="none" w:sz="0" w:space="0" w:color="auto"/>
            <w:right w:val="none" w:sz="0" w:space="0" w:color="auto"/>
          </w:divBdr>
          <w:divsChild>
            <w:div w:id="487670912">
              <w:marLeft w:val="0"/>
              <w:marRight w:val="0"/>
              <w:marTop w:val="0"/>
              <w:marBottom w:val="0"/>
              <w:divBdr>
                <w:top w:val="none" w:sz="0" w:space="0" w:color="auto"/>
                <w:left w:val="none" w:sz="0" w:space="0" w:color="auto"/>
                <w:bottom w:val="none" w:sz="0" w:space="0" w:color="auto"/>
                <w:right w:val="none" w:sz="0" w:space="0" w:color="auto"/>
              </w:divBdr>
              <w:divsChild>
                <w:div w:id="910504107">
                  <w:marLeft w:val="0"/>
                  <w:marRight w:val="0"/>
                  <w:marTop w:val="0"/>
                  <w:marBottom w:val="0"/>
                  <w:divBdr>
                    <w:top w:val="none" w:sz="0" w:space="0" w:color="auto"/>
                    <w:left w:val="none" w:sz="0" w:space="0" w:color="auto"/>
                    <w:bottom w:val="none" w:sz="0" w:space="0" w:color="auto"/>
                    <w:right w:val="none" w:sz="0" w:space="0" w:color="auto"/>
                  </w:divBdr>
                  <w:divsChild>
                    <w:div w:id="696664176">
                      <w:marLeft w:val="30"/>
                      <w:marRight w:val="30"/>
                      <w:marTop w:val="0"/>
                      <w:marBottom w:val="0"/>
                      <w:divBdr>
                        <w:top w:val="none" w:sz="0" w:space="0" w:color="auto"/>
                        <w:left w:val="none" w:sz="0" w:space="0" w:color="auto"/>
                        <w:bottom w:val="none" w:sz="0" w:space="0" w:color="auto"/>
                        <w:right w:val="none" w:sz="0" w:space="0" w:color="auto"/>
                      </w:divBdr>
                      <w:divsChild>
                        <w:div w:id="77293369">
                          <w:marLeft w:val="180"/>
                          <w:marRight w:val="210"/>
                          <w:marTop w:val="0"/>
                          <w:marBottom w:val="30"/>
                          <w:divBdr>
                            <w:top w:val="none" w:sz="0" w:space="0" w:color="auto"/>
                            <w:left w:val="none" w:sz="0" w:space="0" w:color="auto"/>
                            <w:bottom w:val="none" w:sz="0" w:space="0" w:color="auto"/>
                            <w:right w:val="none" w:sz="0" w:space="0" w:color="auto"/>
                          </w:divBdr>
                          <w:divsChild>
                            <w:div w:id="1775437641">
                              <w:marLeft w:val="0"/>
                              <w:marRight w:val="30"/>
                              <w:marTop w:val="0"/>
                              <w:marBottom w:val="0"/>
                              <w:divBdr>
                                <w:top w:val="none" w:sz="0" w:space="0" w:color="auto"/>
                                <w:left w:val="none" w:sz="0" w:space="0" w:color="auto"/>
                                <w:bottom w:val="none" w:sz="0" w:space="0" w:color="auto"/>
                                <w:right w:val="none" w:sz="0" w:space="0" w:color="auto"/>
                              </w:divBdr>
                              <w:divsChild>
                                <w:div w:id="509181240">
                                  <w:marLeft w:val="0"/>
                                  <w:marRight w:val="0"/>
                                  <w:marTop w:val="0"/>
                                  <w:marBottom w:val="0"/>
                                  <w:divBdr>
                                    <w:top w:val="none" w:sz="0" w:space="0" w:color="auto"/>
                                    <w:left w:val="none" w:sz="0" w:space="0" w:color="auto"/>
                                    <w:bottom w:val="none" w:sz="0" w:space="0" w:color="auto"/>
                                    <w:right w:val="none" w:sz="0" w:space="0" w:color="auto"/>
                                  </w:divBdr>
                                  <w:divsChild>
                                    <w:div w:id="1005089677">
                                      <w:marLeft w:val="0"/>
                                      <w:marRight w:val="0"/>
                                      <w:marTop w:val="0"/>
                                      <w:marBottom w:val="0"/>
                                      <w:divBdr>
                                        <w:top w:val="none" w:sz="0" w:space="0" w:color="auto"/>
                                        <w:left w:val="none" w:sz="0" w:space="0" w:color="auto"/>
                                        <w:bottom w:val="none" w:sz="0" w:space="0" w:color="auto"/>
                                        <w:right w:val="none" w:sz="0" w:space="0" w:color="auto"/>
                                      </w:divBdr>
                                      <w:divsChild>
                                        <w:div w:id="12780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19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58674116">
                      <w:marLeft w:val="30"/>
                      <w:marRight w:val="30"/>
                      <w:marTop w:val="0"/>
                      <w:marBottom w:val="0"/>
                      <w:divBdr>
                        <w:top w:val="none" w:sz="0" w:space="0" w:color="auto"/>
                        <w:left w:val="none" w:sz="0" w:space="0" w:color="auto"/>
                        <w:bottom w:val="none" w:sz="0" w:space="0" w:color="auto"/>
                        <w:right w:val="none" w:sz="0" w:space="0" w:color="auto"/>
                      </w:divBdr>
                      <w:divsChild>
                        <w:div w:id="157156874">
                          <w:marLeft w:val="0"/>
                          <w:marRight w:val="90"/>
                          <w:marTop w:val="90"/>
                          <w:marBottom w:val="30"/>
                          <w:divBdr>
                            <w:top w:val="none" w:sz="0" w:space="0" w:color="auto"/>
                            <w:left w:val="none" w:sz="0" w:space="0" w:color="auto"/>
                            <w:bottom w:val="none" w:sz="0" w:space="0" w:color="auto"/>
                            <w:right w:val="none" w:sz="0" w:space="0" w:color="auto"/>
                          </w:divBdr>
                          <w:divsChild>
                            <w:div w:id="1388993703">
                              <w:marLeft w:val="45"/>
                              <w:marRight w:val="0"/>
                              <w:marTop w:val="0"/>
                              <w:marBottom w:val="0"/>
                              <w:divBdr>
                                <w:top w:val="none" w:sz="0" w:space="0" w:color="auto"/>
                                <w:left w:val="none" w:sz="0" w:space="0" w:color="auto"/>
                                <w:bottom w:val="none" w:sz="0" w:space="0" w:color="auto"/>
                                <w:right w:val="none" w:sz="0" w:space="0" w:color="auto"/>
                              </w:divBdr>
                            </w:div>
                            <w:div w:id="1416441443">
                              <w:marLeft w:val="0"/>
                              <w:marRight w:val="0"/>
                              <w:marTop w:val="0"/>
                              <w:marBottom w:val="0"/>
                              <w:divBdr>
                                <w:top w:val="none" w:sz="0" w:space="0" w:color="auto"/>
                                <w:left w:val="none" w:sz="0" w:space="0" w:color="auto"/>
                                <w:bottom w:val="none" w:sz="0" w:space="0" w:color="auto"/>
                                <w:right w:val="none" w:sz="0" w:space="0" w:color="auto"/>
                              </w:divBdr>
                              <w:divsChild>
                                <w:div w:id="752166777">
                                  <w:marLeft w:val="45"/>
                                  <w:marRight w:val="0"/>
                                  <w:marTop w:val="0"/>
                                  <w:marBottom w:val="15"/>
                                  <w:divBdr>
                                    <w:top w:val="none" w:sz="0" w:space="0" w:color="auto"/>
                                    <w:left w:val="none" w:sz="0" w:space="0" w:color="auto"/>
                                    <w:bottom w:val="none" w:sz="0" w:space="0" w:color="auto"/>
                                    <w:right w:val="none" w:sz="0" w:space="0" w:color="auto"/>
                                  </w:divBdr>
                                </w:div>
                              </w:divsChild>
                            </w:div>
                            <w:div w:id="1756896423">
                              <w:marLeft w:val="0"/>
                              <w:marRight w:val="30"/>
                              <w:marTop w:val="0"/>
                              <w:marBottom w:val="0"/>
                              <w:divBdr>
                                <w:top w:val="none" w:sz="0" w:space="0" w:color="auto"/>
                                <w:left w:val="none" w:sz="0" w:space="0" w:color="auto"/>
                                <w:bottom w:val="none" w:sz="0" w:space="0" w:color="auto"/>
                                <w:right w:val="none" w:sz="0" w:space="0" w:color="auto"/>
                              </w:divBdr>
                              <w:divsChild>
                                <w:div w:id="334698213">
                                  <w:marLeft w:val="0"/>
                                  <w:marRight w:val="0"/>
                                  <w:marTop w:val="0"/>
                                  <w:marBottom w:val="0"/>
                                  <w:divBdr>
                                    <w:top w:val="none" w:sz="0" w:space="0" w:color="auto"/>
                                    <w:left w:val="none" w:sz="0" w:space="0" w:color="auto"/>
                                    <w:bottom w:val="none" w:sz="0" w:space="0" w:color="auto"/>
                                    <w:right w:val="none" w:sz="0" w:space="0" w:color="auto"/>
                                  </w:divBdr>
                                  <w:divsChild>
                                    <w:div w:id="945582268">
                                      <w:marLeft w:val="0"/>
                                      <w:marRight w:val="0"/>
                                      <w:marTop w:val="0"/>
                                      <w:marBottom w:val="0"/>
                                      <w:divBdr>
                                        <w:top w:val="none" w:sz="0" w:space="0" w:color="auto"/>
                                        <w:left w:val="none" w:sz="0" w:space="0" w:color="auto"/>
                                        <w:bottom w:val="none" w:sz="0" w:space="0" w:color="auto"/>
                                        <w:right w:val="none" w:sz="0" w:space="0" w:color="auto"/>
                                      </w:divBdr>
                                      <w:divsChild>
                                        <w:div w:id="7702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70267">
                          <w:marLeft w:val="135"/>
                          <w:marRight w:val="45"/>
                          <w:marTop w:val="60"/>
                          <w:marBottom w:val="60"/>
                          <w:divBdr>
                            <w:top w:val="none" w:sz="0" w:space="0" w:color="auto"/>
                            <w:left w:val="none" w:sz="0" w:space="0" w:color="auto"/>
                            <w:bottom w:val="none" w:sz="0" w:space="0" w:color="auto"/>
                            <w:right w:val="none" w:sz="0" w:space="0" w:color="auto"/>
                          </w:divBdr>
                          <w:divsChild>
                            <w:div w:id="433480971">
                              <w:marLeft w:val="0"/>
                              <w:marRight w:val="0"/>
                              <w:marTop w:val="0"/>
                              <w:marBottom w:val="0"/>
                              <w:divBdr>
                                <w:top w:val="none" w:sz="0" w:space="0" w:color="auto"/>
                                <w:left w:val="none" w:sz="0" w:space="0" w:color="auto"/>
                                <w:bottom w:val="none" w:sz="0" w:space="0" w:color="auto"/>
                                <w:right w:val="none" w:sz="0" w:space="0" w:color="auto"/>
                              </w:divBdr>
                              <w:divsChild>
                                <w:div w:id="13115715">
                                  <w:marLeft w:val="0"/>
                                  <w:marRight w:val="150"/>
                                  <w:marTop w:val="0"/>
                                  <w:marBottom w:val="0"/>
                                  <w:divBdr>
                                    <w:top w:val="none" w:sz="0" w:space="0" w:color="auto"/>
                                    <w:left w:val="none" w:sz="0" w:space="0" w:color="auto"/>
                                    <w:bottom w:val="none" w:sz="0" w:space="0" w:color="auto"/>
                                    <w:right w:val="none" w:sz="0" w:space="0" w:color="auto"/>
                                  </w:divBdr>
                                </w:div>
                                <w:div w:id="4941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58408">
                      <w:marLeft w:val="30"/>
                      <w:marRight w:val="30"/>
                      <w:marTop w:val="0"/>
                      <w:marBottom w:val="0"/>
                      <w:divBdr>
                        <w:top w:val="none" w:sz="0" w:space="0" w:color="auto"/>
                        <w:left w:val="none" w:sz="0" w:space="0" w:color="auto"/>
                        <w:bottom w:val="none" w:sz="0" w:space="0" w:color="auto"/>
                        <w:right w:val="none" w:sz="0" w:space="0" w:color="auto"/>
                      </w:divBdr>
                      <w:divsChild>
                        <w:div w:id="281377841">
                          <w:marLeft w:val="135"/>
                          <w:marRight w:val="45"/>
                          <w:marTop w:val="60"/>
                          <w:marBottom w:val="60"/>
                          <w:divBdr>
                            <w:top w:val="none" w:sz="0" w:space="0" w:color="auto"/>
                            <w:left w:val="none" w:sz="0" w:space="0" w:color="auto"/>
                            <w:bottom w:val="none" w:sz="0" w:space="0" w:color="auto"/>
                            <w:right w:val="none" w:sz="0" w:space="0" w:color="auto"/>
                          </w:divBdr>
                          <w:divsChild>
                            <w:div w:id="1079133172">
                              <w:marLeft w:val="0"/>
                              <w:marRight w:val="0"/>
                              <w:marTop w:val="0"/>
                              <w:marBottom w:val="0"/>
                              <w:divBdr>
                                <w:top w:val="none" w:sz="0" w:space="0" w:color="auto"/>
                                <w:left w:val="none" w:sz="0" w:space="0" w:color="auto"/>
                                <w:bottom w:val="none" w:sz="0" w:space="0" w:color="auto"/>
                                <w:right w:val="none" w:sz="0" w:space="0" w:color="auto"/>
                              </w:divBdr>
                              <w:divsChild>
                                <w:div w:id="578368477">
                                  <w:marLeft w:val="0"/>
                                  <w:marRight w:val="150"/>
                                  <w:marTop w:val="0"/>
                                  <w:marBottom w:val="0"/>
                                  <w:divBdr>
                                    <w:top w:val="none" w:sz="0" w:space="0" w:color="auto"/>
                                    <w:left w:val="none" w:sz="0" w:space="0" w:color="auto"/>
                                    <w:bottom w:val="none" w:sz="0" w:space="0" w:color="auto"/>
                                    <w:right w:val="none" w:sz="0" w:space="0" w:color="auto"/>
                                  </w:divBdr>
                                </w:div>
                                <w:div w:id="18585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2527">
                          <w:marLeft w:val="0"/>
                          <w:marRight w:val="90"/>
                          <w:marTop w:val="90"/>
                          <w:marBottom w:val="30"/>
                          <w:divBdr>
                            <w:top w:val="none" w:sz="0" w:space="0" w:color="auto"/>
                            <w:left w:val="none" w:sz="0" w:space="0" w:color="auto"/>
                            <w:bottom w:val="none" w:sz="0" w:space="0" w:color="auto"/>
                            <w:right w:val="none" w:sz="0" w:space="0" w:color="auto"/>
                          </w:divBdr>
                          <w:divsChild>
                            <w:div w:id="146090166">
                              <w:marLeft w:val="45"/>
                              <w:marRight w:val="0"/>
                              <w:marTop w:val="0"/>
                              <w:marBottom w:val="0"/>
                              <w:divBdr>
                                <w:top w:val="none" w:sz="0" w:space="0" w:color="auto"/>
                                <w:left w:val="none" w:sz="0" w:space="0" w:color="auto"/>
                                <w:bottom w:val="none" w:sz="0" w:space="0" w:color="auto"/>
                                <w:right w:val="none" w:sz="0" w:space="0" w:color="auto"/>
                              </w:divBdr>
                            </w:div>
                            <w:div w:id="1076318347">
                              <w:marLeft w:val="0"/>
                              <w:marRight w:val="30"/>
                              <w:marTop w:val="0"/>
                              <w:marBottom w:val="0"/>
                              <w:divBdr>
                                <w:top w:val="none" w:sz="0" w:space="0" w:color="auto"/>
                                <w:left w:val="none" w:sz="0" w:space="0" w:color="auto"/>
                                <w:bottom w:val="none" w:sz="0" w:space="0" w:color="auto"/>
                                <w:right w:val="none" w:sz="0" w:space="0" w:color="auto"/>
                              </w:divBdr>
                              <w:divsChild>
                                <w:div w:id="1668901684">
                                  <w:marLeft w:val="0"/>
                                  <w:marRight w:val="0"/>
                                  <w:marTop w:val="0"/>
                                  <w:marBottom w:val="0"/>
                                  <w:divBdr>
                                    <w:top w:val="none" w:sz="0" w:space="0" w:color="auto"/>
                                    <w:left w:val="none" w:sz="0" w:space="0" w:color="auto"/>
                                    <w:bottom w:val="none" w:sz="0" w:space="0" w:color="auto"/>
                                    <w:right w:val="none" w:sz="0" w:space="0" w:color="auto"/>
                                  </w:divBdr>
                                  <w:divsChild>
                                    <w:div w:id="763188466">
                                      <w:marLeft w:val="0"/>
                                      <w:marRight w:val="0"/>
                                      <w:marTop w:val="0"/>
                                      <w:marBottom w:val="0"/>
                                      <w:divBdr>
                                        <w:top w:val="none" w:sz="0" w:space="0" w:color="auto"/>
                                        <w:left w:val="none" w:sz="0" w:space="0" w:color="auto"/>
                                        <w:bottom w:val="none" w:sz="0" w:space="0" w:color="auto"/>
                                        <w:right w:val="none" w:sz="0" w:space="0" w:color="auto"/>
                                      </w:divBdr>
                                      <w:divsChild>
                                        <w:div w:id="8555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6821">
                              <w:marLeft w:val="0"/>
                              <w:marRight w:val="0"/>
                              <w:marTop w:val="0"/>
                              <w:marBottom w:val="0"/>
                              <w:divBdr>
                                <w:top w:val="none" w:sz="0" w:space="0" w:color="auto"/>
                                <w:left w:val="none" w:sz="0" w:space="0" w:color="auto"/>
                                <w:bottom w:val="none" w:sz="0" w:space="0" w:color="auto"/>
                                <w:right w:val="none" w:sz="0" w:space="0" w:color="auto"/>
                              </w:divBdr>
                              <w:divsChild>
                                <w:div w:id="37003959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45345">
      <w:bodyDiv w:val="1"/>
      <w:marLeft w:val="0"/>
      <w:marRight w:val="0"/>
      <w:marTop w:val="0"/>
      <w:marBottom w:val="0"/>
      <w:divBdr>
        <w:top w:val="none" w:sz="0" w:space="0" w:color="auto"/>
        <w:left w:val="none" w:sz="0" w:space="0" w:color="auto"/>
        <w:bottom w:val="none" w:sz="0" w:space="0" w:color="auto"/>
        <w:right w:val="none" w:sz="0" w:space="0" w:color="auto"/>
      </w:divBdr>
    </w:div>
    <w:div w:id="1851289075">
      <w:bodyDiv w:val="1"/>
      <w:marLeft w:val="0"/>
      <w:marRight w:val="0"/>
      <w:marTop w:val="0"/>
      <w:marBottom w:val="0"/>
      <w:divBdr>
        <w:top w:val="none" w:sz="0" w:space="0" w:color="auto"/>
        <w:left w:val="none" w:sz="0" w:space="0" w:color="auto"/>
        <w:bottom w:val="none" w:sz="0" w:space="0" w:color="auto"/>
        <w:right w:val="none" w:sz="0" w:space="0" w:color="auto"/>
      </w:divBdr>
      <w:divsChild>
        <w:div w:id="845287935">
          <w:marLeft w:val="0"/>
          <w:marRight w:val="0"/>
          <w:marTop w:val="0"/>
          <w:marBottom w:val="0"/>
          <w:divBdr>
            <w:top w:val="none" w:sz="0" w:space="0" w:color="auto"/>
            <w:left w:val="none" w:sz="0" w:space="0" w:color="auto"/>
            <w:bottom w:val="none" w:sz="0" w:space="0" w:color="auto"/>
            <w:right w:val="none" w:sz="0" w:space="0" w:color="auto"/>
          </w:divBdr>
          <w:divsChild>
            <w:div w:id="1701395291">
              <w:marLeft w:val="0"/>
              <w:marRight w:val="0"/>
              <w:marTop w:val="0"/>
              <w:marBottom w:val="0"/>
              <w:divBdr>
                <w:top w:val="none" w:sz="0" w:space="0" w:color="auto"/>
                <w:left w:val="none" w:sz="0" w:space="0" w:color="auto"/>
                <w:bottom w:val="none" w:sz="0" w:space="0" w:color="auto"/>
                <w:right w:val="none" w:sz="0" w:space="0" w:color="auto"/>
              </w:divBdr>
              <w:divsChild>
                <w:div w:id="286668840">
                  <w:marLeft w:val="0"/>
                  <w:marRight w:val="0"/>
                  <w:marTop w:val="0"/>
                  <w:marBottom w:val="0"/>
                  <w:divBdr>
                    <w:top w:val="none" w:sz="0" w:space="0" w:color="auto"/>
                    <w:left w:val="none" w:sz="0" w:space="0" w:color="auto"/>
                    <w:bottom w:val="none" w:sz="0" w:space="0" w:color="auto"/>
                    <w:right w:val="none" w:sz="0" w:space="0" w:color="auto"/>
                  </w:divBdr>
                  <w:divsChild>
                    <w:div w:id="186675755">
                      <w:marLeft w:val="30"/>
                      <w:marRight w:val="30"/>
                      <w:marTop w:val="0"/>
                      <w:marBottom w:val="0"/>
                      <w:divBdr>
                        <w:top w:val="none" w:sz="0" w:space="0" w:color="auto"/>
                        <w:left w:val="none" w:sz="0" w:space="0" w:color="auto"/>
                        <w:bottom w:val="none" w:sz="0" w:space="0" w:color="auto"/>
                        <w:right w:val="none" w:sz="0" w:space="0" w:color="auto"/>
                      </w:divBdr>
                      <w:divsChild>
                        <w:div w:id="278266832">
                          <w:marLeft w:val="135"/>
                          <w:marRight w:val="45"/>
                          <w:marTop w:val="60"/>
                          <w:marBottom w:val="60"/>
                          <w:divBdr>
                            <w:top w:val="none" w:sz="0" w:space="0" w:color="auto"/>
                            <w:left w:val="none" w:sz="0" w:space="0" w:color="auto"/>
                            <w:bottom w:val="none" w:sz="0" w:space="0" w:color="auto"/>
                            <w:right w:val="none" w:sz="0" w:space="0" w:color="auto"/>
                          </w:divBdr>
                          <w:divsChild>
                            <w:div w:id="1746564238">
                              <w:marLeft w:val="0"/>
                              <w:marRight w:val="0"/>
                              <w:marTop w:val="0"/>
                              <w:marBottom w:val="0"/>
                              <w:divBdr>
                                <w:top w:val="none" w:sz="0" w:space="0" w:color="auto"/>
                                <w:left w:val="none" w:sz="0" w:space="0" w:color="auto"/>
                                <w:bottom w:val="none" w:sz="0" w:space="0" w:color="auto"/>
                                <w:right w:val="none" w:sz="0" w:space="0" w:color="auto"/>
                              </w:divBdr>
                              <w:divsChild>
                                <w:div w:id="52777072">
                                  <w:marLeft w:val="0"/>
                                  <w:marRight w:val="0"/>
                                  <w:marTop w:val="0"/>
                                  <w:marBottom w:val="0"/>
                                  <w:divBdr>
                                    <w:top w:val="none" w:sz="0" w:space="0" w:color="auto"/>
                                    <w:left w:val="none" w:sz="0" w:space="0" w:color="auto"/>
                                    <w:bottom w:val="none" w:sz="0" w:space="0" w:color="auto"/>
                                    <w:right w:val="none" w:sz="0" w:space="0" w:color="auto"/>
                                  </w:divBdr>
                                </w:div>
                                <w:div w:id="19512794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51436355">
                          <w:marLeft w:val="0"/>
                          <w:marRight w:val="90"/>
                          <w:marTop w:val="90"/>
                          <w:marBottom w:val="30"/>
                          <w:divBdr>
                            <w:top w:val="none" w:sz="0" w:space="0" w:color="auto"/>
                            <w:left w:val="none" w:sz="0" w:space="0" w:color="auto"/>
                            <w:bottom w:val="none" w:sz="0" w:space="0" w:color="auto"/>
                            <w:right w:val="none" w:sz="0" w:space="0" w:color="auto"/>
                          </w:divBdr>
                          <w:divsChild>
                            <w:div w:id="884877070">
                              <w:marLeft w:val="0"/>
                              <w:marRight w:val="30"/>
                              <w:marTop w:val="0"/>
                              <w:marBottom w:val="0"/>
                              <w:divBdr>
                                <w:top w:val="none" w:sz="0" w:space="0" w:color="auto"/>
                                <w:left w:val="none" w:sz="0" w:space="0" w:color="auto"/>
                                <w:bottom w:val="none" w:sz="0" w:space="0" w:color="auto"/>
                                <w:right w:val="none" w:sz="0" w:space="0" w:color="auto"/>
                              </w:divBdr>
                              <w:divsChild>
                                <w:div w:id="1607497678">
                                  <w:marLeft w:val="0"/>
                                  <w:marRight w:val="0"/>
                                  <w:marTop w:val="0"/>
                                  <w:marBottom w:val="0"/>
                                  <w:divBdr>
                                    <w:top w:val="none" w:sz="0" w:space="0" w:color="auto"/>
                                    <w:left w:val="none" w:sz="0" w:space="0" w:color="auto"/>
                                    <w:bottom w:val="none" w:sz="0" w:space="0" w:color="auto"/>
                                    <w:right w:val="none" w:sz="0" w:space="0" w:color="auto"/>
                                  </w:divBdr>
                                  <w:divsChild>
                                    <w:div w:id="1824618717">
                                      <w:marLeft w:val="0"/>
                                      <w:marRight w:val="0"/>
                                      <w:marTop w:val="0"/>
                                      <w:marBottom w:val="0"/>
                                      <w:divBdr>
                                        <w:top w:val="none" w:sz="0" w:space="0" w:color="auto"/>
                                        <w:left w:val="none" w:sz="0" w:space="0" w:color="auto"/>
                                        <w:bottom w:val="none" w:sz="0" w:space="0" w:color="auto"/>
                                        <w:right w:val="none" w:sz="0" w:space="0" w:color="auto"/>
                                      </w:divBdr>
                                      <w:divsChild>
                                        <w:div w:id="6471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4843">
                              <w:marLeft w:val="45"/>
                              <w:marRight w:val="0"/>
                              <w:marTop w:val="0"/>
                              <w:marBottom w:val="0"/>
                              <w:divBdr>
                                <w:top w:val="none" w:sz="0" w:space="0" w:color="auto"/>
                                <w:left w:val="none" w:sz="0" w:space="0" w:color="auto"/>
                                <w:bottom w:val="none" w:sz="0" w:space="0" w:color="auto"/>
                                <w:right w:val="none" w:sz="0" w:space="0" w:color="auto"/>
                              </w:divBdr>
                            </w:div>
                            <w:div w:id="1782845332">
                              <w:marLeft w:val="0"/>
                              <w:marRight w:val="0"/>
                              <w:marTop w:val="0"/>
                              <w:marBottom w:val="0"/>
                              <w:divBdr>
                                <w:top w:val="none" w:sz="0" w:space="0" w:color="auto"/>
                                <w:left w:val="none" w:sz="0" w:space="0" w:color="auto"/>
                                <w:bottom w:val="none" w:sz="0" w:space="0" w:color="auto"/>
                                <w:right w:val="none" w:sz="0" w:space="0" w:color="auto"/>
                              </w:divBdr>
                              <w:divsChild>
                                <w:div w:id="117880763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009911762">
                      <w:marLeft w:val="30"/>
                      <w:marRight w:val="30"/>
                      <w:marTop w:val="0"/>
                      <w:marBottom w:val="0"/>
                      <w:divBdr>
                        <w:top w:val="none" w:sz="0" w:space="0" w:color="auto"/>
                        <w:left w:val="none" w:sz="0" w:space="0" w:color="auto"/>
                        <w:bottom w:val="none" w:sz="0" w:space="0" w:color="auto"/>
                        <w:right w:val="none" w:sz="0" w:space="0" w:color="auto"/>
                      </w:divBdr>
                      <w:divsChild>
                        <w:div w:id="747654915">
                          <w:marLeft w:val="180"/>
                          <w:marRight w:val="210"/>
                          <w:marTop w:val="0"/>
                          <w:marBottom w:val="30"/>
                          <w:divBdr>
                            <w:top w:val="none" w:sz="0" w:space="0" w:color="auto"/>
                            <w:left w:val="none" w:sz="0" w:space="0" w:color="auto"/>
                            <w:bottom w:val="none" w:sz="0" w:space="0" w:color="auto"/>
                            <w:right w:val="none" w:sz="0" w:space="0" w:color="auto"/>
                          </w:divBdr>
                          <w:divsChild>
                            <w:div w:id="222788788">
                              <w:marLeft w:val="45"/>
                              <w:marRight w:val="0"/>
                              <w:marTop w:val="0"/>
                              <w:marBottom w:val="0"/>
                              <w:divBdr>
                                <w:top w:val="none" w:sz="0" w:space="0" w:color="auto"/>
                                <w:left w:val="none" w:sz="0" w:space="0" w:color="auto"/>
                                <w:bottom w:val="none" w:sz="0" w:space="0" w:color="auto"/>
                                <w:right w:val="none" w:sz="0" w:space="0" w:color="auto"/>
                              </w:divBdr>
                            </w:div>
                            <w:div w:id="945651031">
                              <w:marLeft w:val="0"/>
                              <w:marRight w:val="30"/>
                              <w:marTop w:val="0"/>
                              <w:marBottom w:val="0"/>
                              <w:divBdr>
                                <w:top w:val="none" w:sz="0" w:space="0" w:color="auto"/>
                                <w:left w:val="none" w:sz="0" w:space="0" w:color="auto"/>
                                <w:bottom w:val="none" w:sz="0" w:space="0" w:color="auto"/>
                                <w:right w:val="none" w:sz="0" w:space="0" w:color="auto"/>
                              </w:divBdr>
                              <w:divsChild>
                                <w:div w:id="310404304">
                                  <w:marLeft w:val="0"/>
                                  <w:marRight w:val="0"/>
                                  <w:marTop w:val="0"/>
                                  <w:marBottom w:val="0"/>
                                  <w:divBdr>
                                    <w:top w:val="none" w:sz="0" w:space="0" w:color="auto"/>
                                    <w:left w:val="none" w:sz="0" w:space="0" w:color="auto"/>
                                    <w:bottom w:val="none" w:sz="0" w:space="0" w:color="auto"/>
                                    <w:right w:val="none" w:sz="0" w:space="0" w:color="auto"/>
                                  </w:divBdr>
                                  <w:divsChild>
                                    <w:div w:id="297075249">
                                      <w:marLeft w:val="0"/>
                                      <w:marRight w:val="0"/>
                                      <w:marTop w:val="0"/>
                                      <w:marBottom w:val="0"/>
                                      <w:divBdr>
                                        <w:top w:val="none" w:sz="0" w:space="0" w:color="auto"/>
                                        <w:left w:val="none" w:sz="0" w:space="0" w:color="auto"/>
                                        <w:bottom w:val="none" w:sz="0" w:space="0" w:color="auto"/>
                                        <w:right w:val="none" w:sz="0" w:space="0" w:color="auto"/>
                                      </w:divBdr>
                                      <w:divsChild>
                                        <w:div w:id="15060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101498">
          <w:marLeft w:val="0"/>
          <w:marRight w:val="0"/>
          <w:marTop w:val="0"/>
          <w:marBottom w:val="0"/>
          <w:divBdr>
            <w:top w:val="none" w:sz="0" w:space="0" w:color="auto"/>
            <w:left w:val="none" w:sz="0" w:space="0" w:color="auto"/>
            <w:bottom w:val="none" w:sz="0" w:space="0" w:color="auto"/>
            <w:right w:val="none" w:sz="0" w:space="0" w:color="auto"/>
          </w:divBdr>
          <w:divsChild>
            <w:div w:id="1133327296">
              <w:marLeft w:val="210"/>
              <w:marRight w:val="0"/>
              <w:marTop w:val="120"/>
              <w:marBottom w:val="0"/>
              <w:divBdr>
                <w:top w:val="none" w:sz="0" w:space="0" w:color="auto"/>
                <w:left w:val="none" w:sz="0" w:space="0" w:color="auto"/>
                <w:bottom w:val="none" w:sz="0" w:space="0" w:color="auto"/>
                <w:right w:val="none" w:sz="0" w:space="0" w:color="auto"/>
              </w:divBdr>
              <w:divsChild>
                <w:div w:id="1421290040">
                  <w:marLeft w:val="0"/>
                  <w:marRight w:val="0"/>
                  <w:marTop w:val="0"/>
                  <w:marBottom w:val="0"/>
                  <w:divBdr>
                    <w:top w:val="none" w:sz="0" w:space="0" w:color="auto"/>
                    <w:left w:val="none" w:sz="0" w:space="0" w:color="auto"/>
                    <w:bottom w:val="none" w:sz="0" w:space="0" w:color="auto"/>
                    <w:right w:val="none" w:sz="0" w:space="0" w:color="auto"/>
                  </w:divBdr>
                  <w:divsChild>
                    <w:div w:id="66810106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856117530">
      <w:bodyDiv w:val="1"/>
      <w:marLeft w:val="0"/>
      <w:marRight w:val="0"/>
      <w:marTop w:val="0"/>
      <w:marBottom w:val="0"/>
      <w:divBdr>
        <w:top w:val="none" w:sz="0" w:space="0" w:color="auto"/>
        <w:left w:val="none" w:sz="0" w:space="0" w:color="auto"/>
        <w:bottom w:val="none" w:sz="0" w:space="0" w:color="auto"/>
        <w:right w:val="none" w:sz="0" w:space="0" w:color="auto"/>
      </w:divBdr>
      <w:divsChild>
        <w:div w:id="577204905">
          <w:marLeft w:val="0"/>
          <w:marRight w:val="0"/>
          <w:marTop w:val="0"/>
          <w:marBottom w:val="0"/>
          <w:divBdr>
            <w:top w:val="none" w:sz="0" w:space="0" w:color="auto"/>
            <w:left w:val="none" w:sz="0" w:space="0" w:color="auto"/>
            <w:bottom w:val="none" w:sz="0" w:space="0" w:color="auto"/>
            <w:right w:val="none" w:sz="0" w:space="0" w:color="auto"/>
          </w:divBdr>
          <w:divsChild>
            <w:div w:id="1450246161">
              <w:marLeft w:val="0"/>
              <w:marRight w:val="0"/>
              <w:marTop w:val="0"/>
              <w:marBottom w:val="0"/>
              <w:divBdr>
                <w:top w:val="none" w:sz="0" w:space="0" w:color="auto"/>
                <w:left w:val="none" w:sz="0" w:space="0" w:color="auto"/>
                <w:bottom w:val="none" w:sz="0" w:space="0" w:color="auto"/>
                <w:right w:val="none" w:sz="0" w:space="0" w:color="auto"/>
              </w:divBdr>
              <w:divsChild>
                <w:div w:id="1979913116">
                  <w:marLeft w:val="0"/>
                  <w:marRight w:val="0"/>
                  <w:marTop w:val="0"/>
                  <w:marBottom w:val="0"/>
                  <w:divBdr>
                    <w:top w:val="none" w:sz="0" w:space="0" w:color="auto"/>
                    <w:left w:val="none" w:sz="0" w:space="0" w:color="auto"/>
                    <w:bottom w:val="none" w:sz="0" w:space="0" w:color="auto"/>
                    <w:right w:val="none" w:sz="0" w:space="0" w:color="auto"/>
                  </w:divBdr>
                  <w:divsChild>
                    <w:div w:id="11301091">
                      <w:marLeft w:val="30"/>
                      <w:marRight w:val="30"/>
                      <w:marTop w:val="0"/>
                      <w:marBottom w:val="0"/>
                      <w:divBdr>
                        <w:top w:val="none" w:sz="0" w:space="0" w:color="auto"/>
                        <w:left w:val="none" w:sz="0" w:space="0" w:color="auto"/>
                        <w:bottom w:val="none" w:sz="0" w:space="0" w:color="auto"/>
                        <w:right w:val="none" w:sz="0" w:space="0" w:color="auto"/>
                      </w:divBdr>
                      <w:divsChild>
                        <w:div w:id="694425677">
                          <w:marLeft w:val="135"/>
                          <w:marRight w:val="45"/>
                          <w:marTop w:val="60"/>
                          <w:marBottom w:val="60"/>
                          <w:divBdr>
                            <w:top w:val="none" w:sz="0" w:space="0" w:color="auto"/>
                            <w:left w:val="none" w:sz="0" w:space="0" w:color="auto"/>
                            <w:bottom w:val="none" w:sz="0" w:space="0" w:color="auto"/>
                            <w:right w:val="none" w:sz="0" w:space="0" w:color="auto"/>
                          </w:divBdr>
                          <w:divsChild>
                            <w:div w:id="689722458">
                              <w:marLeft w:val="0"/>
                              <w:marRight w:val="0"/>
                              <w:marTop w:val="0"/>
                              <w:marBottom w:val="0"/>
                              <w:divBdr>
                                <w:top w:val="none" w:sz="0" w:space="0" w:color="auto"/>
                                <w:left w:val="none" w:sz="0" w:space="0" w:color="auto"/>
                                <w:bottom w:val="none" w:sz="0" w:space="0" w:color="auto"/>
                                <w:right w:val="none" w:sz="0" w:space="0" w:color="auto"/>
                              </w:divBdr>
                              <w:divsChild>
                                <w:div w:id="1029723998">
                                  <w:marLeft w:val="0"/>
                                  <w:marRight w:val="0"/>
                                  <w:marTop w:val="0"/>
                                  <w:marBottom w:val="0"/>
                                  <w:divBdr>
                                    <w:top w:val="none" w:sz="0" w:space="0" w:color="auto"/>
                                    <w:left w:val="none" w:sz="0" w:space="0" w:color="auto"/>
                                    <w:bottom w:val="none" w:sz="0" w:space="0" w:color="auto"/>
                                    <w:right w:val="none" w:sz="0" w:space="0" w:color="auto"/>
                                  </w:divBdr>
                                </w:div>
                                <w:div w:id="14719434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7361553">
                          <w:marLeft w:val="0"/>
                          <w:marRight w:val="90"/>
                          <w:marTop w:val="90"/>
                          <w:marBottom w:val="30"/>
                          <w:divBdr>
                            <w:top w:val="none" w:sz="0" w:space="0" w:color="auto"/>
                            <w:left w:val="none" w:sz="0" w:space="0" w:color="auto"/>
                            <w:bottom w:val="none" w:sz="0" w:space="0" w:color="auto"/>
                            <w:right w:val="none" w:sz="0" w:space="0" w:color="auto"/>
                          </w:divBdr>
                          <w:divsChild>
                            <w:div w:id="168568686">
                              <w:marLeft w:val="45"/>
                              <w:marRight w:val="0"/>
                              <w:marTop w:val="0"/>
                              <w:marBottom w:val="0"/>
                              <w:divBdr>
                                <w:top w:val="none" w:sz="0" w:space="0" w:color="auto"/>
                                <w:left w:val="none" w:sz="0" w:space="0" w:color="auto"/>
                                <w:bottom w:val="none" w:sz="0" w:space="0" w:color="auto"/>
                                <w:right w:val="none" w:sz="0" w:space="0" w:color="auto"/>
                              </w:divBdr>
                            </w:div>
                            <w:div w:id="998195718">
                              <w:marLeft w:val="0"/>
                              <w:marRight w:val="30"/>
                              <w:marTop w:val="0"/>
                              <w:marBottom w:val="0"/>
                              <w:divBdr>
                                <w:top w:val="none" w:sz="0" w:space="0" w:color="auto"/>
                                <w:left w:val="none" w:sz="0" w:space="0" w:color="auto"/>
                                <w:bottom w:val="none" w:sz="0" w:space="0" w:color="auto"/>
                                <w:right w:val="none" w:sz="0" w:space="0" w:color="auto"/>
                              </w:divBdr>
                              <w:divsChild>
                                <w:div w:id="751970752">
                                  <w:marLeft w:val="0"/>
                                  <w:marRight w:val="0"/>
                                  <w:marTop w:val="0"/>
                                  <w:marBottom w:val="0"/>
                                  <w:divBdr>
                                    <w:top w:val="none" w:sz="0" w:space="0" w:color="auto"/>
                                    <w:left w:val="none" w:sz="0" w:space="0" w:color="auto"/>
                                    <w:bottom w:val="none" w:sz="0" w:space="0" w:color="auto"/>
                                    <w:right w:val="none" w:sz="0" w:space="0" w:color="auto"/>
                                  </w:divBdr>
                                  <w:divsChild>
                                    <w:div w:id="1795246340">
                                      <w:marLeft w:val="0"/>
                                      <w:marRight w:val="0"/>
                                      <w:marTop w:val="0"/>
                                      <w:marBottom w:val="0"/>
                                      <w:divBdr>
                                        <w:top w:val="none" w:sz="0" w:space="0" w:color="auto"/>
                                        <w:left w:val="none" w:sz="0" w:space="0" w:color="auto"/>
                                        <w:bottom w:val="none" w:sz="0" w:space="0" w:color="auto"/>
                                        <w:right w:val="none" w:sz="0" w:space="0" w:color="auto"/>
                                      </w:divBdr>
                                      <w:divsChild>
                                        <w:div w:id="1805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7251">
                              <w:marLeft w:val="0"/>
                              <w:marRight w:val="0"/>
                              <w:marTop w:val="0"/>
                              <w:marBottom w:val="0"/>
                              <w:divBdr>
                                <w:top w:val="none" w:sz="0" w:space="0" w:color="auto"/>
                                <w:left w:val="none" w:sz="0" w:space="0" w:color="auto"/>
                                <w:bottom w:val="none" w:sz="0" w:space="0" w:color="auto"/>
                                <w:right w:val="none" w:sz="0" w:space="0" w:color="auto"/>
                              </w:divBdr>
                              <w:divsChild>
                                <w:div w:id="145124085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361172881">
                      <w:marLeft w:val="30"/>
                      <w:marRight w:val="30"/>
                      <w:marTop w:val="0"/>
                      <w:marBottom w:val="0"/>
                      <w:divBdr>
                        <w:top w:val="none" w:sz="0" w:space="0" w:color="auto"/>
                        <w:left w:val="none" w:sz="0" w:space="0" w:color="auto"/>
                        <w:bottom w:val="none" w:sz="0" w:space="0" w:color="auto"/>
                        <w:right w:val="none" w:sz="0" w:space="0" w:color="auto"/>
                      </w:divBdr>
                      <w:divsChild>
                        <w:div w:id="1591817907">
                          <w:marLeft w:val="180"/>
                          <w:marRight w:val="210"/>
                          <w:marTop w:val="0"/>
                          <w:marBottom w:val="30"/>
                          <w:divBdr>
                            <w:top w:val="none" w:sz="0" w:space="0" w:color="auto"/>
                            <w:left w:val="none" w:sz="0" w:space="0" w:color="auto"/>
                            <w:bottom w:val="none" w:sz="0" w:space="0" w:color="auto"/>
                            <w:right w:val="none" w:sz="0" w:space="0" w:color="auto"/>
                          </w:divBdr>
                          <w:divsChild>
                            <w:div w:id="698318825">
                              <w:marLeft w:val="0"/>
                              <w:marRight w:val="30"/>
                              <w:marTop w:val="0"/>
                              <w:marBottom w:val="0"/>
                              <w:divBdr>
                                <w:top w:val="none" w:sz="0" w:space="0" w:color="auto"/>
                                <w:left w:val="none" w:sz="0" w:space="0" w:color="auto"/>
                                <w:bottom w:val="none" w:sz="0" w:space="0" w:color="auto"/>
                                <w:right w:val="none" w:sz="0" w:space="0" w:color="auto"/>
                              </w:divBdr>
                              <w:divsChild>
                                <w:div w:id="2092047546">
                                  <w:marLeft w:val="0"/>
                                  <w:marRight w:val="0"/>
                                  <w:marTop w:val="0"/>
                                  <w:marBottom w:val="0"/>
                                  <w:divBdr>
                                    <w:top w:val="none" w:sz="0" w:space="0" w:color="auto"/>
                                    <w:left w:val="none" w:sz="0" w:space="0" w:color="auto"/>
                                    <w:bottom w:val="none" w:sz="0" w:space="0" w:color="auto"/>
                                    <w:right w:val="none" w:sz="0" w:space="0" w:color="auto"/>
                                  </w:divBdr>
                                  <w:divsChild>
                                    <w:div w:id="1114053974">
                                      <w:marLeft w:val="0"/>
                                      <w:marRight w:val="0"/>
                                      <w:marTop w:val="0"/>
                                      <w:marBottom w:val="0"/>
                                      <w:divBdr>
                                        <w:top w:val="none" w:sz="0" w:space="0" w:color="auto"/>
                                        <w:left w:val="none" w:sz="0" w:space="0" w:color="auto"/>
                                        <w:bottom w:val="none" w:sz="0" w:space="0" w:color="auto"/>
                                        <w:right w:val="none" w:sz="0" w:space="0" w:color="auto"/>
                                      </w:divBdr>
                                      <w:divsChild>
                                        <w:div w:id="1179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75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63888410">
                      <w:marLeft w:val="30"/>
                      <w:marRight w:val="30"/>
                      <w:marTop w:val="0"/>
                      <w:marBottom w:val="0"/>
                      <w:divBdr>
                        <w:top w:val="none" w:sz="0" w:space="0" w:color="auto"/>
                        <w:left w:val="none" w:sz="0" w:space="0" w:color="auto"/>
                        <w:bottom w:val="none" w:sz="0" w:space="0" w:color="auto"/>
                        <w:right w:val="none" w:sz="0" w:space="0" w:color="auto"/>
                      </w:divBdr>
                      <w:divsChild>
                        <w:div w:id="212931867">
                          <w:marLeft w:val="135"/>
                          <w:marRight w:val="45"/>
                          <w:marTop w:val="60"/>
                          <w:marBottom w:val="60"/>
                          <w:divBdr>
                            <w:top w:val="none" w:sz="0" w:space="0" w:color="auto"/>
                            <w:left w:val="none" w:sz="0" w:space="0" w:color="auto"/>
                            <w:bottom w:val="none" w:sz="0" w:space="0" w:color="auto"/>
                            <w:right w:val="none" w:sz="0" w:space="0" w:color="auto"/>
                          </w:divBdr>
                          <w:divsChild>
                            <w:div w:id="2046051830">
                              <w:marLeft w:val="0"/>
                              <w:marRight w:val="0"/>
                              <w:marTop w:val="0"/>
                              <w:marBottom w:val="0"/>
                              <w:divBdr>
                                <w:top w:val="none" w:sz="0" w:space="0" w:color="auto"/>
                                <w:left w:val="none" w:sz="0" w:space="0" w:color="auto"/>
                                <w:bottom w:val="none" w:sz="0" w:space="0" w:color="auto"/>
                                <w:right w:val="none" w:sz="0" w:space="0" w:color="auto"/>
                              </w:divBdr>
                              <w:divsChild>
                                <w:div w:id="802037532">
                                  <w:marLeft w:val="0"/>
                                  <w:marRight w:val="150"/>
                                  <w:marTop w:val="0"/>
                                  <w:marBottom w:val="0"/>
                                  <w:divBdr>
                                    <w:top w:val="none" w:sz="0" w:space="0" w:color="auto"/>
                                    <w:left w:val="none" w:sz="0" w:space="0" w:color="auto"/>
                                    <w:bottom w:val="none" w:sz="0" w:space="0" w:color="auto"/>
                                    <w:right w:val="none" w:sz="0" w:space="0" w:color="auto"/>
                                  </w:divBdr>
                                </w:div>
                                <w:div w:id="18098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9889">
                          <w:marLeft w:val="0"/>
                          <w:marRight w:val="90"/>
                          <w:marTop w:val="90"/>
                          <w:marBottom w:val="30"/>
                          <w:divBdr>
                            <w:top w:val="none" w:sz="0" w:space="0" w:color="auto"/>
                            <w:left w:val="none" w:sz="0" w:space="0" w:color="auto"/>
                            <w:bottom w:val="none" w:sz="0" w:space="0" w:color="auto"/>
                            <w:right w:val="none" w:sz="0" w:space="0" w:color="auto"/>
                          </w:divBdr>
                          <w:divsChild>
                            <w:div w:id="53091005">
                              <w:marLeft w:val="0"/>
                              <w:marRight w:val="0"/>
                              <w:marTop w:val="0"/>
                              <w:marBottom w:val="0"/>
                              <w:divBdr>
                                <w:top w:val="none" w:sz="0" w:space="0" w:color="auto"/>
                                <w:left w:val="none" w:sz="0" w:space="0" w:color="auto"/>
                                <w:bottom w:val="none" w:sz="0" w:space="0" w:color="auto"/>
                                <w:right w:val="none" w:sz="0" w:space="0" w:color="auto"/>
                              </w:divBdr>
                              <w:divsChild>
                                <w:div w:id="1308588060">
                                  <w:marLeft w:val="45"/>
                                  <w:marRight w:val="0"/>
                                  <w:marTop w:val="0"/>
                                  <w:marBottom w:val="15"/>
                                  <w:divBdr>
                                    <w:top w:val="none" w:sz="0" w:space="0" w:color="auto"/>
                                    <w:left w:val="none" w:sz="0" w:space="0" w:color="auto"/>
                                    <w:bottom w:val="none" w:sz="0" w:space="0" w:color="auto"/>
                                    <w:right w:val="none" w:sz="0" w:space="0" w:color="auto"/>
                                  </w:divBdr>
                                </w:div>
                              </w:divsChild>
                            </w:div>
                            <w:div w:id="738478757">
                              <w:marLeft w:val="45"/>
                              <w:marRight w:val="0"/>
                              <w:marTop w:val="0"/>
                              <w:marBottom w:val="0"/>
                              <w:divBdr>
                                <w:top w:val="none" w:sz="0" w:space="0" w:color="auto"/>
                                <w:left w:val="none" w:sz="0" w:space="0" w:color="auto"/>
                                <w:bottom w:val="none" w:sz="0" w:space="0" w:color="auto"/>
                                <w:right w:val="none" w:sz="0" w:space="0" w:color="auto"/>
                              </w:divBdr>
                            </w:div>
                            <w:div w:id="2131236907">
                              <w:marLeft w:val="0"/>
                              <w:marRight w:val="30"/>
                              <w:marTop w:val="0"/>
                              <w:marBottom w:val="0"/>
                              <w:divBdr>
                                <w:top w:val="none" w:sz="0" w:space="0" w:color="auto"/>
                                <w:left w:val="none" w:sz="0" w:space="0" w:color="auto"/>
                                <w:bottom w:val="none" w:sz="0" w:space="0" w:color="auto"/>
                                <w:right w:val="none" w:sz="0" w:space="0" w:color="auto"/>
                              </w:divBdr>
                              <w:divsChild>
                                <w:div w:id="875699392">
                                  <w:marLeft w:val="0"/>
                                  <w:marRight w:val="0"/>
                                  <w:marTop w:val="0"/>
                                  <w:marBottom w:val="0"/>
                                  <w:divBdr>
                                    <w:top w:val="none" w:sz="0" w:space="0" w:color="auto"/>
                                    <w:left w:val="none" w:sz="0" w:space="0" w:color="auto"/>
                                    <w:bottom w:val="none" w:sz="0" w:space="0" w:color="auto"/>
                                    <w:right w:val="none" w:sz="0" w:space="0" w:color="auto"/>
                                  </w:divBdr>
                                  <w:divsChild>
                                    <w:div w:id="1072511748">
                                      <w:marLeft w:val="0"/>
                                      <w:marRight w:val="0"/>
                                      <w:marTop w:val="0"/>
                                      <w:marBottom w:val="0"/>
                                      <w:divBdr>
                                        <w:top w:val="none" w:sz="0" w:space="0" w:color="auto"/>
                                        <w:left w:val="none" w:sz="0" w:space="0" w:color="auto"/>
                                        <w:bottom w:val="none" w:sz="0" w:space="0" w:color="auto"/>
                                        <w:right w:val="none" w:sz="0" w:space="0" w:color="auto"/>
                                      </w:divBdr>
                                      <w:divsChild>
                                        <w:div w:id="16282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806290">
          <w:marLeft w:val="0"/>
          <w:marRight w:val="0"/>
          <w:marTop w:val="0"/>
          <w:marBottom w:val="0"/>
          <w:divBdr>
            <w:top w:val="none" w:sz="0" w:space="0" w:color="auto"/>
            <w:left w:val="none" w:sz="0" w:space="0" w:color="auto"/>
            <w:bottom w:val="none" w:sz="0" w:space="0" w:color="auto"/>
            <w:right w:val="none" w:sz="0" w:space="0" w:color="auto"/>
          </w:divBdr>
          <w:divsChild>
            <w:div w:id="1931154672">
              <w:marLeft w:val="210"/>
              <w:marRight w:val="0"/>
              <w:marTop w:val="120"/>
              <w:marBottom w:val="0"/>
              <w:divBdr>
                <w:top w:val="none" w:sz="0" w:space="0" w:color="auto"/>
                <w:left w:val="none" w:sz="0" w:space="0" w:color="auto"/>
                <w:bottom w:val="none" w:sz="0" w:space="0" w:color="auto"/>
                <w:right w:val="none" w:sz="0" w:space="0" w:color="auto"/>
              </w:divBdr>
              <w:divsChild>
                <w:div w:id="503788741">
                  <w:marLeft w:val="0"/>
                  <w:marRight w:val="0"/>
                  <w:marTop w:val="0"/>
                  <w:marBottom w:val="0"/>
                  <w:divBdr>
                    <w:top w:val="none" w:sz="0" w:space="0" w:color="auto"/>
                    <w:left w:val="none" w:sz="0" w:space="0" w:color="auto"/>
                    <w:bottom w:val="none" w:sz="0" w:space="0" w:color="auto"/>
                    <w:right w:val="none" w:sz="0" w:space="0" w:color="auto"/>
                  </w:divBdr>
                  <w:divsChild>
                    <w:div w:id="41039495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860585848">
      <w:bodyDiv w:val="1"/>
      <w:marLeft w:val="0"/>
      <w:marRight w:val="0"/>
      <w:marTop w:val="0"/>
      <w:marBottom w:val="0"/>
      <w:divBdr>
        <w:top w:val="none" w:sz="0" w:space="0" w:color="auto"/>
        <w:left w:val="none" w:sz="0" w:space="0" w:color="auto"/>
        <w:bottom w:val="none" w:sz="0" w:space="0" w:color="auto"/>
        <w:right w:val="none" w:sz="0" w:space="0" w:color="auto"/>
      </w:divBdr>
      <w:divsChild>
        <w:div w:id="195848102">
          <w:marLeft w:val="0"/>
          <w:marRight w:val="0"/>
          <w:marTop w:val="0"/>
          <w:marBottom w:val="0"/>
          <w:divBdr>
            <w:top w:val="none" w:sz="0" w:space="0" w:color="auto"/>
            <w:left w:val="none" w:sz="0" w:space="0" w:color="auto"/>
            <w:bottom w:val="none" w:sz="0" w:space="0" w:color="auto"/>
            <w:right w:val="none" w:sz="0" w:space="0" w:color="auto"/>
          </w:divBdr>
          <w:divsChild>
            <w:div w:id="1936092388">
              <w:marLeft w:val="0"/>
              <w:marRight w:val="0"/>
              <w:marTop w:val="0"/>
              <w:marBottom w:val="0"/>
              <w:divBdr>
                <w:top w:val="none" w:sz="0" w:space="0" w:color="auto"/>
                <w:left w:val="none" w:sz="0" w:space="0" w:color="auto"/>
                <w:bottom w:val="none" w:sz="0" w:space="0" w:color="auto"/>
                <w:right w:val="none" w:sz="0" w:space="0" w:color="auto"/>
              </w:divBdr>
              <w:divsChild>
                <w:div w:id="1271819822">
                  <w:marLeft w:val="0"/>
                  <w:marRight w:val="0"/>
                  <w:marTop w:val="0"/>
                  <w:marBottom w:val="0"/>
                  <w:divBdr>
                    <w:top w:val="none" w:sz="0" w:space="0" w:color="auto"/>
                    <w:left w:val="none" w:sz="0" w:space="0" w:color="auto"/>
                    <w:bottom w:val="none" w:sz="0" w:space="0" w:color="auto"/>
                    <w:right w:val="none" w:sz="0" w:space="0" w:color="auto"/>
                  </w:divBdr>
                  <w:divsChild>
                    <w:div w:id="1190608956">
                      <w:marLeft w:val="30"/>
                      <w:marRight w:val="30"/>
                      <w:marTop w:val="0"/>
                      <w:marBottom w:val="0"/>
                      <w:divBdr>
                        <w:top w:val="none" w:sz="0" w:space="0" w:color="auto"/>
                        <w:left w:val="none" w:sz="0" w:space="0" w:color="auto"/>
                        <w:bottom w:val="none" w:sz="0" w:space="0" w:color="auto"/>
                        <w:right w:val="none" w:sz="0" w:space="0" w:color="auto"/>
                      </w:divBdr>
                      <w:divsChild>
                        <w:div w:id="129058746">
                          <w:marLeft w:val="135"/>
                          <w:marRight w:val="45"/>
                          <w:marTop w:val="60"/>
                          <w:marBottom w:val="60"/>
                          <w:divBdr>
                            <w:top w:val="none" w:sz="0" w:space="0" w:color="auto"/>
                            <w:left w:val="none" w:sz="0" w:space="0" w:color="auto"/>
                            <w:bottom w:val="none" w:sz="0" w:space="0" w:color="auto"/>
                            <w:right w:val="none" w:sz="0" w:space="0" w:color="auto"/>
                          </w:divBdr>
                          <w:divsChild>
                            <w:div w:id="1346636851">
                              <w:marLeft w:val="0"/>
                              <w:marRight w:val="0"/>
                              <w:marTop w:val="0"/>
                              <w:marBottom w:val="0"/>
                              <w:divBdr>
                                <w:top w:val="none" w:sz="0" w:space="0" w:color="auto"/>
                                <w:left w:val="none" w:sz="0" w:space="0" w:color="auto"/>
                                <w:bottom w:val="none" w:sz="0" w:space="0" w:color="auto"/>
                                <w:right w:val="none" w:sz="0" w:space="0" w:color="auto"/>
                              </w:divBdr>
                              <w:divsChild>
                                <w:div w:id="247425058">
                                  <w:marLeft w:val="0"/>
                                  <w:marRight w:val="0"/>
                                  <w:marTop w:val="0"/>
                                  <w:marBottom w:val="0"/>
                                  <w:divBdr>
                                    <w:top w:val="none" w:sz="0" w:space="0" w:color="auto"/>
                                    <w:left w:val="none" w:sz="0" w:space="0" w:color="auto"/>
                                    <w:bottom w:val="none" w:sz="0" w:space="0" w:color="auto"/>
                                    <w:right w:val="none" w:sz="0" w:space="0" w:color="auto"/>
                                  </w:divBdr>
                                </w:div>
                                <w:div w:id="3291450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82710262">
                          <w:marLeft w:val="0"/>
                          <w:marRight w:val="90"/>
                          <w:marTop w:val="90"/>
                          <w:marBottom w:val="30"/>
                          <w:divBdr>
                            <w:top w:val="none" w:sz="0" w:space="0" w:color="auto"/>
                            <w:left w:val="none" w:sz="0" w:space="0" w:color="auto"/>
                            <w:bottom w:val="none" w:sz="0" w:space="0" w:color="auto"/>
                            <w:right w:val="none" w:sz="0" w:space="0" w:color="auto"/>
                          </w:divBdr>
                          <w:divsChild>
                            <w:div w:id="1133064234">
                              <w:marLeft w:val="45"/>
                              <w:marRight w:val="0"/>
                              <w:marTop w:val="0"/>
                              <w:marBottom w:val="0"/>
                              <w:divBdr>
                                <w:top w:val="none" w:sz="0" w:space="0" w:color="auto"/>
                                <w:left w:val="none" w:sz="0" w:space="0" w:color="auto"/>
                                <w:bottom w:val="none" w:sz="0" w:space="0" w:color="auto"/>
                                <w:right w:val="none" w:sz="0" w:space="0" w:color="auto"/>
                              </w:divBdr>
                            </w:div>
                            <w:div w:id="1270552368">
                              <w:marLeft w:val="0"/>
                              <w:marRight w:val="0"/>
                              <w:marTop w:val="0"/>
                              <w:marBottom w:val="0"/>
                              <w:divBdr>
                                <w:top w:val="none" w:sz="0" w:space="0" w:color="auto"/>
                                <w:left w:val="none" w:sz="0" w:space="0" w:color="auto"/>
                                <w:bottom w:val="none" w:sz="0" w:space="0" w:color="auto"/>
                                <w:right w:val="none" w:sz="0" w:space="0" w:color="auto"/>
                              </w:divBdr>
                              <w:divsChild>
                                <w:div w:id="143008025">
                                  <w:marLeft w:val="0"/>
                                  <w:marRight w:val="0"/>
                                  <w:marTop w:val="0"/>
                                  <w:marBottom w:val="0"/>
                                  <w:divBdr>
                                    <w:top w:val="none" w:sz="0" w:space="0" w:color="auto"/>
                                    <w:left w:val="none" w:sz="0" w:space="0" w:color="auto"/>
                                    <w:bottom w:val="none" w:sz="0" w:space="0" w:color="auto"/>
                                    <w:right w:val="none" w:sz="0" w:space="0" w:color="auto"/>
                                  </w:divBdr>
                                  <w:divsChild>
                                    <w:div w:id="119912901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57580219">
                              <w:marLeft w:val="0"/>
                              <w:marRight w:val="30"/>
                              <w:marTop w:val="0"/>
                              <w:marBottom w:val="0"/>
                              <w:divBdr>
                                <w:top w:val="none" w:sz="0" w:space="0" w:color="auto"/>
                                <w:left w:val="none" w:sz="0" w:space="0" w:color="auto"/>
                                <w:bottom w:val="none" w:sz="0" w:space="0" w:color="auto"/>
                                <w:right w:val="none" w:sz="0" w:space="0" w:color="auto"/>
                              </w:divBdr>
                              <w:divsChild>
                                <w:div w:id="1880900095">
                                  <w:marLeft w:val="0"/>
                                  <w:marRight w:val="0"/>
                                  <w:marTop w:val="0"/>
                                  <w:marBottom w:val="0"/>
                                  <w:divBdr>
                                    <w:top w:val="none" w:sz="0" w:space="0" w:color="auto"/>
                                    <w:left w:val="none" w:sz="0" w:space="0" w:color="auto"/>
                                    <w:bottom w:val="none" w:sz="0" w:space="0" w:color="auto"/>
                                    <w:right w:val="none" w:sz="0" w:space="0" w:color="auto"/>
                                  </w:divBdr>
                                  <w:divsChild>
                                    <w:div w:id="1481145539">
                                      <w:marLeft w:val="0"/>
                                      <w:marRight w:val="0"/>
                                      <w:marTop w:val="0"/>
                                      <w:marBottom w:val="0"/>
                                      <w:divBdr>
                                        <w:top w:val="none" w:sz="0" w:space="0" w:color="auto"/>
                                        <w:left w:val="none" w:sz="0" w:space="0" w:color="auto"/>
                                        <w:bottom w:val="none" w:sz="0" w:space="0" w:color="auto"/>
                                        <w:right w:val="none" w:sz="0" w:space="0" w:color="auto"/>
                                      </w:divBdr>
                                      <w:divsChild>
                                        <w:div w:id="1377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29727">
                      <w:marLeft w:val="30"/>
                      <w:marRight w:val="30"/>
                      <w:marTop w:val="0"/>
                      <w:marBottom w:val="0"/>
                      <w:divBdr>
                        <w:top w:val="none" w:sz="0" w:space="0" w:color="auto"/>
                        <w:left w:val="none" w:sz="0" w:space="0" w:color="auto"/>
                        <w:bottom w:val="none" w:sz="0" w:space="0" w:color="auto"/>
                        <w:right w:val="none" w:sz="0" w:space="0" w:color="auto"/>
                      </w:divBdr>
                      <w:divsChild>
                        <w:div w:id="952521639">
                          <w:marLeft w:val="180"/>
                          <w:marRight w:val="210"/>
                          <w:marTop w:val="0"/>
                          <w:marBottom w:val="30"/>
                          <w:divBdr>
                            <w:top w:val="none" w:sz="0" w:space="0" w:color="auto"/>
                            <w:left w:val="none" w:sz="0" w:space="0" w:color="auto"/>
                            <w:bottom w:val="none" w:sz="0" w:space="0" w:color="auto"/>
                            <w:right w:val="none" w:sz="0" w:space="0" w:color="auto"/>
                          </w:divBdr>
                          <w:divsChild>
                            <w:div w:id="56167486">
                              <w:marLeft w:val="0"/>
                              <w:marRight w:val="30"/>
                              <w:marTop w:val="0"/>
                              <w:marBottom w:val="0"/>
                              <w:divBdr>
                                <w:top w:val="none" w:sz="0" w:space="0" w:color="auto"/>
                                <w:left w:val="none" w:sz="0" w:space="0" w:color="auto"/>
                                <w:bottom w:val="none" w:sz="0" w:space="0" w:color="auto"/>
                                <w:right w:val="none" w:sz="0" w:space="0" w:color="auto"/>
                              </w:divBdr>
                              <w:divsChild>
                                <w:div w:id="1363701738">
                                  <w:marLeft w:val="0"/>
                                  <w:marRight w:val="0"/>
                                  <w:marTop w:val="0"/>
                                  <w:marBottom w:val="0"/>
                                  <w:divBdr>
                                    <w:top w:val="none" w:sz="0" w:space="0" w:color="auto"/>
                                    <w:left w:val="none" w:sz="0" w:space="0" w:color="auto"/>
                                    <w:bottom w:val="none" w:sz="0" w:space="0" w:color="auto"/>
                                    <w:right w:val="none" w:sz="0" w:space="0" w:color="auto"/>
                                  </w:divBdr>
                                  <w:divsChild>
                                    <w:div w:id="904534083">
                                      <w:marLeft w:val="0"/>
                                      <w:marRight w:val="0"/>
                                      <w:marTop w:val="0"/>
                                      <w:marBottom w:val="0"/>
                                      <w:divBdr>
                                        <w:top w:val="none" w:sz="0" w:space="0" w:color="auto"/>
                                        <w:left w:val="none" w:sz="0" w:space="0" w:color="auto"/>
                                        <w:bottom w:val="none" w:sz="0" w:space="0" w:color="auto"/>
                                        <w:right w:val="none" w:sz="0" w:space="0" w:color="auto"/>
                                      </w:divBdr>
                                      <w:divsChild>
                                        <w:div w:id="6019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82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435598">
          <w:marLeft w:val="0"/>
          <w:marRight w:val="0"/>
          <w:marTop w:val="0"/>
          <w:marBottom w:val="0"/>
          <w:divBdr>
            <w:top w:val="none" w:sz="0" w:space="0" w:color="auto"/>
            <w:left w:val="none" w:sz="0" w:space="0" w:color="auto"/>
            <w:bottom w:val="none" w:sz="0" w:space="0" w:color="auto"/>
            <w:right w:val="none" w:sz="0" w:space="0" w:color="auto"/>
          </w:divBdr>
          <w:divsChild>
            <w:div w:id="41558257">
              <w:marLeft w:val="210"/>
              <w:marRight w:val="0"/>
              <w:marTop w:val="120"/>
              <w:marBottom w:val="0"/>
              <w:divBdr>
                <w:top w:val="none" w:sz="0" w:space="0" w:color="auto"/>
                <w:left w:val="none" w:sz="0" w:space="0" w:color="auto"/>
                <w:bottom w:val="none" w:sz="0" w:space="0" w:color="auto"/>
                <w:right w:val="none" w:sz="0" w:space="0" w:color="auto"/>
              </w:divBdr>
              <w:divsChild>
                <w:div w:id="1870952263">
                  <w:marLeft w:val="0"/>
                  <w:marRight w:val="0"/>
                  <w:marTop w:val="0"/>
                  <w:marBottom w:val="0"/>
                  <w:divBdr>
                    <w:top w:val="none" w:sz="0" w:space="0" w:color="auto"/>
                    <w:left w:val="none" w:sz="0" w:space="0" w:color="auto"/>
                    <w:bottom w:val="none" w:sz="0" w:space="0" w:color="auto"/>
                    <w:right w:val="none" w:sz="0" w:space="0" w:color="auto"/>
                  </w:divBdr>
                  <w:divsChild>
                    <w:div w:id="111031978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862430976">
      <w:bodyDiv w:val="1"/>
      <w:marLeft w:val="0"/>
      <w:marRight w:val="0"/>
      <w:marTop w:val="0"/>
      <w:marBottom w:val="0"/>
      <w:divBdr>
        <w:top w:val="none" w:sz="0" w:space="0" w:color="auto"/>
        <w:left w:val="none" w:sz="0" w:space="0" w:color="auto"/>
        <w:bottom w:val="none" w:sz="0" w:space="0" w:color="auto"/>
        <w:right w:val="none" w:sz="0" w:space="0" w:color="auto"/>
      </w:divBdr>
    </w:div>
    <w:div w:id="1873423111">
      <w:bodyDiv w:val="1"/>
      <w:marLeft w:val="0"/>
      <w:marRight w:val="0"/>
      <w:marTop w:val="0"/>
      <w:marBottom w:val="0"/>
      <w:divBdr>
        <w:top w:val="none" w:sz="0" w:space="0" w:color="auto"/>
        <w:left w:val="none" w:sz="0" w:space="0" w:color="auto"/>
        <w:bottom w:val="none" w:sz="0" w:space="0" w:color="auto"/>
        <w:right w:val="none" w:sz="0" w:space="0" w:color="auto"/>
      </w:divBdr>
    </w:div>
    <w:div w:id="1878353701">
      <w:bodyDiv w:val="1"/>
      <w:marLeft w:val="0"/>
      <w:marRight w:val="0"/>
      <w:marTop w:val="0"/>
      <w:marBottom w:val="0"/>
      <w:divBdr>
        <w:top w:val="none" w:sz="0" w:space="0" w:color="auto"/>
        <w:left w:val="none" w:sz="0" w:space="0" w:color="auto"/>
        <w:bottom w:val="none" w:sz="0" w:space="0" w:color="auto"/>
        <w:right w:val="none" w:sz="0" w:space="0" w:color="auto"/>
      </w:divBdr>
    </w:div>
    <w:div w:id="1881085625">
      <w:bodyDiv w:val="1"/>
      <w:marLeft w:val="0"/>
      <w:marRight w:val="0"/>
      <w:marTop w:val="0"/>
      <w:marBottom w:val="0"/>
      <w:divBdr>
        <w:top w:val="none" w:sz="0" w:space="0" w:color="auto"/>
        <w:left w:val="none" w:sz="0" w:space="0" w:color="auto"/>
        <w:bottom w:val="none" w:sz="0" w:space="0" w:color="auto"/>
        <w:right w:val="none" w:sz="0" w:space="0" w:color="auto"/>
      </w:divBdr>
      <w:divsChild>
        <w:div w:id="767235059">
          <w:marLeft w:val="0"/>
          <w:marRight w:val="0"/>
          <w:marTop w:val="0"/>
          <w:marBottom w:val="0"/>
          <w:divBdr>
            <w:top w:val="none" w:sz="0" w:space="0" w:color="auto"/>
            <w:left w:val="none" w:sz="0" w:space="0" w:color="auto"/>
            <w:bottom w:val="none" w:sz="0" w:space="0" w:color="auto"/>
            <w:right w:val="none" w:sz="0" w:space="0" w:color="auto"/>
          </w:divBdr>
          <w:divsChild>
            <w:div w:id="928738549">
              <w:marLeft w:val="0"/>
              <w:marRight w:val="0"/>
              <w:marTop w:val="0"/>
              <w:marBottom w:val="0"/>
              <w:divBdr>
                <w:top w:val="none" w:sz="0" w:space="0" w:color="auto"/>
                <w:left w:val="none" w:sz="0" w:space="0" w:color="auto"/>
                <w:bottom w:val="none" w:sz="0" w:space="0" w:color="auto"/>
                <w:right w:val="none" w:sz="0" w:space="0" w:color="auto"/>
              </w:divBdr>
              <w:divsChild>
                <w:div w:id="2027638547">
                  <w:marLeft w:val="0"/>
                  <w:marRight w:val="0"/>
                  <w:marTop w:val="0"/>
                  <w:marBottom w:val="0"/>
                  <w:divBdr>
                    <w:top w:val="none" w:sz="0" w:space="0" w:color="auto"/>
                    <w:left w:val="none" w:sz="0" w:space="0" w:color="auto"/>
                    <w:bottom w:val="none" w:sz="0" w:space="0" w:color="auto"/>
                    <w:right w:val="none" w:sz="0" w:space="0" w:color="auto"/>
                  </w:divBdr>
                  <w:divsChild>
                    <w:div w:id="1883133781">
                      <w:marLeft w:val="30"/>
                      <w:marRight w:val="30"/>
                      <w:marTop w:val="0"/>
                      <w:marBottom w:val="0"/>
                      <w:divBdr>
                        <w:top w:val="none" w:sz="0" w:space="0" w:color="auto"/>
                        <w:left w:val="none" w:sz="0" w:space="0" w:color="auto"/>
                        <w:bottom w:val="none" w:sz="0" w:space="0" w:color="auto"/>
                        <w:right w:val="none" w:sz="0" w:space="0" w:color="auto"/>
                      </w:divBdr>
                      <w:divsChild>
                        <w:div w:id="2016373543">
                          <w:marLeft w:val="180"/>
                          <w:marRight w:val="210"/>
                          <w:marTop w:val="0"/>
                          <w:marBottom w:val="30"/>
                          <w:divBdr>
                            <w:top w:val="none" w:sz="0" w:space="0" w:color="auto"/>
                            <w:left w:val="none" w:sz="0" w:space="0" w:color="auto"/>
                            <w:bottom w:val="none" w:sz="0" w:space="0" w:color="auto"/>
                            <w:right w:val="none" w:sz="0" w:space="0" w:color="auto"/>
                          </w:divBdr>
                          <w:divsChild>
                            <w:div w:id="535970282">
                              <w:marLeft w:val="0"/>
                              <w:marRight w:val="30"/>
                              <w:marTop w:val="0"/>
                              <w:marBottom w:val="0"/>
                              <w:divBdr>
                                <w:top w:val="none" w:sz="0" w:space="0" w:color="auto"/>
                                <w:left w:val="none" w:sz="0" w:space="0" w:color="auto"/>
                                <w:bottom w:val="none" w:sz="0" w:space="0" w:color="auto"/>
                                <w:right w:val="none" w:sz="0" w:space="0" w:color="auto"/>
                              </w:divBdr>
                              <w:divsChild>
                                <w:div w:id="1603151488">
                                  <w:marLeft w:val="0"/>
                                  <w:marRight w:val="0"/>
                                  <w:marTop w:val="0"/>
                                  <w:marBottom w:val="0"/>
                                  <w:divBdr>
                                    <w:top w:val="none" w:sz="0" w:space="0" w:color="auto"/>
                                    <w:left w:val="none" w:sz="0" w:space="0" w:color="auto"/>
                                    <w:bottom w:val="none" w:sz="0" w:space="0" w:color="auto"/>
                                    <w:right w:val="none" w:sz="0" w:space="0" w:color="auto"/>
                                  </w:divBdr>
                                  <w:divsChild>
                                    <w:div w:id="1404838136">
                                      <w:marLeft w:val="0"/>
                                      <w:marRight w:val="0"/>
                                      <w:marTop w:val="0"/>
                                      <w:marBottom w:val="0"/>
                                      <w:divBdr>
                                        <w:top w:val="none" w:sz="0" w:space="0" w:color="auto"/>
                                        <w:left w:val="none" w:sz="0" w:space="0" w:color="auto"/>
                                        <w:bottom w:val="none" w:sz="0" w:space="0" w:color="auto"/>
                                        <w:right w:val="none" w:sz="0" w:space="0" w:color="auto"/>
                                      </w:divBdr>
                                      <w:divsChild>
                                        <w:div w:id="17675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73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8533">
          <w:marLeft w:val="0"/>
          <w:marRight w:val="0"/>
          <w:marTop w:val="0"/>
          <w:marBottom w:val="0"/>
          <w:divBdr>
            <w:top w:val="none" w:sz="0" w:space="0" w:color="auto"/>
            <w:left w:val="none" w:sz="0" w:space="0" w:color="auto"/>
            <w:bottom w:val="none" w:sz="0" w:space="0" w:color="auto"/>
            <w:right w:val="none" w:sz="0" w:space="0" w:color="auto"/>
          </w:divBdr>
          <w:divsChild>
            <w:div w:id="1038429639">
              <w:marLeft w:val="210"/>
              <w:marRight w:val="0"/>
              <w:marTop w:val="120"/>
              <w:marBottom w:val="0"/>
              <w:divBdr>
                <w:top w:val="none" w:sz="0" w:space="0" w:color="auto"/>
                <w:left w:val="none" w:sz="0" w:space="0" w:color="auto"/>
                <w:bottom w:val="none" w:sz="0" w:space="0" w:color="auto"/>
                <w:right w:val="none" w:sz="0" w:space="0" w:color="auto"/>
              </w:divBdr>
              <w:divsChild>
                <w:div w:id="1325544410">
                  <w:marLeft w:val="0"/>
                  <w:marRight w:val="0"/>
                  <w:marTop w:val="0"/>
                  <w:marBottom w:val="0"/>
                  <w:divBdr>
                    <w:top w:val="none" w:sz="0" w:space="0" w:color="auto"/>
                    <w:left w:val="none" w:sz="0" w:space="0" w:color="auto"/>
                    <w:bottom w:val="none" w:sz="0" w:space="0" w:color="auto"/>
                    <w:right w:val="none" w:sz="0" w:space="0" w:color="auto"/>
                  </w:divBdr>
                  <w:divsChild>
                    <w:div w:id="212811684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902911246">
      <w:bodyDiv w:val="1"/>
      <w:marLeft w:val="0"/>
      <w:marRight w:val="0"/>
      <w:marTop w:val="0"/>
      <w:marBottom w:val="0"/>
      <w:divBdr>
        <w:top w:val="none" w:sz="0" w:space="0" w:color="auto"/>
        <w:left w:val="none" w:sz="0" w:space="0" w:color="auto"/>
        <w:bottom w:val="none" w:sz="0" w:space="0" w:color="auto"/>
        <w:right w:val="none" w:sz="0" w:space="0" w:color="auto"/>
      </w:divBdr>
    </w:div>
    <w:div w:id="1918513002">
      <w:bodyDiv w:val="1"/>
      <w:marLeft w:val="0"/>
      <w:marRight w:val="0"/>
      <w:marTop w:val="0"/>
      <w:marBottom w:val="0"/>
      <w:divBdr>
        <w:top w:val="none" w:sz="0" w:space="0" w:color="auto"/>
        <w:left w:val="none" w:sz="0" w:space="0" w:color="auto"/>
        <w:bottom w:val="none" w:sz="0" w:space="0" w:color="auto"/>
        <w:right w:val="none" w:sz="0" w:space="0" w:color="auto"/>
      </w:divBdr>
    </w:div>
    <w:div w:id="1918712165">
      <w:bodyDiv w:val="1"/>
      <w:marLeft w:val="0"/>
      <w:marRight w:val="0"/>
      <w:marTop w:val="0"/>
      <w:marBottom w:val="0"/>
      <w:divBdr>
        <w:top w:val="none" w:sz="0" w:space="0" w:color="auto"/>
        <w:left w:val="none" w:sz="0" w:space="0" w:color="auto"/>
        <w:bottom w:val="none" w:sz="0" w:space="0" w:color="auto"/>
        <w:right w:val="none" w:sz="0" w:space="0" w:color="auto"/>
      </w:divBdr>
      <w:divsChild>
        <w:div w:id="978343001">
          <w:marLeft w:val="446"/>
          <w:marRight w:val="0"/>
          <w:marTop w:val="0"/>
          <w:marBottom w:val="0"/>
          <w:divBdr>
            <w:top w:val="none" w:sz="0" w:space="0" w:color="auto"/>
            <w:left w:val="none" w:sz="0" w:space="0" w:color="auto"/>
            <w:bottom w:val="none" w:sz="0" w:space="0" w:color="auto"/>
            <w:right w:val="none" w:sz="0" w:space="0" w:color="auto"/>
          </w:divBdr>
        </w:div>
        <w:div w:id="1335568206">
          <w:marLeft w:val="446"/>
          <w:marRight w:val="0"/>
          <w:marTop w:val="0"/>
          <w:marBottom w:val="0"/>
          <w:divBdr>
            <w:top w:val="none" w:sz="0" w:space="0" w:color="auto"/>
            <w:left w:val="none" w:sz="0" w:space="0" w:color="auto"/>
            <w:bottom w:val="none" w:sz="0" w:space="0" w:color="auto"/>
            <w:right w:val="none" w:sz="0" w:space="0" w:color="auto"/>
          </w:divBdr>
        </w:div>
        <w:div w:id="1797679204">
          <w:marLeft w:val="446"/>
          <w:marRight w:val="0"/>
          <w:marTop w:val="0"/>
          <w:marBottom w:val="0"/>
          <w:divBdr>
            <w:top w:val="none" w:sz="0" w:space="0" w:color="auto"/>
            <w:left w:val="none" w:sz="0" w:space="0" w:color="auto"/>
            <w:bottom w:val="none" w:sz="0" w:space="0" w:color="auto"/>
            <w:right w:val="none" w:sz="0" w:space="0" w:color="auto"/>
          </w:divBdr>
        </w:div>
      </w:divsChild>
    </w:div>
    <w:div w:id="1942105669">
      <w:bodyDiv w:val="1"/>
      <w:marLeft w:val="0"/>
      <w:marRight w:val="0"/>
      <w:marTop w:val="0"/>
      <w:marBottom w:val="0"/>
      <w:divBdr>
        <w:top w:val="none" w:sz="0" w:space="0" w:color="auto"/>
        <w:left w:val="none" w:sz="0" w:space="0" w:color="auto"/>
        <w:bottom w:val="none" w:sz="0" w:space="0" w:color="auto"/>
        <w:right w:val="none" w:sz="0" w:space="0" w:color="auto"/>
      </w:divBdr>
      <w:divsChild>
        <w:div w:id="1113748177">
          <w:marLeft w:val="0"/>
          <w:marRight w:val="0"/>
          <w:marTop w:val="0"/>
          <w:marBottom w:val="0"/>
          <w:divBdr>
            <w:top w:val="none" w:sz="0" w:space="0" w:color="auto"/>
            <w:left w:val="none" w:sz="0" w:space="0" w:color="auto"/>
            <w:bottom w:val="none" w:sz="0" w:space="0" w:color="auto"/>
            <w:right w:val="none" w:sz="0" w:space="0" w:color="auto"/>
          </w:divBdr>
          <w:divsChild>
            <w:div w:id="1286422417">
              <w:marLeft w:val="0"/>
              <w:marRight w:val="0"/>
              <w:marTop w:val="0"/>
              <w:marBottom w:val="0"/>
              <w:divBdr>
                <w:top w:val="none" w:sz="0" w:space="0" w:color="auto"/>
                <w:left w:val="none" w:sz="0" w:space="0" w:color="auto"/>
                <w:bottom w:val="none" w:sz="0" w:space="0" w:color="auto"/>
                <w:right w:val="none" w:sz="0" w:space="0" w:color="auto"/>
              </w:divBdr>
              <w:divsChild>
                <w:div w:id="287206746">
                  <w:marLeft w:val="0"/>
                  <w:marRight w:val="0"/>
                  <w:marTop w:val="0"/>
                  <w:marBottom w:val="0"/>
                  <w:divBdr>
                    <w:top w:val="none" w:sz="0" w:space="0" w:color="auto"/>
                    <w:left w:val="none" w:sz="0" w:space="0" w:color="auto"/>
                    <w:bottom w:val="none" w:sz="0" w:space="0" w:color="auto"/>
                    <w:right w:val="none" w:sz="0" w:space="0" w:color="auto"/>
                  </w:divBdr>
                  <w:divsChild>
                    <w:div w:id="2041586104">
                      <w:marLeft w:val="30"/>
                      <w:marRight w:val="30"/>
                      <w:marTop w:val="0"/>
                      <w:marBottom w:val="0"/>
                      <w:divBdr>
                        <w:top w:val="none" w:sz="0" w:space="0" w:color="auto"/>
                        <w:left w:val="none" w:sz="0" w:space="0" w:color="auto"/>
                        <w:bottom w:val="none" w:sz="0" w:space="0" w:color="auto"/>
                        <w:right w:val="none" w:sz="0" w:space="0" w:color="auto"/>
                      </w:divBdr>
                      <w:divsChild>
                        <w:div w:id="95442526">
                          <w:marLeft w:val="180"/>
                          <w:marRight w:val="210"/>
                          <w:marTop w:val="0"/>
                          <w:marBottom w:val="30"/>
                          <w:divBdr>
                            <w:top w:val="none" w:sz="0" w:space="0" w:color="auto"/>
                            <w:left w:val="none" w:sz="0" w:space="0" w:color="auto"/>
                            <w:bottom w:val="none" w:sz="0" w:space="0" w:color="auto"/>
                            <w:right w:val="none" w:sz="0" w:space="0" w:color="auto"/>
                          </w:divBdr>
                          <w:divsChild>
                            <w:div w:id="46271141">
                              <w:marLeft w:val="0"/>
                              <w:marRight w:val="30"/>
                              <w:marTop w:val="0"/>
                              <w:marBottom w:val="0"/>
                              <w:divBdr>
                                <w:top w:val="none" w:sz="0" w:space="0" w:color="auto"/>
                                <w:left w:val="none" w:sz="0" w:space="0" w:color="auto"/>
                                <w:bottom w:val="none" w:sz="0" w:space="0" w:color="auto"/>
                                <w:right w:val="none" w:sz="0" w:space="0" w:color="auto"/>
                              </w:divBdr>
                              <w:divsChild>
                                <w:div w:id="1178424399">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4896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75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99802">
          <w:marLeft w:val="0"/>
          <w:marRight w:val="0"/>
          <w:marTop w:val="0"/>
          <w:marBottom w:val="0"/>
          <w:divBdr>
            <w:top w:val="none" w:sz="0" w:space="0" w:color="auto"/>
            <w:left w:val="none" w:sz="0" w:space="0" w:color="auto"/>
            <w:bottom w:val="none" w:sz="0" w:space="0" w:color="auto"/>
            <w:right w:val="none" w:sz="0" w:space="0" w:color="auto"/>
          </w:divBdr>
          <w:divsChild>
            <w:div w:id="1250886051">
              <w:marLeft w:val="210"/>
              <w:marRight w:val="0"/>
              <w:marTop w:val="120"/>
              <w:marBottom w:val="0"/>
              <w:divBdr>
                <w:top w:val="none" w:sz="0" w:space="0" w:color="auto"/>
                <w:left w:val="none" w:sz="0" w:space="0" w:color="auto"/>
                <w:bottom w:val="none" w:sz="0" w:space="0" w:color="auto"/>
                <w:right w:val="none" w:sz="0" w:space="0" w:color="auto"/>
              </w:divBdr>
              <w:divsChild>
                <w:div w:id="20791606">
                  <w:marLeft w:val="0"/>
                  <w:marRight w:val="0"/>
                  <w:marTop w:val="0"/>
                  <w:marBottom w:val="0"/>
                  <w:divBdr>
                    <w:top w:val="none" w:sz="0" w:space="0" w:color="auto"/>
                    <w:left w:val="none" w:sz="0" w:space="0" w:color="auto"/>
                    <w:bottom w:val="none" w:sz="0" w:space="0" w:color="auto"/>
                    <w:right w:val="none" w:sz="0" w:space="0" w:color="auto"/>
                  </w:divBdr>
                  <w:divsChild>
                    <w:div w:id="180816278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944455546">
      <w:bodyDiv w:val="1"/>
      <w:marLeft w:val="0"/>
      <w:marRight w:val="0"/>
      <w:marTop w:val="0"/>
      <w:marBottom w:val="0"/>
      <w:divBdr>
        <w:top w:val="none" w:sz="0" w:space="0" w:color="auto"/>
        <w:left w:val="none" w:sz="0" w:space="0" w:color="auto"/>
        <w:bottom w:val="none" w:sz="0" w:space="0" w:color="auto"/>
        <w:right w:val="none" w:sz="0" w:space="0" w:color="auto"/>
      </w:divBdr>
    </w:div>
    <w:div w:id="1972712484">
      <w:bodyDiv w:val="1"/>
      <w:marLeft w:val="0"/>
      <w:marRight w:val="0"/>
      <w:marTop w:val="0"/>
      <w:marBottom w:val="0"/>
      <w:divBdr>
        <w:top w:val="none" w:sz="0" w:space="0" w:color="auto"/>
        <w:left w:val="none" w:sz="0" w:space="0" w:color="auto"/>
        <w:bottom w:val="none" w:sz="0" w:space="0" w:color="auto"/>
        <w:right w:val="none" w:sz="0" w:space="0" w:color="auto"/>
      </w:divBdr>
      <w:divsChild>
        <w:div w:id="309555588">
          <w:marLeft w:val="0"/>
          <w:marRight w:val="0"/>
          <w:marTop w:val="0"/>
          <w:marBottom w:val="0"/>
          <w:divBdr>
            <w:top w:val="none" w:sz="0" w:space="0" w:color="auto"/>
            <w:left w:val="none" w:sz="0" w:space="0" w:color="auto"/>
            <w:bottom w:val="none" w:sz="0" w:space="0" w:color="auto"/>
            <w:right w:val="none" w:sz="0" w:space="0" w:color="auto"/>
          </w:divBdr>
          <w:divsChild>
            <w:div w:id="215825910">
              <w:marLeft w:val="210"/>
              <w:marRight w:val="0"/>
              <w:marTop w:val="120"/>
              <w:marBottom w:val="0"/>
              <w:divBdr>
                <w:top w:val="none" w:sz="0" w:space="0" w:color="auto"/>
                <w:left w:val="none" w:sz="0" w:space="0" w:color="auto"/>
                <w:bottom w:val="none" w:sz="0" w:space="0" w:color="auto"/>
                <w:right w:val="none" w:sz="0" w:space="0" w:color="auto"/>
              </w:divBdr>
              <w:divsChild>
                <w:div w:id="1067417419">
                  <w:marLeft w:val="0"/>
                  <w:marRight w:val="0"/>
                  <w:marTop w:val="0"/>
                  <w:marBottom w:val="0"/>
                  <w:divBdr>
                    <w:top w:val="none" w:sz="0" w:space="0" w:color="auto"/>
                    <w:left w:val="none" w:sz="0" w:space="0" w:color="auto"/>
                    <w:bottom w:val="none" w:sz="0" w:space="0" w:color="auto"/>
                    <w:right w:val="none" w:sz="0" w:space="0" w:color="auto"/>
                  </w:divBdr>
                  <w:divsChild>
                    <w:div w:id="50262445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041172644">
          <w:marLeft w:val="0"/>
          <w:marRight w:val="0"/>
          <w:marTop w:val="0"/>
          <w:marBottom w:val="0"/>
          <w:divBdr>
            <w:top w:val="none" w:sz="0" w:space="0" w:color="auto"/>
            <w:left w:val="none" w:sz="0" w:space="0" w:color="auto"/>
            <w:bottom w:val="none" w:sz="0" w:space="0" w:color="auto"/>
            <w:right w:val="none" w:sz="0" w:space="0" w:color="auto"/>
          </w:divBdr>
          <w:divsChild>
            <w:div w:id="1744256950">
              <w:marLeft w:val="0"/>
              <w:marRight w:val="0"/>
              <w:marTop w:val="0"/>
              <w:marBottom w:val="0"/>
              <w:divBdr>
                <w:top w:val="none" w:sz="0" w:space="0" w:color="auto"/>
                <w:left w:val="none" w:sz="0" w:space="0" w:color="auto"/>
                <w:bottom w:val="none" w:sz="0" w:space="0" w:color="auto"/>
                <w:right w:val="none" w:sz="0" w:space="0" w:color="auto"/>
              </w:divBdr>
              <w:divsChild>
                <w:div w:id="1613396466">
                  <w:marLeft w:val="0"/>
                  <w:marRight w:val="0"/>
                  <w:marTop w:val="0"/>
                  <w:marBottom w:val="0"/>
                  <w:divBdr>
                    <w:top w:val="none" w:sz="0" w:space="0" w:color="auto"/>
                    <w:left w:val="none" w:sz="0" w:space="0" w:color="auto"/>
                    <w:bottom w:val="none" w:sz="0" w:space="0" w:color="auto"/>
                    <w:right w:val="none" w:sz="0" w:space="0" w:color="auto"/>
                  </w:divBdr>
                  <w:divsChild>
                    <w:div w:id="105583446">
                      <w:marLeft w:val="30"/>
                      <w:marRight w:val="30"/>
                      <w:marTop w:val="0"/>
                      <w:marBottom w:val="0"/>
                      <w:divBdr>
                        <w:top w:val="none" w:sz="0" w:space="0" w:color="auto"/>
                        <w:left w:val="none" w:sz="0" w:space="0" w:color="auto"/>
                        <w:bottom w:val="none" w:sz="0" w:space="0" w:color="auto"/>
                        <w:right w:val="none" w:sz="0" w:space="0" w:color="auto"/>
                      </w:divBdr>
                      <w:divsChild>
                        <w:div w:id="248662598">
                          <w:marLeft w:val="0"/>
                          <w:marRight w:val="90"/>
                          <w:marTop w:val="90"/>
                          <w:marBottom w:val="30"/>
                          <w:divBdr>
                            <w:top w:val="none" w:sz="0" w:space="0" w:color="auto"/>
                            <w:left w:val="none" w:sz="0" w:space="0" w:color="auto"/>
                            <w:bottom w:val="none" w:sz="0" w:space="0" w:color="auto"/>
                            <w:right w:val="none" w:sz="0" w:space="0" w:color="auto"/>
                          </w:divBdr>
                          <w:divsChild>
                            <w:div w:id="1207064846">
                              <w:marLeft w:val="45"/>
                              <w:marRight w:val="0"/>
                              <w:marTop w:val="0"/>
                              <w:marBottom w:val="0"/>
                              <w:divBdr>
                                <w:top w:val="none" w:sz="0" w:space="0" w:color="auto"/>
                                <w:left w:val="none" w:sz="0" w:space="0" w:color="auto"/>
                                <w:bottom w:val="none" w:sz="0" w:space="0" w:color="auto"/>
                                <w:right w:val="none" w:sz="0" w:space="0" w:color="auto"/>
                              </w:divBdr>
                            </w:div>
                            <w:div w:id="1291476276">
                              <w:marLeft w:val="0"/>
                              <w:marRight w:val="30"/>
                              <w:marTop w:val="0"/>
                              <w:marBottom w:val="0"/>
                              <w:divBdr>
                                <w:top w:val="none" w:sz="0" w:space="0" w:color="auto"/>
                                <w:left w:val="none" w:sz="0" w:space="0" w:color="auto"/>
                                <w:bottom w:val="none" w:sz="0" w:space="0" w:color="auto"/>
                                <w:right w:val="none" w:sz="0" w:space="0" w:color="auto"/>
                              </w:divBdr>
                              <w:divsChild>
                                <w:div w:id="52387588">
                                  <w:marLeft w:val="0"/>
                                  <w:marRight w:val="0"/>
                                  <w:marTop w:val="0"/>
                                  <w:marBottom w:val="0"/>
                                  <w:divBdr>
                                    <w:top w:val="none" w:sz="0" w:space="0" w:color="auto"/>
                                    <w:left w:val="none" w:sz="0" w:space="0" w:color="auto"/>
                                    <w:bottom w:val="none" w:sz="0" w:space="0" w:color="auto"/>
                                    <w:right w:val="none" w:sz="0" w:space="0" w:color="auto"/>
                                  </w:divBdr>
                                  <w:divsChild>
                                    <w:div w:id="805859816">
                                      <w:marLeft w:val="0"/>
                                      <w:marRight w:val="0"/>
                                      <w:marTop w:val="0"/>
                                      <w:marBottom w:val="0"/>
                                      <w:divBdr>
                                        <w:top w:val="none" w:sz="0" w:space="0" w:color="auto"/>
                                        <w:left w:val="none" w:sz="0" w:space="0" w:color="auto"/>
                                        <w:bottom w:val="none" w:sz="0" w:space="0" w:color="auto"/>
                                        <w:right w:val="none" w:sz="0" w:space="0" w:color="auto"/>
                                      </w:divBdr>
                                      <w:divsChild>
                                        <w:div w:id="11024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0018">
                              <w:marLeft w:val="0"/>
                              <w:marRight w:val="0"/>
                              <w:marTop w:val="0"/>
                              <w:marBottom w:val="0"/>
                              <w:divBdr>
                                <w:top w:val="none" w:sz="0" w:space="0" w:color="auto"/>
                                <w:left w:val="none" w:sz="0" w:space="0" w:color="auto"/>
                                <w:bottom w:val="none" w:sz="0" w:space="0" w:color="auto"/>
                                <w:right w:val="none" w:sz="0" w:space="0" w:color="auto"/>
                              </w:divBdr>
                              <w:divsChild>
                                <w:div w:id="196642780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82667886">
                          <w:marLeft w:val="135"/>
                          <w:marRight w:val="45"/>
                          <w:marTop w:val="60"/>
                          <w:marBottom w:val="60"/>
                          <w:divBdr>
                            <w:top w:val="none" w:sz="0" w:space="0" w:color="auto"/>
                            <w:left w:val="none" w:sz="0" w:space="0" w:color="auto"/>
                            <w:bottom w:val="none" w:sz="0" w:space="0" w:color="auto"/>
                            <w:right w:val="none" w:sz="0" w:space="0" w:color="auto"/>
                          </w:divBdr>
                          <w:divsChild>
                            <w:div w:id="58483421">
                              <w:marLeft w:val="0"/>
                              <w:marRight w:val="0"/>
                              <w:marTop w:val="0"/>
                              <w:marBottom w:val="0"/>
                              <w:divBdr>
                                <w:top w:val="none" w:sz="0" w:space="0" w:color="auto"/>
                                <w:left w:val="none" w:sz="0" w:space="0" w:color="auto"/>
                                <w:bottom w:val="none" w:sz="0" w:space="0" w:color="auto"/>
                                <w:right w:val="none" w:sz="0" w:space="0" w:color="auto"/>
                              </w:divBdr>
                              <w:divsChild>
                                <w:div w:id="17289950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8997395">
                      <w:marLeft w:val="30"/>
                      <w:marRight w:val="30"/>
                      <w:marTop w:val="0"/>
                      <w:marBottom w:val="0"/>
                      <w:divBdr>
                        <w:top w:val="none" w:sz="0" w:space="0" w:color="auto"/>
                        <w:left w:val="none" w:sz="0" w:space="0" w:color="auto"/>
                        <w:bottom w:val="none" w:sz="0" w:space="0" w:color="auto"/>
                        <w:right w:val="none" w:sz="0" w:space="0" w:color="auto"/>
                      </w:divBdr>
                      <w:divsChild>
                        <w:div w:id="176773527">
                          <w:marLeft w:val="180"/>
                          <w:marRight w:val="210"/>
                          <w:marTop w:val="0"/>
                          <w:marBottom w:val="30"/>
                          <w:divBdr>
                            <w:top w:val="none" w:sz="0" w:space="0" w:color="auto"/>
                            <w:left w:val="none" w:sz="0" w:space="0" w:color="auto"/>
                            <w:bottom w:val="none" w:sz="0" w:space="0" w:color="auto"/>
                            <w:right w:val="none" w:sz="0" w:space="0" w:color="auto"/>
                          </w:divBdr>
                          <w:divsChild>
                            <w:div w:id="1822651323">
                              <w:marLeft w:val="0"/>
                              <w:marRight w:val="30"/>
                              <w:marTop w:val="0"/>
                              <w:marBottom w:val="0"/>
                              <w:divBdr>
                                <w:top w:val="none" w:sz="0" w:space="0" w:color="auto"/>
                                <w:left w:val="none" w:sz="0" w:space="0" w:color="auto"/>
                                <w:bottom w:val="none" w:sz="0" w:space="0" w:color="auto"/>
                                <w:right w:val="none" w:sz="0" w:space="0" w:color="auto"/>
                              </w:divBdr>
                              <w:divsChild>
                                <w:div w:id="364330698">
                                  <w:marLeft w:val="0"/>
                                  <w:marRight w:val="0"/>
                                  <w:marTop w:val="0"/>
                                  <w:marBottom w:val="0"/>
                                  <w:divBdr>
                                    <w:top w:val="none" w:sz="0" w:space="0" w:color="auto"/>
                                    <w:left w:val="none" w:sz="0" w:space="0" w:color="auto"/>
                                    <w:bottom w:val="none" w:sz="0" w:space="0" w:color="auto"/>
                                    <w:right w:val="none" w:sz="0" w:space="0" w:color="auto"/>
                                  </w:divBdr>
                                  <w:divsChild>
                                    <w:div w:id="2102333241">
                                      <w:marLeft w:val="0"/>
                                      <w:marRight w:val="0"/>
                                      <w:marTop w:val="0"/>
                                      <w:marBottom w:val="0"/>
                                      <w:divBdr>
                                        <w:top w:val="none" w:sz="0" w:space="0" w:color="auto"/>
                                        <w:left w:val="none" w:sz="0" w:space="0" w:color="auto"/>
                                        <w:bottom w:val="none" w:sz="0" w:space="0" w:color="auto"/>
                                        <w:right w:val="none" w:sz="0" w:space="0" w:color="auto"/>
                                      </w:divBdr>
                                      <w:divsChild>
                                        <w:div w:id="18797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41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8732264">
                      <w:marLeft w:val="30"/>
                      <w:marRight w:val="30"/>
                      <w:marTop w:val="0"/>
                      <w:marBottom w:val="0"/>
                      <w:divBdr>
                        <w:top w:val="none" w:sz="0" w:space="0" w:color="auto"/>
                        <w:left w:val="none" w:sz="0" w:space="0" w:color="auto"/>
                        <w:bottom w:val="none" w:sz="0" w:space="0" w:color="auto"/>
                        <w:right w:val="none" w:sz="0" w:space="0" w:color="auto"/>
                      </w:divBdr>
                      <w:divsChild>
                        <w:div w:id="1098601140">
                          <w:marLeft w:val="0"/>
                          <w:marRight w:val="90"/>
                          <w:marTop w:val="90"/>
                          <w:marBottom w:val="30"/>
                          <w:divBdr>
                            <w:top w:val="none" w:sz="0" w:space="0" w:color="auto"/>
                            <w:left w:val="none" w:sz="0" w:space="0" w:color="auto"/>
                            <w:bottom w:val="none" w:sz="0" w:space="0" w:color="auto"/>
                            <w:right w:val="none" w:sz="0" w:space="0" w:color="auto"/>
                          </w:divBdr>
                          <w:divsChild>
                            <w:div w:id="1533499751">
                              <w:marLeft w:val="0"/>
                              <w:marRight w:val="30"/>
                              <w:marTop w:val="0"/>
                              <w:marBottom w:val="0"/>
                              <w:divBdr>
                                <w:top w:val="none" w:sz="0" w:space="0" w:color="auto"/>
                                <w:left w:val="none" w:sz="0" w:space="0" w:color="auto"/>
                                <w:bottom w:val="none" w:sz="0" w:space="0" w:color="auto"/>
                                <w:right w:val="none" w:sz="0" w:space="0" w:color="auto"/>
                              </w:divBdr>
                              <w:divsChild>
                                <w:div w:id="811948080">
                                  <w:marLeft w:val="0"/>
                                  <w:marRight w:val="0"/>
                                  <w:marTop w:val="0"/>
                                  <w:marBottom w:val="0"/>
                                  <w:divBdr>
                                    <w:top w:val="none" w:sz="0" w:space="0" w:color="auto"/>
                                    <w:left w:val="none" w:sz="0" w:space="0" w:color="auto"/>
                                    <w:bottom w:val="none" w:sz="0" w:space="0" w:color="auto"/>
                                    <w:right w:val="none" w:sz="0" w:space="0" w:color="auto"/>
                                  </w:divBdr>
                                  <w:divsChild>
                                    <w:div w:id="1430807894">
                                      <w:marLeft w:val="0"/>
                                      <w:marRight w:val="0"/>
                                      <w:marTop w:val="0"/>
                                      <w:marBottom w:val="0"/>
                                      <w:divBdr>
                                        <w:top w:val="none" w:sz="0" w:space="0" w:color="auto"/>
                                        <w:left w:val="none" w:sz="0" w:space="0" w:color="auto"/>
                                        <w:bottom w:val="none" w:sz="0" w:space="0" w:color="auto"/>
                                        <w:right w:val="none" w:sz="0" w:space="0" w:color="auto"/>
                                      </w:divBdr>
                                      <w:divsChild>
                                        <w:div w:id="5973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7647">
                              <w:marLeft w:val="0"/>
                              <w:marRight w:val="0"/>
                              <w:marTop w:val="0"/>
                              <w:marBottom w:val="0"/>
                              <w:divBdr>
                                <w:top w:val="none" w:sz="0" w:space="0" w:color="auto"/>
                                <w:left w:val="none" w:sz="0" w:space="0" w:color="auto"/>
                                <w:bottom w:val="none" w:sz="0" w:space="0" w:color="auto"/>
                                <w:right w:val="none" w:sz="0" w:space="0" w:color="auto"/>
                              </w:divBdr>
                              <w:divsChild>
                                <w:div w:id="973799920">
                                  <w:marLeft w:val="45"/>
                                  <w:marRight w:val="0"/>
                                  <w:marTop w:val="0"/>
                                  <w:marBottom w:val="15"/>
                                  <w:divBdr>
                                    <w:top w:val="none" w:sz="0" w:space="0" w:color="auto"/>
                                    <w:left w:val="none" w:sz="0" w:space="0" w:color="auto"/>
                                    <w:bottom w:val="none" w:sz="0" w:space="0" w:color="auto"/>
                                    <w:right w:val="none" w:sz="0" w:space="0" w:color="auto"/>
                                  </w:divBdr>
                                </w:div>
                              </w:divsChild>
                            </w:div>
                            <w:div w:id="1873835271">
                              <w:marLeft w:val="45"/>
                              <w:marRight w:val="0"/>
                              <w:marTop w:val="0"/>
                              <w:marBottom w:val="0"/>
                              <w:divBdr>
                                <w:top w:val="none" w:sz="0" w:space="0" w:color="auto"/>
                                <w:left w:val="none" w:sz="0" w:space="0" w:color="auto"/>
                                <w:bottom w:val="none" w:sz="0" w:space="0" w:color="auto"/>
                                <w:right w:val="none" w:sz="0" w:space="0" w:color="auto"/>
                              </w:divBdr>
                            </w:div>
                          </w:divsChild>
                        </w:div>
                        <w:div w:id="1373655167">
                          <w:marLeft w:val="135"/>
                          <w:marRight w:val="45"/>
                          <w:marTop w:val="60"/>
                          <w:marBottom w:val="60"/>
                          <w:divBdr>
                            <w:top w:val="none" w:sz="0" w:space="0" w:color="auto"/>
                            <w:left w:val="none" w:sz="0" w:space="0" w:color="auto"/>
                            <w:bottom w:val="none" w:sz="0" w:space="0" w:color="auto"/>
                            <w:right w:val="none" w:sz="0" w:space="0" w:color="auto"/>
                          </w:divBdr>
                          <w:divsChild>
                            <w:div w:id="332220526">
                              <w:marLeft w:val="0"/>
                              <w:marRight w:val="0"/>
                              <w:marTop w:val="0"/>
                              <w:marBottom w:val="0"/>
                              <w:divBdr>
                                <w:top w:val="none" w:sz="0" w:space="0" w:color="auto"/>
                                <w:left w:val="none" w:sz="0" w:space="0" w:color="auto"/>
                                <w:bottom w:val="none" w:sz="0" w:space="0" w:color="auto"/>
                                <w:right w:val="none" w:sz="0" w:space="0" w:color="auto"/>
                              </w:divBdr>
                              <w:divsChild>
                                <w:div w:id="98763360">
                                  <w:marLeft w:val="0"/>
                                  <w:marRight w:val="150"/>
                                  <w:marTop w:val="0"/>
                                  <w:marBottom w:val="0"/>
                                  <w:divBdr>
                                    <w:top w:val="none" w:sz="0" w:space="0" w:color="auto"/>
                                    <w:left w:val="none" w:sz="0" w:space="0" w:color="auto"/>
                                    <w:bottom w:val="none" w:sz="0" w:space="0" w:color="auto"/>
                                    <w:right w:val="none" w:sz="0" w:space="0" w:color="auto"/>
                                  </w:divBdr>
                                </w:div>
                                <w:div w:id="16050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66403">
                      <w:marLeft w:val="30"/>
                      <w:marRight w:val="30"/>
                      <w:marTop w:val="0"/>
                      <w:marBottom w:val="0"/>
                      <w:divBdr>
                        <w:top w:val="none" w:sz="0" w:space="0" w:color="auto"/>
                        <w:left w:val="none" w:sz="0" w:space="0" w:color="auto"/>
                        <w:bottom w:val="none" w:sz="0" w:space="0" w:color="auto"/>
                        <w:right w:val="none" w:sz="0" w:space="0" w:color="auto"/>
                      </w:divBdr>
                      <w:divsChild>
                        <w:div w:id="67194234">
                          <w:marLeft w:val="0"/>
                          <w:marRight w:val="90"/>
                          <w:marTop w:val="90"/>
                          <w:marBottom w:val="30"/>
                          <w:divBdr>
                            <w:top w:val="none" w:sz="0" w:space="0" w:color="auto"/>
                            <w:left w:val="none" w:sz="0" w:space="0" w:color="auto"/>
                            <w:bottom w:val="none" w:sz="0" w:space="0" w:color="auto"/>
                            <w:right w:val="none" w:sz="0" w:space="0" w:color="auto"/>
                          </w:divBdr>
                          <w:divsChild>
                            <w:div w:id="653602689">
                              <w:marLeft w:val="45"/>
                              <w:marRight w:val="0"/>
                              <w:marTop w:val="0"/>
                              <w:marBottom w:val="0"/>
                              <w:divBdr>
                                <w:top w:val="none" w:sz="0" w:space="0" w:color="auto"/>
                                <w:left w:val="none" w:sz="0" w:space="0" w:color="auto"/>
                                <w:bottom w:val="none" w:sz="0" w:space="0" w:color="auto"/>
                                <w:right w:val="none" w:sz="0" w:space="0" w:color="auto"/>
                              </w:divBdr>
                            </w:div>
                            <w:div w:id="675503038">
                              <w:marLeft w:val="0"/>
                              <w:marRight w:val="30"/>
                              <w:marTop w:val="0"/>
                              <w:marBottom w:val="0"/>
                              <w:divBdr>
                                <w:top w:val="none" w:sz="0" w:space="0" w:color="auto"/>
                                <w:left w:val="none" w:sz="0" w:space="0" w:color="auto"/>
                                <w:bottom w:val="none" w:sz="0" w:space="0" w:color="auto"/>
                                <w:right w:val="none" w:sz="0" w:space="0" w:color="auto"/>
                              </w:divBdr>
                              <w:divsChild>
                                <w:div w:id="1748188819">
                                  <w:marLeft w:val="0"/>
                                  <w:marRight w:val="0"/>
                                  <w:marTop w:val="0"/>
                                  <w:marBottom w:val="0"/>
                                  <w:divBdr>
                                    <w:top w:val="none" w:sz="0" w:space="0" w:color="auto"/>
                                    <w:left w:val="none" w:sz="0" w:space="0" w:color="auto"/>
                                    <w:bottom w:val="none" w:sz="0" w:space="0" w:color="auto"/>
                                    <w:right w:val="none" w:sz="0" w:space="0" w:color="auto"/>
                                  </w:divBdr>
                                  <w:divsChild>
                                    <w:div w:id="1962567113">
                                      <w:marLeft w:val="0"/>
                                      <w:marRight w:val="0"/>
                                      <w:marTop w:val="0"/>
                                      <w:marBottom w:val="0"/>
                                      <w:divBdr>
                                        <w:top w:val="none" w:sz="0" w:space="0" w:color="auto"/>
                                        <w:left w:val="none" w:sz="0" w:space="0" w:color="auto"/>
                                        <w:bottom w:val="none" w:sz="0" w:space="0" w:color="auto"/>
                                        <w:right w:val="none" w:sz="0" w:space="0" w:color="auto"/>
                                      </w:divBdr>
                                      <w:divsChild>
                                        <w:div w:id="4737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1556">
                              <w:marLeft w:val="0"/>
                              <w:marRight w:val="0"/>
                              <w:marTop w:val="0"/>
                              <w:marBottom w:val="0"/>
                              <w:divBdr>
                                <w:top w:val="none" w:sz="0" w:space="0" w:color="auto"/>
                                <w:left w:val="none" w:sz="0" w:space="0" w:color="auto"/>
                                <w:bottom w:val="none" w:sz="0" w:space="0" w:color="auto"/>
                                <w:right w:val="none" w:sz="0" w:space="0" w:color="auto"/>
                              </w:divBdr>
                              <w:divsChild>
                                <w:div w:id="172637234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358052294">
                          <w:marLeft w:val="135"/>
                          <w:marRight w:val="45"/>
                          <w:marTop w:val="60"/>
                          <w:marBottom w:val="60"/>
                          <w:divBdr>
                            <w:top w:val="none" w:sz="0" w:space="0" w:color="auto"/>
                            <w:left w:val="none" w:sz="0" w:space="0" w:color="auto"/>
                            <w:bottom w:val="none" w:sz="0" w:space="0" w:color="auto"/>
                            <w:right w:val="none" w:sz="0" w:space="0" w:color="auto"/>
                          </w:divBdr>
                          <w:divsChild>
                            <w:div w:id="577592537">
                              <w:marLeft w:val="0"/>
                              <w:marRight w:val="0"/>
                              <w:marTop w:val="0"/>
                              <w:marBottom w:val="0"/>
                              <w:divBdr>
                                <w:top w:val="none" w:sz="0" w:space="0" w:color="auto"/>
                                <w:left w:val="none" w:sz="0" w:space="0" w:color="auto"/>
                                <w:bottom w:val="none" w:sz="0" w:space="0" w:color="auto"/>
                                <w:right w:val="none" w:sz="0" w:space="0" w:color="auto"/>
                              </w:divBdr>
                              <w:divsChild>
                                <w:div w:id="120461331">
                                  <w:marLeft w:val="0"/>
                                  <w:marRight w:val="150"/>
                                  <w:marTop w:val="0"/>
                                  <w:marBottom w:val="0"/>
                                  <w:divBdr>
                                    <w:top w:val="none" w:sz="0" w:space="0" w:color="auto"/>
                                    <w:left w:val="none" w:sz="0" w:space="0" w:color="auto"/>
                                    <w:bottom w:val="none" w:sz="0" w:space="0" w:color="auto"/>
                                    <w:right w:val="none" w:sz="0" w:space="0" w:color="auto"/>
                                  </w:divBdr>
                                </w:div>
                                <w:div w:id="21336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741884">
      <w:bodyDiv w:val="1"/>
      <w:marLeft w:val="0"/>
      <w:marRight w:val="0"/>
      <w:marTop w:val="0"/>
      <w:marBottom w:val="0"/>
      <w:divBdr>
        <w:top w:val="none" w:sz="0" w:space="0" w:color="auto"/>
        <w:left w:val="none" w:sz="0" w:space="0" w:color="auto"/>
        <w:bottom w:val="none" w:sz="0" w:space="0" w:color="auto"/>
        <w:right w:val="none" w:sz="0" w:space="0" w:color="auto"/>
      </w:divBdr>
    </w:div>
    <w:div w:id="1986814115">
      <w:bodyDiv w:val="1"/>
      <w:marLeft w:val="0"/>
      <w:marRight w:val="0"/>
      <w:marTop w:val="0"/>
      <w:marBottom w:val="0"/>
      <w:divBdr>
        <w:top w:val="none" w:sz="0" w:space="0" w:color="auto"/>
        <w:left w:val="none" w:sz="0" w:space="0" w:color="auto"/>
        <w:bottom w:val="none" w:sz="0" w:space="0" w:color="auto"/>
        <w:right w:val="none" w:sz="0" w:space="0" w:color="auto"/>
      </w:divBdr>
      <w:divsChild>
        <w:div w:id="69892234">
          <w:marLeft w:val="547"/>
          <w:marRight w:val="0"/>
          <w:marTop w:val="0"/>
          <w:marBottom w:val="213"/>
          <w:divBdr>
            <w:top w:val="none" w:sz="0" w:space="0" w:color="auto"/>
            <w:left w:val="none" w:sz="0" w:space="0" w:color="auto"/>
            <w:bottom w:val="none" w:sz="0" w:space="0" w:color="auto"/>
            <w:right w:val="none" w:sz="0" w:space="0" w:color="auto"/>
          </w:divBdr>
        </w:div>
        <w:div w:id="1013727917">
          <w:marLeft w:val="547"/>
          <w:marRight w:val="0"/>
          <w:marTop w:val="0"/>
          <w:marBottom w:val="213"/>
          <w:divBdr>
            <w:top w:val="none" w:sz="0" w:space="0" w:color="auto"/>
            <w:left w:val="none" w:sz="0" w:space="0" w:color="auto"/>
            <w:bottom w:val="none" w:sz="0" w:space="0" w:color="auto"/>
            <w:right w:val="none" w:sz="0" w:space="0" w:color="auto"/>
          </w:divBdr>
        </w:div>
        <w:div w:id="1155419288">
          <w:marLeft w:val="547"/>
          <w:marRight w:val="0"/>
          <w:marTop w:val="0"/>
          <w:marBottom w:val="213"/>
          <w:divBdr>
            <w:top w:val="none" w:sz="0" w:space="0" w:color="auto"/>
            <w:left w:val="none" w:sz="0" w:space="0" w:color="auto"/>
            <w:bottom w:val="none" w:sz="0" w:space="0" w:color="auto"/>
            <w:right w:val="none" w:sz="0" w:space="0" w:color="auto"/>
          </w:divBdr>
        </w:div>
        <w:div w:id="1690523632">
          <w:marLeft w:val="547"/>
          <w:marRight w:val="0"/>
          <w:marTop w:val="0"/>
          <w:marBottom w:val="213"/>
          <w:divBdr>
            <w:top w:val="none" w:sz="0" w:space="0" w:color="auto"/>
            <w:left w:val="none" w:sz="0" w:space="0" w:color="auto"/>
            <w:bottom w:val="none" w:sz="0" w:space="0" w:color="auto"/>
            <w:right w:val="none" w:sz="0" w:space="0" w:color="auto"/>
          </w:divBdr>
        </w:div>
      </w:divsChild>
    </w:div>
    <w:div w:id="1992102830">
      <w:bodyDiv w:val="1"/>
      <w:marLeft w:val="0"/>
      <w:marRight w:val="0"/>
      <w:marTop w:val="0"/>
      <w:marBottom w:val="0"/>
      <w:divBdr>
        <w:top w:val="none" w:sz="0" w:space="0" w:color="auto"/>
        <w:left w:val="none" w:sz="0" w:space="0" w:color="auto"/>
        <w:bottom w:val="none" w:sz="0" w:space="0" w:color="auto"/>
        <w:right w:val="none" w:sz="0" w:space="0" w:color="auto"/>
      </w:divBdr>
    </w:div>
    <w:div w:id="1993751287">
      <w:bodyDiv w:val="1"/>
      <w:marLeft w:val="0"/>
      <w:marRight w:val="0"/>
      <w:marTop w:val="0"/>
      <w:marBottom w:val="0"/>
      <w:divBdr>
        <w:top w:val="none" w:sz="0" w:space="0" w:color="auto"/>
        <w:left w:val="none" w:sz="0" w:space="0" w:color="auto"/>
        <w:bottom w:val="none" w:sz="0" w:space="0" w:color="auto"/>
        <w:right w:val="none" w:sz="0" w:space="0" w:color="auto"/>
      </w:divBdr>
    </w:div>
    <w:div w:id="1996300366">
      <w:bodyDiv w:val="1"/>
      <w:marLeft w:val="0"/>
      <w:marRight w:val="0"/>
      <w:marTop w:val="0"/>
      <w:marBottom w:val="0"/>
      <w:divBdr>
        <w:top w:val="none" w:sz="0" w:space="0" w:color="auto"/>
        <w:left w:val="none" w:sz="0" w:space="0" w:color="auto"/>
        <w:bottom w:val="none" w:sz="0" w:space="0" w:color="auto"/>
        <w:right w:val="none" w:sz="0" w:space="0" w:color="auto"/>
      </w:divBdr>
    </w:div>
    <w:div w:id="2048794751">
      <w:bodyDiv w:val="1"/>
      <w:marLeft w:val="0"/>
      <w:marRight w:val="0"/>
      <w:marTop w:val="0"/>
      <w:marBottom w:val="0"/>
      <w:divBdr>
        <w:top w:val="none" w:sz="0" w:space="0" w:color="auto"/>
        <w:left w:val="none" w:sz="0" w:space="0" w:color="auto"/>
        <w:bottom w:val="none" w:sz="0" w:space="0" w:color="auto"/>
        <w:right w:val="none" w:sz="0" w:space="0" w:color="auto"/>
      </w:divBdr>
      <w:divsChild>
        <w:div w:id="461652345">
          <w:marLeft w:val="0"/>
          <w:marRight w:val="0"/>
          <w:marTop w:val="0"/>
          <w:marBottom w:val="0"/>
          <w:divBdr>
            <w:top w:val="none" w:sz="0" w:space="0" w:color="auto"/>
            <w:left w:val="none" w:sz="0" w:space="0" w:color="auto"/>
            <w:bottom w:val="none" w:sz="0" w:space="0" w:color="auto"/>
            <w:right w:val="none" w:sz="0" w:space="0" w:color="auto"/>
          </w:divBdr>
          <w:divsChild>
            <w:div w:id="434983502">
              <w:marLeft w:val="210"/>
              <w:marRight w:val="0"/>
              <w:marTop w:val="120"/>
              <w:marBottom w:val="0"/>
              <w:divBdr>
                <w:top w:val="none" w:sz="0" w:space="0" w:color="auto"/>
                <w:left w:val="none" w:sz="0" w:space="0" w:color="auto"/>
                <w:bottom w:val="none" w:sz="0" w:space="0" w:color="auto"/>
                <w:right w:val="none" w:sz="0" w:space="0" w:color="auto"/>
              </w:divBdr>
              <w:divsChild>
                <w:div w:id="1494224984">
                  <w:marLeft w:val="0"/>
                  <w:marRight w:val="0"/>
                  <w:marTop w:val="0"/>
                  <w:marBottom w:val="0"/>
                  <w:divBdr>
                    <w:top w:val="none" w:sz="0" w:space="0" w:color="auto"/>
                    <w:left w:val="none" w:sz="0" w:space="0" w:color="auto"/>
                    <w:bottom w:val="none" w:sz="0" w:space="0" w:color="auto"/>
                    <w:right w:val="none" w:sz="0" w:space="0" w:color="auto"/>
                  </w:divBdr>
                  <w:divsChild>
                    <w:div w:id="37319280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41367455">
          <w:marLeft w:val="0"/>
          <w:marRight w:val="0"/>
          <w:marTop w:val="0"/>
          <w:marBottom w:val="0"/>
          <w:divBdr>
            <w:top w:val="none" w:sz="0" w:space="0" w:color="auto"/>
            <w:left w:val="none" w:sz="0" w:space="0" w:color="auto"/>
            <w:bottom w:val="none" w:sz="0" w:space="0" w:color="auto"/>
            <w:right w:val="none" w:sz="0" w:space="0" w:color="auto"/>
          </w:divBdr>
          <w:divsChild>
            <w:div w:id="1543589696">
              <w:marLeft w:val="0"/>
              <w:marRight w:val="0"/>
              <w:marTop w:val="0"/>
              <w:marBottom w:val="0"/>
              <w:divBdr>
                <w:top w:val="none" w:sz="0" w:space="0" w:color="auto"/>
                <w:left w:val="none" w:sz="0" w:space="0" w:color="auto"/>
                <w:bottom w:val="none" w:sz="0" w:space="0" w:color="auto"/>
                <w:right w:val="none" w:sz="0" w:space="0" w:color="auto"/>
              </w:divBdr>
              <w:divsChild>
                <w:div w:id="804591483">
                  <w:marLeft w:val="0"/>
                  <w:marRight w:val="0"/>
                  <w:marTop w:val="0"/>
                  <w:marBottom w:val="0"/>
                  <w:divBdr>
                    <w:top w:val="none" w:sz="0" w:space="0" w:color="auto"/>
                    <w:left w:val="none" w:sz="0" w:space="0" w:color="auto"/>
                    <w:bottom w:val="none" w:sz="0" w:space="0" w:color="auto"/>
                    <w:right w:val="none" w:sz="0" w:space="0" w:color="auto"/>
                  </w:divBdr>
                  <w:divsChild>
                    <w:div w:id="1078476472">
                      <w:marLeft w:val="30"/>
                      <w:marRight w:val="30"/>
                      <w:marTop w:val="0"/>
                      <w:marBottom w:val="0"/>
                      <w:divBdr>
                        <w:top w:val="none" w:sz="0" w:space="0" w:color="auto"/>
                        <w:left w:val="none" w:sz="0" w:space="0" w:color="auto"/>
                        <w:bottom w:val="none" w:sz="0" w:space="0" w:color="auto"/>
                        <w:right w:val="none" w:sz="0" w:space="0" w:color="auto"/>
                      </w:divBdr>
                      <w:divsChild>
                        <w:div w:id="971206118">
                          <w:marLeft w:val="180"/>
                          <w:marRight w:val="210"/>
                          <w:marTop w:val="0"/>
                          <w:marBottom w:val="30"/>
                          <w:divBdr>
                            <w:top w:val="none" w:sz="0" w:space="0" w:color="auto"/>
                            <w:left w:val="none" w:sz="0" w:space="0" w:color="auto"/>
                            <w:bottom w:val="none" w:sz="0" w:space="0" w:color="auto"/>
                            <w:right w:val="none" w:sz="0" w:space="0" w:color="auto"/>
                          </w:divBdr>
                          <w:divsChild>
                            <w:div w:id="1605918860">
                              <w:marLeft w:val="0"/>
                              <w:marRight w:val="30"/>
                              <w:marTop w:val="0"/>
                              <w:marBottom w:val="0"/>
                              <w:divBdr>
                                <w:top w:val="none" w:sz="0" w:space="0" w:color="auto"/>
                                <w:left w:val="none" w:sz="0" w:space="0" w:color="auto"/>
                                <w:bottom w:val="none" w:sz="0" w:space="0" w:color="auto"/>
                                <w:right w:val="none" w:sz="0" w:space="0" w:color="auto"/>
                              </w:divBdr>
                              <w:divsChild>
                                <w:div w:id="171914820">
                                  <w:marLeft w:val="0"/>
                                  <w:marRight w:val="0"/>
                                  <w:marTop w:val="0"/>
                                  <w:marBottom w:val="0"/>
                                  <w:divBdr>
                                    <w:top w:val="none" w:sz="0" w:space="0" w:color="auto"/>
                                    <w:left w:val="none" w:sz="0" w:space="0" w:color="auto"/>
                                    <w:bottom w:val="none" w:sz="0" w:space="0" w:color="auto"/>
                                    <w:right w:val="none" w:sz="0" w:space="0" w:color="auto"/>
                                  </w:divBdr>
                                  <w:divsChild>
                                    <w:div w:id="2112318949">
                                      <w:marLeft w:val="0"/>
                                      <w:marRight w:val="0"/>
                                      <w:marTop w:val="0"/>
                                      <w:marBottom w:val="0"/>
                                      <w:divBdr>
                                        <w:top w:val="none" w:sz="0" w:space="0" w:color="auto"/>
                                        <w:left w:val="none" w:sz="0" w:space="0" w:color="auto"/>
                                        <w:bottom w:val="none" w:sz="0" w:space="0" w:color="auto"/>
                                        <w:right w:val="none" w:sz="0" w:space="0" w:color="auto"/>
                                      </w:divBdr>
                                      <w:divsChild>
                                        <w:div w:id="1642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71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68116">
      <w:bodyDiv w:val="1"/>
      <w:marLeft w:val="0"/>
      <w:marRight w:val="0"/>
      <w:marTop w:val="0"/>
      <w:marBottom w:val="0"/>
      <w:divBdr>
        <w:top w:val="none" w:sz="0" w:space="0" w:color="auto"/>
        <w:left w:val="none" w:sz="0" w:space="0" w:color="auto"/>
        <w:bottom w:val="none" w:sz="0" w:space="0" w:color="auto"/>
        <w:right w:val="none" w:sz="0" w:space="0" w:color="auto"/>
      </w:divBdr>
    </w:div>
    <w:div w:id="2077124261">
      <w:bodyDiv w:val="1"/>
      <w:marLeft w:val="0"/>
      <w:marRight w:val="0"/>
      <w:marTop w:val="0"/>
      <w:marBottom w:val="0"/>
      <w:divBdr>
        <w:top w:val="none" w:sz="0" w:space="0" w:color="auto"/>
        <w:left w:val="none" w:sz="0" w:space="0" w:color="auto"/>
        <w:bottom w:val="none" w:sz="0" w:space="0" w:color="auto"/>
        <w:right w:val="none" w:sz="0" w:space="0" w:color="auto"/>
      </w:divBdr>
    </w:div>
    <w:div w:id="2087484916">
      <w:bodyDiv w:val="1"/>
      <w:marLeft w:val="0"/>
      <w:marRight w:val="0"/>
      <w:marTop w:val="0"/>
      <w:marBottom w:val="0"/>
      <w:divBdr>
        <w:top w:val="none" w:sz="0" w:space="0" w:color="auto"/>
        <w:left w:val="none" w:sz="0" w:space="0" w:color="auto"/>
        <w:bottom w:val="none" w:sz="0" w:space="0" w:color="auto"/>
        <w:right w:val="none" w:sz="0" w:space="0" w:color="auto"/>
      </w:divBdr>
      <w:divsChild>
        <w:div w:id="1282497355">
          <w:marLeft w:val="30"/>
          <w:marRight w:val="30"/>
          <w:marTop w:val="0"/>
          <w:marBottom w:val="0"/>
          <w:divBdr>
            <w:top w:val="none" w:sz="0" w:space="0" w:color="auto"/>
            <w:left w:val="none" w:sz="0" w:space="0" w:color="auto"/>
            <w:bottom w:val="none" w:sz="0" w:space="0" w:color="auto"/>
            <w:right w:val="none" w:sz="0" w:space="0" w:color="auto"/>
          </w:divBdr>
          <w:divsChild>
            <w:div w:id="885724260">
              <w:marLeft w:val="0"/>
              <w:marRight w:val="90"/>
              <w:marTop w:val="90"/>
              <w:marBottom w:val="30"/>
              <w:divBdr>
                <w:top w:val="none" w:sz="0" w:space="0" w:color="auto"/>
                <w:left w:val="none" w:sz="0" w:space="0" w:color="auto"/>
                <w:bottom w:val="none" w:sz="0" w:space="0" w:color="auto"/>
                <w:right w:val="none" w:sz="0" w:space="0" w:color="auto"/>
              </w:divBdr>
              <w:divsChild>
                <w:div w:id="1184589969">
                  <w:marLeft w:val="0"/>
                  <w:marRight w:val="0"/>
                  <w:marTop w:val="0"/>
                  <w:marBottom w:val="0"/>
                  <w:divBdr>
                    <w:top w:val="none" w:sz="0" w:space="0" w:color="auto"/>
                    <w:left w:val="none" w:sz="0" w:space="0" w:color="auto"/>
                    <w:bottom w:val="none" w:sz="0" w:space="0" w:color="auto"/>
                    <w:right w:val="none" w:sz="0" w:space="0" w:color="auto"/>
                  </w:divBdr>
                  <w:divsChild>
                    <w:div w:id="865600904">
                      <w:marLeft w:val="45"/>
                      <w:marRight w:val="0"/>
                      <w:marTop w:val="0"/>
                      <w:marBottom w:val="15"/>
                      <w:divBdr>
                        <w:top w:val="none" w:sz="0" w:space="0" w:color="auto"/>
                        <w:left w:val="none" w:sz="0" w:space="0" w:color="auto"/>
                        <w:bottom w:val="none" w:sz="0" w:space="0" w:color="auto"/>
                        <w:right w:val="none" w:sz="0" w:space="0" w:color="auto"/>
                      </w:divBdr>
                    </w:div>
                  </w:divsChild>
                </w:div>
                <w:div w:id="1721661109">
                  <w:marLeft w:val="0"/>
                  <w:marRight w:val="30"/>
                  <w:marTop w:val="0"/>
                  <w:marBottom w:val="0"/>
                  <w:divBdr>
                    <w:top w:val="none" w:sz="0" w:space="0" w:color="auto"/>
                    <w:left w:val="none" w:sz="0" w:space="0" w:color="auto"/>
                    <w:bottom w:val="none" w:sz="0" w:space="0" w:color="auto"/>
                    <w:right w:val="none" w:sz="0" w:space="0" w:color="auto"/>
                  </w:divBdr>
                  <w:divsChild>
                    <w:div w:id="31611446">
                      <w:marLeft w:val="0"/>
                      <w:marRight w:val="0"/>
                      <w:marTop w:val="0"/>
                      <w:marBottom w:val="0"/>
                      <w:divBdr>
                        <w:top w:val="none" w:sz="0" w:space="0" w:color="auto"/>
                        <w:left w:val="none" w:sz="0" w:space="0" w:color="auto"/>
                        <w:bottom w:val="none" w:sz="0" w:space="0" w:color="auto"/>
                        <w:right w:val="none" w:sz="0" w:space="0" w:color="auto"/>
                      </w:divBdr>
                      <w:divsChild>
                        <w:div w:id="1189027729">
                          <w:marLeft w:val="0"/>
                          <w:marRight w:val="0"/>
                          <w:marTop w:val="0"/>
                          <w:marBottom w:val="0"/>
                          <w:divBdr>
                            <w:top w:val="none" w:sz="0" w:space="0" w:color="auto"/>
                            <w:left w:val="none" w:sz="0" w:space="0" w:color="auto"/>
                            <w:bottom w:val="none" w:sz="0" w:space="0" w:color="auto"/>
                            <w:right w:val="none" w:sz="0" w:space="0" w:color="auto"/>
                          </w:divBdr>
                          <w:divsChild>
                            <w:div w:id="5531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25121">
              <w:marLeft w:val="135"/>
              <w:marRight w:val="45"/>
              <w:marTop w:val="60"/>
              <w:marBottom w:val="60"/>
              <w:divBdr>
                <w:top w:val="none" w:sz="0" w:space="0" w:color="auto"/>
                <w:left w:val="none" w:sz="0" w:space="0" w:color="auto"/>
                <w:bottom w:val="none" w:sz="0" w:space="0" w:color="auto"/>
                <w:right w:val="none" w:sz="0" w:space="0" w:color="auto"/>
              </w:divBdr>
              <w:divsChild>
                <w:div w:id="2081096740">
                  <w:marLeft w:val="0"/>
                  <w:marRight w:val="0"/>
                  <w:marTop w:val="0"/>
                  <w:marBottom w:val="0"/>
                  <w:divBdr>
                    <w:top w:val="none" w:sz="0" w:space="0" w:color="auto"/>
                    <w:left w:val="none" w:sz="0" w:space="0" w:color="auto"/>
                    <w:bottom w:val="none" w:sz="0" w:space="0" w:color="auto"/>
                    <w:right w:val="none" w:sz="0" w:space="0" w:color="auto"/>
                  </w:divBdr>
                  <w:divsChild>
                    <w:div w:id="1222474996">
                      <w:marLeft w:val="0"/>
                      <w:marRight w:val="0"/>
                      <w:marTop w:val="0"/>
                      <w:marBottom w:val="0"/>
                      <w:divBdr>
                        <w:top w:val="none" w:sz="0" w:space="0" w:color="auto"/>
                        <w:left w:val="none" w:sz="0" w:space="0" w:color="auto"/>
                        <w:bottom w:val="none" w:sz="0" w:space="0" w:color="auto"/>
                        <w:right w:val="none" w:sz="0" w:space="0" w:color="auto"/>
                      </w:divBdr>
                    </w:div>
                    <w:div w:id="13310611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82429390">
          <w:marLeft w:val="30"/>
          <w:marRight w:val="30"/>
          <w:marTop w:val="0"/>
          <w:marBottom w:val="0"/>
          <w:divBdr>
            <w:top w:val="none" w:sz="0" w:space="0" w:color="auto"/>
            <w:left w:val="none" w:sz="0" w:space="0" w:color="auto"/>
            <w:bottom w:val="none" w:sz="0" w:space="0" w:color="auto"/>
            <w:right w:val="none" w:sz="0" w:space="0" w:color="auto"/>
          </w:divBdr>
          <w:divsChild>
            <w:div w:id="1559780304">
              <w:marLeft w:val="180"/>
              <w:marRight w:val="210"/>
              <w:marTop w:val="0"/>
              <w:marBottom w:val="30"/>
              <w:divBdr>
                <w:top w:val="none" w:sz="0" w:space="0" w:color="auto"/>
                <w:left w:val="none" w:sz="0" w:space="0" w:color="auto"/>
                <w:bottom w:val="none" w:sz="0" w:space="0" w:color="auto"/>
                <w:right w:val="none" w:sz="0" w:space="0" w:color="auto"/>
              </w:divBdr>
              <w:divsChild>
                <w:div w:id="346247813">
                  <w:marLeft w:val="45"/>
                  <w:marRight w:val="0"/>
                  <w:marTop w:val="0"/>
                  <w:marBottom w:val="0"/>
                  <w:divBdr>
                    <w:top w:val="none" w:sz="0" w:space="0" w:color="auto"/>
                    <w:left w:val="none" w:sz="0" w:space="0" w:color="auto"/>
                    <w:bottom w:val="none" w:sz="0" w:space="0" w:color="auto"/>
                    <w:right w:val="none" w:sz="0" w:space="0" w:color="auto"/>
                  </w:divBdr>
                </w:div>
                <w:div w:id="1742558141">
                  <w:marLeft w:val="0"/>
                  <w:marRight w:val="30"/>
                  <w:marTop w:val="0"/>
                  <w:marBottom w:val="0"/>
                  <w:divBdr>
                    <w:top w:val="none" w:sz="0" w:space="0" w:color="auto"/>
                    <w:left w:val="none" w:sz="0" w:space="0" w:color="auto"/>
                    <w:bottom w:val="none" w:sz="0" w:space="0" w:color="auto"/>
                    <w:right w:val="none" w:sz="0" w:space="0" w:color="auto"/>
                  </w:divBdr>
                  <w:divsChild>
                    <w:div w:id="793791769">
                      <w:marLeft w:val="0"/>
                      <w:marRight w:val="0"/>
                      <w:marTop w:val="0"/>
                      <w:marBottom w:val="0"/>
                      <w:divBdr>
                        <w:top w:val="none" w:sz="0" w:space="0" w:color="auto"/>
                        <w:left w:val="none" w:sz="0" w:space="0" w:color="auto"/>
                        <w:bottom w:val="none" w:sz="0" w:space="0" w:color="auto"/>
                        <w:right w:val="none" w:sz="0" w:space="0" w:color="auto"/>
                      </w:divBdr>
                      <w:divsChild>
                        <w:div w:id="2083062452">
                          <w:marLeft w:val="0"/>
                          <w:marRight w:val="0"/>
                          <w:marTop w:val="0"/>
                          <w:marBottom w:val="0"/>
                          <w:divBdr>
                            <w:top w:val="none" w:sz="0" w:space="0" w:color="auto"/>
                            <w:left w:val="none" w:sz="0" w:space="0" w:color="auto"/>
                            <w:bottom w:val="none" w:sz="0" w:space="0" w:color="auto"/>
                            <w:right w:val="none" w:sz="0" w:space="0" w:color="auto"/>
                          </w:divBdr>
                          <w:divsChild>
                            <w:div w:id="1506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651337">
      <w:bodyDiv w:val="1"/>
      <w:marLeft w:val="0"/>
      <w:marRight w:val="0"/>
      <w:marTop w:val="0"/>
      <w:marBottom w:val="0"/>
      <w:divBdr>
        <w:top w:val="none" w:sz="0" w:space="0" w:color="auto"/>
        <w:left w:val="none" w:sz="0" w:space="0" w:color="auto"/>
        <w:bottom w:val="none" w:sz="0" w:space="0" w:color="auto"/>
        <w:right w:val="none" w:sz="0" w:space="0" w:color="auto"/>
      </w:divBdr>
    </w:div>
    <w:div w:id="2105488990">
      <w:bodyDiv w:val="1"/>
      <w:marLeft w:val="0"/>
      <w:marRight w:val="0"/>
      <w:marTop w:val="0"/>
      <w:marBottom w:val="0"/>
      <w:divBdr>
        <w:top w:val="none" w:sz="0" w:space="0" w:color="auto"/>
        <w:left w:val="none" w:sz="0" w:space="0" w:color="auto"/>
        <w:bottom w:val="none" w:sz="0" w:space="0" w:color="auto"/>
        <w:right w:val="none" w:sz="0" w:space="0" w:color="auto"/>
      </w:divBdr>
    </w:div>
    <w:div w:id="2110348766">
      <w:bodyDiv w:val="1"/>
      <w:marLeft w:val="0"/>
      <w:marRight w:val="0"/>
      <w:marTop w:val="0"/>
      <w:marBottom w:val="0"/>
      <w:divBdr>
        <w:top w:val="none" w:sz="0" w:space="0" w:color="auto"/>
        <w:left w:val="none" w:sz="0" w:space="0" w:color="auto"/>
        <w:bottom w:val="none" w:sz="0" w:space="0" w:color="auto"/>
        <w:right w:val="none" w:sz="0" w:space="0" w:color="auto"/>
      </w:divBdr>
      <w:divsChild>
        <w:div w:id="1675760557">
          <w:marLeft w:val="0"/>
          <w:marRight w:val="0"/>
          <w:marTop w:val="0"/>
          <w:marBottom w:val="0"/>
          <w:divBdr>
            <w:top w:val="none" w:sz="0" w:space="0" w:color="auto"/>
            <w:left w:val="none" w:sz="0" w:space="0" w:color="auto"/>
            <w:bottom w:val="none" w:sz="0" w:space="0" w:color="auto"/>
            <w:right w:val="none" w:sz="0" w:space="0" w:color="auto"/>
          </w:divBdr>
          <w:divsChild>
            <w:div w:id="1788281475">
              <w:marLeft w:val="210"/>
              <w:marRight w:val="0"/>
              <w:marTop w:val="120"/>
              <w:marBottom w:val="0"/>
              <w:divBdr>
                <w:top w:val="none" w:sz="0" w:space="0" w:color="auto"/>
                <w:left w:val="none" w:sz="0" w:space="0" w:color="auto"/>
                <w:bottom w:val="none" w:sz="0" w:space="0" w:color="auto"/>
                <w:right w:val="none" w:sz="0" w:space="0" w:color="auto"/>
              </w:divBdr>
              <w:divsChild>
                <w:div w:id="1712918892">
                  <w:marLeft w:val="0"/>
                  <w:marRight w:val="0"/>
                  <w:marTop w:val="0"/>
                  <w:marBottom w:val="0"/>
                  <w:divBdr>
                    <w:top w:val="none" w:sz="0" w:space="0" w:color="auto"/>
                    <w:left w:val="none" w:sz="0" w:space="0" w:color="auto"/>
                    <w:bottom w:val="none" w:sz="0" w:space="0" w:color="auto"/>
                    <w:right w:val="none" w:sz="0" w:space="0" w:color="auto"/>
                  </w:divBdr>
                  <w:divsChild>
                    <w:div w:id="211427785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75126610">
          <w:marLeft w:val="0"/>
          <w:marRight w:val="0"/>
          <w:marTop w:val="0"/>
          <w:marBottom w:val="0"/>
          <w:divBdr>
            <w:top w:val="none" w:sz="0" w:space="0" w:color="auto"/>
            <w:left w:val="none" w:sz="0" w:space="0" w:color="auto"/>
            <w:bottom w:val="none" w:sz="0" w:space="0" w:color="auto"/>
            <w:right w:val="none" w:sz="0" w:space="0" w:color="auto"/>
          </w:divBdr>
          <w:divsChild>
            <w:div w:id="328947567">
              <w:marLeft w:val="0"/>
              <w:marRight w:val="0"/>
              <w:marTop w:val="0"/>
              <w:marBottom w:val="0"/>
              <w:divBdr>
                <w:top w:val="none" w:sz="0" w:space="0" w:color="auto"/>
                <w:left w:val="none" w:sz="0" w:space="0" w:color="auto"/>
                <w:bottom w:val="none" w:sz="0" w:space="0" w:color="auto"/>
                <w:right w:val="none" w:sz="0" w:space="0" w:color="auto"/>
              </w:divBdr>
              <w:divsChild>
                <w:div w:id="2030332576">
                  <w:marLeft w:val="0"/>
                  <w:marRight w:val="0"/>
                  <w:marTop w:val="0"/>
                  <w:marBottom w:val="0"/>
                  <w:divBdr>
                    <w:top w:val="none" w:sz="0" w:space="0" w:color="auto"/>
                    <w:left w:val="none" w:sz="0" w:space="0" w:color="auto"/>
                    <w:bottom w:val="none" w:sz="0" w:space="0" w:color="auto"/>
                    <w:right w:val="none" w:sz="0" w:space="0" w:color="auto"/>
                  </w:divBdr>
                  <w:divsChild>
                    <w:div w:id="720519242">
                      <w:marLeft w:val="30"/>
                      <w:marRight w:val="30"/>
                      <w:marTop w:val="0"/>
                      <w:marBottom w:val="0"/>
                      <w:divBdr>
                        <w:top w:val="none" w:sz="0" w:space="0" w:color="auto"/>
                        <w:left w:val="none" w:sz="0" w:space="0" w:color="auto"/>
                        <w:bottom w:val="none" w:sz="0" w:space="0" w:color="auto"/>
                        <w:right w:val="none" w:sz="0" w:space="0" w:color="auto"/>
                      </w:divBdr>
                      <w:divsChild>
                        <w:div w:id="348918873">
                          <w:marLeft w:val="180"/>
                          <w:marRight w:val="210"/>
                          <w:marTop w:val="0"/>
                          <w:marBottom w:val="30"/>
                          <w:divBdr>
                            <w:top w:val="none" w:sz="0" w:space="0" w:color="auto"/>
                            <w:left w:val="none" w:sz="0" w:space="0" w:color="auto"/>
                            <w:bottom w:val="none" w:sz="0" w:space="0" w:color="auto"/>
                            <w:right w:val="none" w:sz="0" w:space="0" w:color="auto"/>
                          </w:divBdr>
                          <w:divsChild>
                            <w:div w:id="447092575">
                              <w:marLeft w:val="0"/>
                              <w:marRight w:val="30"/>
                              <w:marTop w:val="0"/>
                              <w:marBottom w:val="0"/>
                              <w:divBdr>
                                <w:top w:val="none" w:sz="0" w:space="0" w:color="auto"/>
                                <w:left w:val="none" w:sz="0" w:space="0" w:color="auto"/>
                                <w:bottom w:val="none" w:sz="0" w:space="0" w:color="auto"/>
                                <w:right w:val="none" w:sz="0" w:space="0" w:color="auto"/>
                              </w:divBdr>
                              <w:divsChild>
                                <w:div w:id="981619768">
                                  <w:marLeft w:val="0"/>
                                  <w:marRight w:val="0"/>
                                  <w:marTop w:val="0"/>
                                  <w:marBottom w:val="0"/>
                                  <w:divBdr>
                                    <w:top w:val="none" w:sz="0" w:space="0" w:color="auto"/>
                                    <w:left w:val="none" w:sz="0" w:space="0" w:color="auto"/>
                                    <w:bottom w:val="none" w:sz="0" w:space="0" w:color="auto"/>
                                    <w:right w:val="none" w:sz="0" w:space="0" w:color="auto"/>
                                  </w:divBdr>
                                  <w:divsChild>
                                    <w:div w:id="1227036024">
                                      <w:marLeft w:val="0"/>
                                      <w:marRight w:val="0"/>
                                      <w:marTop w:val="0"/>
                                      <w:marBottom w:val="0"/>
                                      <w:divBdr>
                                        <w:top w:val="none" w:sz="0" w:space="0" w:color="auto"/>
                                        <w:left w:val="none" w:sz="0" w:space="0" w:color="auto"/>
                                        <w:bottom w:val="none" w:sz="0" w:space="0" w:color="auto"/>
                                        <w:right w:val="none" w:sz="0" w:space="0" w:color="auto"/>
                                      </w:divBdr>
                                      <w:divsChild>
                                        <w:div w:id="15349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8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86875095">
                      <w:marLeft w:val="30"/>
                      <w:marRight w:val="30"/>
                      <w:marTop w:val="0"/>
                      <w:marBottom w:val="0"/>
                      <w:divBdr>
                        <w:top w:val="none" w:sz="0" w:space="0" w:color="auto"/>
                        <w:left w:val="none" w:sz="0" w:space="0" w:color="auto"/>
                        <w:bottom w:val="none" w:sz="0" w:space="0" w:color="auto"/>
                        <w:right w:val="none" w:sz="0" w:space="0" w:color="auto"/>
                      </w:divBdr>
                      <w:divsChild>
                        <w:div w:id="350886165">
                          <w:marLeft w:val="0"/>
                          <w:marRight w:val="90"/>
                          <w:marTop w:val="90"/>
                          <w:marBottom w:val="30"/>
                          <w:divBdr>
                            <w:top w:val="none" w:sz="0" w:space="0" w:color="auto"/>
                            <w:left w:val="none" w:sz="0" w:space="0" w:color="auto"/>
                            <w:bottom w:val="none" w:sz="0" w:space="0" w:color="auto"/>
                            <w:right w:val="none" w:sz="0" w:space="0" w:color="auto"/>
                          </w:divBdr>
                          <w:divsChild>
                            <w:div w:id="1017344253">
                              <w:marLeft w:val="0"/>
                              <w:marRight w:val="30"/>
                              <w:marTop w:val="0"/>
                              <w:marBottom w:val="0"/>
                              <w:divBdr>
                                <w:top w:val="none" w:sz="0" w:space="0" w:color="auto"/>
                                <w:left w:val="none" w:sz="0" w:space="0" w:color="auto"/>
                                <w:bottom w:val="none" w:sz="0" w:space="0" w:color="auto"/>
                                <w:right w:val="none" w:sz="0" w:space="0" w:color="auto"/>
                              </w:divBdr>
                              <w:divsChild>
                                <w:div w:id="1216509725">
                                  <w:marLeft w:val="0"/>
                                  <w:marRight w:val="0"/>
                                  <w:marTop w:val="0"/>
                                  <w:marBottom w:val="0"/>
                                  <w:divBdr>
                                    <w:top w:val="none" w:sz="0" w:space="0" w:color="auto"/>
                                    <w:left w:val="none" w:sz="0" w:space="0" w:color="auto"/>
                                    <w:bottom w:val="none" w:sz="0" w:space="0" w:color="auto"/>
                                    <w:right w:val="none" w:sz="0" w:space="0" w:color="auto"/>
                                  </w:divBdr>
                                  <w:divsChild>
                                    <w:div w:id="1384475991">
                                      <w:marLeft w:val="0"/>
                                      <w:marRight w:val="0"/>
                                      <w:marTop w:val="0"/>
                                      <w:marBottom w:val="0"/>
                                      <w:divBdr>
                                        <w:top w:val="none" w:sz="0" w:space="0" w:color="auto"/>
                                        <w:left w:val="none" w:sz="0" w:space="0" w:color="auto"/>
                                        <w:bottom w:val="none" w:sz="0" w:space="0" w:color="auto"/>
                                        <w:right w:val="none" w:sz="0" w:space="0" w:color="auto"/>
                                      </w:divBdr>
                                      <w:divsChild>
                                        <w:div w:id="9502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66896">
                              <w:marLeft w:val="45"/>
                              <w:marRight w:val="0"/>
                              <w:marTop w:val="0"/>
                              <w:marBottom w:val="0"/>
                              <w:divBdr>
                                <w:top w:val="none" w:sz="0" w:space="0" w:color="auto"/>
                                <w:left w:val="none" w:sz="0" w:space="0" w:color="auto"/>
                                <w:bottom w:val="none" w:sz="0" w:space="0" w:color="auto"/>
                                <w:right w:val="none" w:sz="0" w:space="0" w:color="auto"/>
                              </w:divBdr>
                            </w:div>
                            <w:div w:id="1570576360">
                              <w:marLeft w:val="0"/>
                              <w:marRight w:val="0"/>
                              <w:marTop w:val="0"/>
                              <w:marBottom w:val="0"/>
                              <w:divBdr>
                                <w:top w:val="none" w:sz="0" w:space="0" w:color="auto"/>
                                <w:left w:val="none" w:sz="0" w:space="0" w:color="auto"/>
                                <w:bottom w:val="none" w:sz="0" w:space="0" w:color="auto"/>
                                <w:right w:val="none" w:sz="0" w:space="0" w:color="auto"/>
                              </w:divBdr>
                              <w:divsChild>
                                <w:div w:id="101326748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36417163">
                          <w:marLeft w:val="135"/>
                          <w:marRight w:val="45"/>
                          <w:marTop w:val="60"/>
                          <w:marBottom w:val="60"/>
                          <w:divBdr>
                            <w:top w:val="none" w:sz="0" w:space="0" w:color="auto"/>
                            <w:left w:val="none" w:sz="0" w:space="0" w:color="auto"/>
                            <w:bottom w:val="none" w:sz="0" w:space="0" w:color="auto"/>
                            <w:right w:val="none" w:sz="0" w:space="0" w:color="auto"/>
                          </w:divBdr>
                          <w:divsChild>
                            <w:div w:id="878318168">
                              <w:marLeft w:val="0"/>
                              <w:marRight w:val="0"/>
                              <w:marTop w:val="0"/>
                              <w:marBottom w:val="0"/>
                              <w:divBdr>
                                <w:top w:val="none" w:sz="0" w:space="0" w:color="auto"/>
                                <w:left w:val="none" w:sz="0" w:space="0" w:color="auto"/>
                                <w:bottom w:val="none" w:sz="0" w:space="0" w:color="auto"/>
                                <w:right w:val="none" w:sz="0" w:space="0" w:color="auto"/>
                              </w:divBdr>
                              <w:divsChild>
                                <w:div w:id="160705467">
                                  <w:marLeft w:val="0"/>
                                  <w:marRight w:val="150"/>
                                  <w:marTop w:val="0"/>
                                  <w:marBottom w:val="0"/>
                                  <w:divBdr>
                                    <w:top w:val="none" w:sz="0" w:space="0" w:color="auto"/>
                                    <w:left w:val="none" w:sz="0" w:space="0" w:color="auto"/>
                                    <w:bottom w:val="none" w:sz="0" w:space="0" w:color="auto"/>
                                    <w:right w:val="none" w:sz="0" w:space="0" w:color="auto"/>
                                  </w:divBdr>
                                </w:div>
                                <w:div w:id="20324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8825">
                      <w:marLeft w:val="30"/>
                      <w:marRight w:val="30"/>
                      <w:marTop w:val="0"/>
                      <w:marBottom w:val="0"/>
                      <w:divBdr>
                        <w:top w:val="none" w:sz="0" w:space="0" w:color="auto"/>
                        <w:left w:val="none" w:sz="0" w:space="0" w:color="auto"/>
                        <w:bottom w:val="none" w:sz="0" w:space="0" w:color="auto"/>
                        <w:right w:val="none" w:sz="0" w:space="0" w:color="auto"/>
                      </w:divBdr>
                      <w:divsChild>
                        <w:div w:id="1253926511">
                          <w:marLeft w:val="0"/>
                          <w:marRight w:val="90"/>
                          <w:marTop w:val="90"/>
                          <w:marBottom w:val="30"/>
                          <w:divBdr>
                            <w:top w:val="none" w:sz="0" w:space="0" w:color="auto"/>
                            <w:left w:val="none" w:sz="0" w:space="0" w:color="auto"/>
                            <w:bottom w:val="none" w:sz="0" w:space="0" w:color="auto"/>
                            <w:right w:val="none" w:sz="0" w:space="0" w:color="auto"/>
                          </w:divBdr>
                          <w:divsChild>
                            <w:div w:id="441153036">
                              <w:marLeft w:val="0"/>
                              <w:marRight w:val="30"/>
                              <w:marTop w:val="0"/>
                              <w:marBottom w:val="0"/>
                              <w:divBdr>
                                <w:top w:val="none" w:sz="0" w:space="0" w:color="auto"/>
                                <w:left w:val="none" w:sz="0" w:space="0" w:color="auto"/>
                                <w:bottom w:val="none" w:sz="0" w:space="0" w:color="auto"/>
                                <w:right w:val="none" w:sz="0" w:space="0" w:color="auto"/>
                              </w:divBdr>
                              <w:divsChild>
                                <w:div w:id="1150948664">
                                  <w:marLeft w:val="0"/>
                                  <w:marRight w:val="0"/>
                                  <w:marTop w:val="0"/>
                                  <w:marBottom w:val="0"/>
                                  <w:divBdr>
                                    <w:top w:val="none" w:sz="0" w:space="0" w:color="auto"/>
                                    <w:left w:val="none" w:sz="0" w:space="0" w:color="auto"/>
                                    <w:bottom w:val="none" w:sz="0" w:space="0" w:color="auto"/>
                                    <w:right w:val="none" w:sz="0" w:space="0" w:color="auto"/>
                                  </w:divBdr>
                                  <w:divsChild>
                                    <w:div w:id="2097087994">
                                      <w:marLeft w:val="0"/>
                                      <w:marRight w:val="0"/>
                                      <w:marTop w:val="0"/>
                                      <w:marBottom w:val="0"/>
                                      <w:divBdr>
                                        <w:top w:val="none" w:sz="0" w:space="0" w:color="auto"/>
                                        <w:left w:val="none" w:sz="0" w:space="0" w:color="auto"/>
                                        <w:bottom w:val="none" w:sz="0" w:space="0" w:color="auto"/>
                                        <w:right w:val="none" w:sz="0" w:space="0" w:color="auto"/>
                                      </w:divBdr>
                                      <w:divsChild>
                                        <w:div w:id="133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6443">
                              <w:marLeft w:val="45"/>
                              <w:marRight w:val="0"/>
                              <w:marTop w:val="0"/>
                              <w:marBottom w:val="0"/>
                              <w:divBdr>
                                <w:top w:val="none" w:sz="0" w:space="0" w:color="auto"/>
                                <w:left w:val="none" w:sz="0" w:space="0" w:color="auto"/>
                                <w:bottom w:val="none" w:sz="0" w:space="0" w:color="auto"/>
                                <w:right w:val="none" w:sz="0" w:space="0" w:color="auto"/>
                              </w:divBdr>
                            </w:div>
                            <w:div w:id="1900702539">
                              <w:marLeft w:val="0"/>
                              <w:marRight w:val="0"/>
                              <w:marTop w:val="0"/>
                              <w:marBottom w:val="0"/>
                              <w:divBdr>
                                <w:top w:val="none" w:sz="0" w:space="0" w:color="auto"/>
                                <w:left w:val="none" w:sz="0" w:space="0" w:color="auto"/>
                                <w:bottom w:val="none" w:sz="0" w:space="0" w:color="auto"/>
                                <w:right w:val="none" w:sz="0" w:space="0" w:color="auto"/>
                              </w:divBdr>
                              <w:divsChild>
                                <w:div w:id="48066257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574924784">
                          <w:marLeft w:val="135"/>
                          <w:marRight w:val="45"/>
                          <w:marTop w:val="60"/>
                          <w:marBottom w:val="60"/>
                          <w:divBdr>
                            <w:top w:val="none" w:sz="0" w:space="0" w:color="auto"/>
                            <w:left w:val="none" w:sz="0" w:space="0" w:color="auto"/>
                            <w:bottom w:val="none" w:sz="0" w:space="0" w:color="auto"/>
                            <w:right w:val="none" w:sz="0" w:space="0" w:color="auto"/>
                          </w:divBdr>
                          <w:divsChild>
                            <w:div w:id="2021006187">
                              <w:marLeft w:val="0"/>
                              <w:marRight w:val="0"/>
                              <w:marTop w:val="0"/>
                              <w:marBottom w:val="0"/>
                              <w:divBdr>
                                <w:top w:val="none" w:sz="0" w:space="0" w:color="auto"/>
                                <w:left w:val="none" w:sz="0" w:space="0" w:color="auto"/>
                                <w:bottom w:val="none" w:sz="0" w:space="0" w:color="auto"/>
                                <w:right w:val="none" w:sz="0" w:space="0" w:color="auto"/>
                              </w:divBdr>
                              <w:divsChild>
                                <w:div w:id="7126593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207974">
      <w:bodyDiv w:val="1"/>
      <w:marLeft w:val="0"/>
      <w:marRight w:val="0"/>
      <w:marTop w:val="0"/>
      <w:marBottom w:val="0"/>
      <w:divBdr>
        <w:top w:val="none" w:sz="0" w:space="0" w:color="auto"/>
        <w:left w:val="none" w:sz="0" w:space="0" w:color="auto"/>
        <w:bottom w:val="none" w:sz="0" w:space="0" w:color="auto"/>
        <w:right w:val="none" w:sz="0" w:space="0" w:color="auto"/>
      </w:divBdr>
    </w:div>
    <w:div w:id="2117747004">
      <w:bodyDiv w:val="1"/>
      <w:marLeft w:val="0"/>
      <w:marRight w:val="0"/>
      <w:marTop w:val="0"/>
      <w:marBottom w:val="0"/>
      <w:divBdr>
        <w:top w:val="none" w:sz="0" w:space="0" w:color="auto"/>
        <w:left w:val="none" w:sz="0" w:space="0" w:color="auto"/>
        <w:bottom w:val="none" w:sz="0" w:space="0" w:color="auto"/>
        <w:right w:val="none" w:sz="0" w:space="0" w:color="auto"/>
      </w:divBdr>
    </w:div>
    <w:div w:id="2120636337">
      <w:bodyDiv w:val="1"/>
      <w:marLeft w:val="0"/>
      <w:marRight w:val="0"/>
      <w:marTop w:val="0"/>
      <w:marBottom w:val="0"/>
      <w:divBdr>
        <w:top w:val="none" w:sz="0" w:space="0" w:color="auto"/>
        <w:left w:val="none" w:sz="0" w:space="0" w:color="auto"/>
        <w:bottom w:val="none" w:sz="0" w:space="0" w:color="auto"/>
        <w:right w:val="none" w:sz="0" w:space="0" w:color="auto"/>
      </w:divBdr>
      <w:divsChild>
        <w:div w:id="407776155">
          <w:marLeft w:val="0"/>
          <w:marRight w:val="0"/>
          <w:marTop w:val="0"/>
          <w:marBottom w:val="0"/>
          <w:divBdr>
            <w:top w:val="none" w:sz="0" w:space="0" w:color="auto"/>
            <w:left w:val="none" w:sz="0" w:space="0" w:color="auto"/>
            <w:bottom w:val="none" w:sz="0" w:space="0" w:color="auto"/>
            <w:right w:val="none" w:sz="0" w:space="0" w:color="auto"/>
          </w:divBdr>
          <w:divsChild>
            <w:div w:id="480316324">
              <w:marLeft w:val="0"/>
              <w:marRight w:val="0"/>
              <w:marTop w:val="0"/>
              <w:marBottom w:val="0"/>
              <w:divBdr>
                <w:top w:val="none" w:sz="0" w:space="0" w:color="auto"/>
                <w:left w:val="none" w:sz="0" w:space="0" w:color="auto"/>
                <w:bottom w:val="none" w:sz="0" w:space="0" w:color="auto"/>
                <w:right w:val="none" w:sz="0" w:space="0" w:color="auto"/>
              </w:divBdr>
              <w:divsChild>
                <w:div w:id="2095324516">
                  <w:marLeft w:val="0"/>
                  <w:marRight w:val="0"/>
                  <w:marTop w:val="0"/>
                  <w:marBottom w:val="0"/>
                  <w:divBdr>
                    <w:top w:val="none" w:sz="0" w:space="0" w:color="auto"/>
                    <w:left w:val="none" w:sz="0" w:space="0" w:color="auto"/>
                    <w:bottom w:val="none" w:sz="0" w:space="0" w:color="auto"/>
                    <w:right w:val="none" w:sz="0" w:space="0" w:color="auto"/>
                  </w:divBdr>
                  <w:divsChild>
                    <w:div w:id="223105365">
                      <w:marLeft w:val="30"/>
                      <w:marRight w:val="30"/>
                      <w:marTop w:val="0"/>
                      <w:marBottom w:val="0"/>
                      <w:divBdr>
                        <w:top w:val="none" w:sz="0" w:space="0" w:color="auto"/>
                        <w:left w:val="none" w:sz="0" w:space="0" w:color="auto"/>
                        <w:bottom w:val="none" w:sz="0" w:space="0" w:color="auto"/>
                        <w:right w:val="none" w:sz="0" w:space="0" w:color="auto"/>
                      </w:divBdr>
                      <w:divsChild>
                        <w:div w:id="329723284">
                          <w:marLeft w:val="0"/>
                          <w:marRight w:val="90"/>
                          <w:marTop w:val="90"/>
                          <w:marBottom w:val="30"/>
                          <w:divBdr>
                            <w:top w:val="none" w:sz="0" w:space="0" w:color="auto"/>
                            <w:left w:val="none" w:sz="0" w:space="0" w:color="auto"/>
                            <w:bottom w:val="none" w:sz="0" w:space="0" w:color="auto"/>
                            <w:right w:val="none" w:sz="0" w:space="0" w:color="auto"/>
                          </w:divBdr>
                          <w:divsChild>
                            <w:div w:id="314796024">
                              <w:marLeft w:val="0"/>
                              <w:marRight w:val="0"/>
                              <w:marTop w:val="0"/>
                              <w:marBottom w:val="0"/>
                              <w:divBdr>
                                <w:top w:val="none" w:sz="0" w:space="0" w:color="auto"/>
                                <w:left w:val="none" w:sz="0" w:space="0" w:color="auto"/>
                                <w:bottom w:val="none" w:sz="0" w:space="0" w:color="auto"/>
                                <w:right w:val="none" w:sz="0" w:space="0" w:color="auto"/>
                              </w:divBdr>
                              <w:divsChild>
                                <w:div w:id="1616256766">
                                  <w:marLeft w:val="45"/>
                                  <w:marRight w:val="0"/>
                                  <w:marTop w:val="0"/>
                                  <w:marBottom w:val="15"/>
                                  <w:divBdr>
                                    <w:top w:val="none" w:sz="0" w:space="0" w:color="auto"/>
                                    <w:left w:val="none" w:sz="0" w:space="0" w:color="auto"/>
                                    <w:bottom w:val="none" w:sz="0" w:space="0" w:color="auto"/>
                                    <w:right w:val="none" w:sz="0" w:space="0" w:color="auto"/>
                                  </w:divBdr>
                                </w:div>
                              </w:divsChild>
                            </w:div>
                            <w:div w:id="1549604061">
                              <w:marLeft w:val="0"/>
                              <w:marRight w:val="30"/>
                              <w:marTop w:val="0"/>
                              <w:marBottom w:val="0"/>
                              <w:divBdr>
                                <w:top w:val="none" w:sz="0" w:space="0" w:color="auto"/>
                                <w:left w:val="none" w:sz="0" w:space="0" w:color="auto"/>
                                <w:bottom w:val="none" w:sz="0" w:space="0" w:color="auto"/>
                                <w:right w:val="none" w:sz="0" w:space="0" w:color="auto"/>
                              </w:divBdr>
                              <w:divsChild>
                                <w:div w:id="1852258200">
                                  <w:marLeft w:val="0"/>
                                  <w:marRight w:val="0"/>
                                  <w:marTop w:val="0"/>
                                  <w:marBottom w:val="0"/>
                                  <w:divBdr>
                                    <w:top w:val="none" w:sz="0" w:space="0" w:color="auto"/>
                                    <w:left w:val="none" w:sz="0" w:space="0" w:color="auto"/>
                                    <w:bottom w:val="none" w:sz="0" w:space="0" w:color="auto"/>
                                    <w:right w:val="none" w:sz="0" w:space="0" w:color="auto"/>
                                  </w:divBdr>
                                  <w:divsChild>
                                    <w:div w:id="1123572445">
                                      <w:marLeft w:val="0"/>
                                      <w:marRight w:val="0"/>
                                      <w:marTop w:val="0"/>
                                      <w:marBottom w:val="0"/>
                                      <w:divBdr>
                                        <w:top w:val="none" w:sz="0" w:space="0" w:color="auto"/>
                                        <w:left w:val="none" w:sz="0" w:space="0" w:color="auto"/>
                                        <w:bottom w:val="none" w:sz="0" w:space="0" w:color="auto"/>
                                        <w:right w:val="none" w:sz="0" w:space="0" w:color="auto"/>
                                      </w:divBdr>
                                      <w:divsChild>
                                        <w:div w:id="11250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7397">
                              <w:marLeft w:val="45"/>
                              <w:marRight w:val="0"/>
                              <w:marTop w:val="0"/>
                              <w:marBottom w:val="0"/>
                              <w:divBdr>
                                <w:top w:val="none" w:sz="0" w:space="0" w:color="auto"/>
                                <w:left w:val="none" w:sz="0" w:space="0" w:color="auto"/>
                                <w:bottom w:val="none" w:sz="0" w:space="0" w:color="auto"/>
                                <w:right w:val="none" w:sz="0" w:space="0" w:color="auto"/>
                              </w:divBdr>
                            </w:div>
                          </w:divsChild>
                        </w:div>
                        <w:div w:id="779177552">
                          <w:marLeft w:val="135"/>
                          <w:marRight w:val="45"/>
                          <w:marTop w:val="60"/>
                          <w:marBottom w:val="60"/>
                          <w:divBdr>
                            <w:top w:val="none" w:sz="0" w:space="0" w:color="auto"/>
                            <w:left w:val="none" w:sz="0" w:space="0" w:color="auto"/>
                            <w:bottom w:val="none" w:sz="0" w:space="0" w:color="auto"/>
                            <w:right w:val="none" w:sz="0" w:space="0" w:color="auto"/>
                          </w:divBdr>
                          <w:divsChild>
                            <w:div w:id="348795298">
                              <w:marLeft w:val="0"/>
                              <w:marRight w:val="0"/>
                              <w:marTop w:val="0"/>
                              <w:marBottom w:val="0"/>
                              <w:divBdr>
                                <w:top w:val="none" w:sz="0" w:space="0" w:color="auto"/>
                                <w:left w:val="none" w:sz="0" w:space="0" w:color="auto"/>
                                <w:bottom w:val="none" w:sz="0" w:space="0" w:color="auto"/>
                                <w:right w:val="none" w:sz="0" w:space="0" w:color="auto"/>
                              </w:divBdr>
                              <w:divsChild>
                                <w:div w:id="17540809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3598610">
                      <w:marLeft w:val="30"/>
                      <w:marRight w:val="30"/>
                      <w:marTop w:val="0"/>
                      <w:marBottom w:val="0"/>
                      <w:divBdr>
                        <w:top w:val="none" w:sz="0" w:space="0" w:color="auto"/>
                        <w:left w:val="none" w:sz="0" w:space="0" w:color="auto"/>
                        <w:bottom w:val="none" w:sz="0" w:space="0" w:color="auto"/>
                        <w:right w:val="none" w:sz="0" w:space="0" w:color="auto"/>
                      </w:divBdr>
                      <w:divsChild>
                        <w:div w:id="827405234">
                          <w:marLeft w:val="0"/>
                          <w:marRight w:val="90"/>
                          <w:marTop w:val="90"/>
                          <w:marBottom w:val="30"/>
                          <w:divBdr>
                            <w:top w:val="none" w:sz="0" w:space="0" w:color="auto"/>
                            <w:left w:val="none" w:sz="0" w:space="0" w:color="auto"/>
                            <w:bottom w:val="none" w:sz="0" w:space="0" w:color="auto"/>
                            <w:right w:val="none" w:sz="0" w:space="0" w:color="auto"/>
                          </w:divBdr>
                          <w:divsChild>
                            <w:div w:id="84348397">
                              <w:marLeft w:val="0"/>
                              <w:marRight w:val="30"/>
                              <w:marTop w:val="0"/>
                              <w:marBottom w:val="0"/>
                              <w:divBdr>
                                <w:top w:val="none" w:sz="0" w:space="0" w:color="auto"/>
                                <w:left w:val="none" w:sz="0" w:space="0" w:color="auto"/>
                                <w:bottom w:val="none" w:sz="0" w:space="0" w:color="auto"/>
                                <w:right w:val="none" w:sz="0" w:space="0" w:color="auto"/>
                              </w:divBdr>
                              <w:divsChild>
                                <w:div w:id="851409638">
                                  <w:marLeft w:val="0"/>
                                  <w:marRight w:val="0"/>
                                  <w:marTop w:val="0"/>
                                  <w:marBottom w:val="0"/>
                                  <w:divBdr>
                                    <w:top w:val="none" w:sz="0" w:space="0" w:color="auto"/>
                                    <w:left w:val="none" w:sz="0" w:space="0" w:color="auto"/>
                                    <w:bottom w:val="none" w:sz="0" w:space="0" w:color="auto"/>
                                    <w:right w:val="none" w:sz="0" w:space="0" w:color="auto"/>
                                  </w:divBdr>
                                  <w:divsChild>
                                    <w:div w:id="1986202476">
                                      <w:marLeft w:val="0"/>
                                      <w:marRight w:val="0"/>
                                      <w:marTop w:val="0"/>
                                      <w:marBottom w:val="0"/>
                                      <w:divBdr>
                                        <w:top w:val="none" w:sz="0" w:space="0" w:color="auto"/>
                                        <w:left w:val="none" w:sz="0" w:space="0" w:color="auto"/>
                                        <w:bottom w:val="none" w:sz="0" w:space="0" w:color="auto"/>
                                        <w:right w:val="none" w:sz="0" w:space="0" w:color="auto"/>
                                      </w:divBdr>
                                      <w:divsChild>
                                        <w:div w:id="11204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52515">
                              <w:marLeft w:val="0"/>
                              <w:marRight w:val="0"/>
                              <w:marTop w:val="0"/>
                              <w:marBottom w:val="0"/>
                              <w:divBdr>
                                <w:top w:val="none" w:sz="0" w:space="0" w:color="auto"/>
                                <w:left w:val="none" w:sz="0" w:space="0" w:color="auto"/>
                                <w:bottom w:val="none" w:sz="0" w:space="0" w:color="auto"/>
                                <w:right w:val="none" w:sz="0" w:space="0" w:color="auto"/>
                              </w:divBdr>
                              <w:divsChild>
                                <w:div w:id="1084258668">
                                  <w:marLeft w:val="45"/>
                                  <w:marRight w:val="0"/>
                                  <w:marTop w:val="0"/>
                                  <w:marBottom w:val="15"/>
                                  <w:divBdr>
                                    <w:top w:val="none" w:sz="0" w:space="0" w:color="auto"/>
                                    <w:left w:val="none" w:sz="0" w:space="0" w:color="auto"/>
                                    <w:bottom w:val="none" w:sz="0" w:space="0" w:color="auto"/>
                                    <w:right w:val="none" w:sz="0" w:space="0" w:color="auto"/>
                                  </w:divBdr>
                                </w:div>
                              </w:divsChild>
                            </w:div>
                            <w:div w:id="1409503486">
                              <w:marLeft w:val="45"/>
                              <w:marRight w:val="0"/>
                              <w:marTop w:val="0"/>
                              <w:marBottom w:val="0"/>
                              <w:divBdr>
                                <w:top w:val="none" w:sz="0" w:space="0" w:color="auto"/>
                                <w:left w:val="none" w:sz="0" w:space="0" w:color="auto"/>
                                <w:bottom w:val="none" w:sz="0" w:space="0" w:color="auto"/>
                                <w:right w:val="none" w:sz="0" w:space="0" w:color="auto"/>
                              </w:divBdr>
                            </w:div>
                          </w:divsChild>
                        </w:div>
                        <w:div w:id="1946451915">
                          <w:marLeft w:val="135"/>
                          <w:marRight w:val="45"/>
                          <w:marTop w:val="60"/>
                          <w:marBottom w:val="60"/>
                          <w:divBdr>
                            <w:top w:val="none" w:sz="0" w:space="0" w:color="auto"/>
                            <w:left w:val="none" w:sz="0" w:space="0" w:color="auto"/>
                            <w:bottom w:val="none" w:sz="0" w:space="0" w:color="auto"/>
                            <w:right w:val="none" w:sz="0" w:space="0" w:color="auto"/>
                          </w:divBdr>
                          <w:divsChild>
                            <w:div w:id="2104950984">
                              <w:marLeft w:val="0"/>
                              <w:marRight w:val="0"/>
                              <w:marTop w:val="0"/>
                              <w:marBottom w:val="0"/>
                              <w:divBdr>
                                <w:top w:val="none" w:sz="0" w:space="0" w:color="auto"/>
                                <w:left w:val="none" w:sz="0" w:space="0" w:color="auto"/>
                                <w:bottom w:val="none" w:sz="0" w:space="0" w:color="auto"/>
                                <w:right w:val="none" w:sz="0" w:space="0" w:color="auto"/>
                              </w:divBdr>
                              <w:divsChild>
                                <w:div w:id="1038512569">
                                  <w:marLeft w:val="0"/>
                                  <w:marRight w:val="150"/>
                                  <w:marTop w:val="0"/>
                                  <w:marBottom w:val="0"/>
                                  <w:divBdr>
                                    <w:top w:val="none" w:sz="0" w:space="0" w:color="auto"/>
                                    <w:left w:val="none" w:sz="0" w:space="0" w:color="auto"/>
                                    <w:bottom w:val="none" w:sz="0" w:space="0" w:color="auto"/>
                                    <w:right w:val="none" w:sz="0" w:space="0" w:color="auto"/>
                                  </w:divBdr>
                                </w:div>
                                <w:div w:id="17052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45223">
                      <w:marLeft w:val="30"/>
                      <w:marRight w:val="30"/>
                      <w:marTop w:val="0"/>
                      <w:marBottom w:val="0"/>
                      <w:divBdr>
                        <w:top w:val="none" w:sz="0" w:space="0" w:color="auto"/>
                        <w:left w:val="none" w:sz="0" w:space="0" w:color="auto"/>
                        <w:bottom w:val="none" w:sz="0" w:space="0" w:color="auto"/>
                        <w:right w:val="none" w:sz="0" w:space="0" w:color="auto"/>
                      </w:divBdr>
                      <w:divsChild>
                        <w:div w:id="605159836">
                          <w:marLeft w:val="0"/>
                          <w:marRight w:val="90"/>
                          <w:marTop w:val="90"/>
                          <w:marBottom w:val="30"/>
                          <w:divBdr>
                            <w:top w:val="none" w:sz="0" w:space="0" w:color="auto"/>
                            <w:left w:val="none" w:sz="0" w:space="0" w:color="auto"/>
                            <w:bottom w:val="none" w:sz="0" w:space="0" w:color="auto"/>
                            <w:right w:val="none" w:sz="0" w:space="0" w:color="auto"/>
                          </w:divBdr>
                          <w:divsChild>
                            <w:div w:id="1174495139">
                              <w:marLeft w:val="45"/>
                              <w:marRight w:val="0"/>
                              <w:marTop w:val="0"/>
                              <w:marBottom w:val="0"/>
                              <w:divBdr>
                                <w:top w:val="none" w:sz="0" w:space="0" w:color="auto"/>
                                <w:left w:val="none" w:sz="0" w:space="0" w:color="auto"/>
                                <w:bottom w:val="none" w:sz="0" w:space="0" w:color="auto"/>
                                <w:right w:val="none" w:sz="0" w:space="0" w:color="auto"/>
                              </w:divBdr>
                            </w:div>
                            <w:div w:id="1533883604">
                              <w:marLeft w:val="0"/>
                              <w:marRight w:val="0"/>
                              <w:marTop w:val="0"/>
                              <w:marBottom w:val="0"/>
                              <w:divBdr>
                                <w:top w:val="none" w:sz="0" w:space="0" w:color="auto"/>
                                <w:left w:val="none" w:sz="0" w:space="0" w:color="auto"/>
                                <w:bottom w:val="none" w:sz="0" w:space="0" w:color="auto"/>
                                <w:right w:val="none" w:sz="0" w:space="0" w:color="auto"/>
                              </w:divBdr>
                              <w:divsChild>
                                <w:div w:id="608701423">
                                  <w:marLeft w:val="45"/>
                                  <w:marRight w:val="0"/>
                                  <w:marTop w:val="0"/>
                                  <w:marBottom w:val="15"/>
                                  <w:divBdr>
                                    <w:top w:val="none" w:sz="0" w:space="0" w:color="auto"/>
                                    <w:left w:val="none" w:sz="0" w:space="0" w:color="auto"/>
                                    <w:bottom w:val="none" w:sz="0" w:space="0" w:color="auto"/>
                                    <w:right w:val="none" w:sz="0" w:space="0" w:color="auto"/>
                                  </w:divBdr>
                                </w:div>
                              </w:divsChild>
                            </w:div>
                            <w:div w:id="1566724660">
                              <w:marLeft w:val="0"/>
                              <w:marRight w:val="30"/>
                              <w:marTop w:val="0"/>
                              <w:marBottom w:val="0"/>
                              <w:divBdr>
                                <w:top w:val="none" w:sz="0" w:space="0" w:color="auto"/>
                                <w:left w:val="none" w:sz="0" w:space="0" w:color="auto"/>
                                <w:bottom w:val="none" w:sz="0" w:space="0" w:color="auto"/>
                                <w:right w:val="none" w:sz="0" w:space="0" w:color="auto"/>
                              </w:divBdr>
                              <w:divsChild>
                                <w:div w:id="1002078122">
                                  <w:marLeft w:val="0"/>
                                  <w:marRight w:val="0"/>
                                  <w:marTop w:val="0"/>
                                  <w:marBottom w:val="0"/>
                                  <w:divBdr>
                                    <w:top w:val="none" w:sz="0" w:space="0" w:color="auto"/>
                                    <w:left w:val="none" w:sz="0" w:space="0" w:color="auto"/>
                                    <w:bottom w:val="none" w:sz="0" w:space="0" w:color="auto"/>
                                    <w:right w:val="none" w:sz="0" w:space="0" w:color="auto"/>
                                  </w:divBdr>
                                  <w:divsChild>
                                    <w:div w:id="1652248977">
                                      <w:marLeft w:val="0"/>
                                      <w:marRight w:val="0"/>
                                      <w:marTop w:val="0"/>
                                      <w:marBottom w:val="0"/>
                                      <w:divBdr>
                                        <w:top w:val="none" w:sz="0" w:space="0" w:color="auto"/>
                                        <w:left w:val="none" w:sz="0" w:space="0" w:color="auto"/>
                                        <w:bottom w:val="none" w:sz="0" w:space="0" w:color="auto"/>
                                        <w:right w:val="none" w:sz="0" w:space="0" w:color="auto"/>
                                      </w:divBdr>
                                      <w:divsChild>
                                        <w:div w:id="9210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57412">
                          <w:marLeft w:val="135"/>
                          <w:marRight w:val="45"/>
                          <w:marTop w:val="60"/>
                          <w:marBottom w:val="60"/>
                          <w:divBdr>
                            <w:top w:val="none" w:sz="0" w:space="0" w:color="auto"/>
                            <w:left w:val="none" w:sz="0" w:space="0" w:color="auto"/>
                            <w:bottom w:val="none" w:sz="0" w:space="0" w:color="auto"/>
                            <w:right w:val="none" w:sz="0" w:space="0" w:color="auto"/>
                          </w:divBdr>
                          <w:divsChild>
                            <w:div w:id="2016378227">
                              <w:marLeft w:val="0"/>
                              <w:marRight w:val="0"/>
                              <w:marTop w:val="0"/>
                              <w:marBottom w:val="0"/>
                              <w:divBdr>
                                <w:top w:val="none" w:sz="0" w:space="0" w:color="auto"/>
                                <w:left w:val="none" w:sz="0" w:space="0" w:color="auto"/>
                                <w:bottom w:val="none" w:sz="0" w:space="0" w:color="auto"/>
                                <w:right w:val="none" w:sz="0" w:space="0" w:color="auto"/>
                              </w:divBdr>
                              <w:divsChild>
                                <w:div w:id="1067146800">
                                  <w:marLeft w:val="0"/>
                                  <w:marRight w:val="0"/>
                                  <w:marTop w:val="0"/>
                                  <w:marBottom w:val="0"/>
                                  <w:divBdr>
                                    <w:top w:val="none" w:sz="0" w:space="0" w:color="auto"/>
                                    <w:left w:val="none" w:sz="0" w:space="0" w:color="auto"/>
                                    <w:bottom w:val="none" w:sz="0" w:space="0" w:color="auto"/>
                                    <w:right w:val="none" w:sz="0" w:space="0" w:color="auto"/>
                                  </w:divBdr>
                                </w:div>
                                <w:div w:id="1883784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96224634">
                      <w:marLeft w:val="30"/>
                      <w:marRight w:val="30"/>
                      <w:marTop w:val="0"/>
                      <w:marBottom w:val="0"/>
                      <w:divBdr>
                        <w:top w:val="none" w:sz="0" w:space="0" w:color="auto"/>
                        <w:left w:val="none" w:sz="0" w:space="0" w:color="auto"/>
                        <w:bottom w:val="none" w:sz="0" w:space="0" w:color="auto"/>
                        <w:right w:val="none" w:sz="0" w:space="0" w:color="auto"/>
                      </w:divBdr>
                      <w:divsChild>
                        <w:div w:id="826627230">
                          <w:marLeft w:val="0"/>
                          <w:marRight w:val="90"/>
                          <w:marTop w:val="90"/>
                          <w:marBottom w:val="30"/>
                          <w:divBdr>
                            <w:top w:val="none" w:sz="0" w:space="0" w:color="auto"/>
                            <w:left w:val="none" w:sz="0" w:space="0" w:color="auto"/>
                            <w:bottom w:val="none" w:sz="0" w:space="0" w:color="auto"/>
                            <w:right w:val="none" w:sz="0" w:space="0" w:color="auto"/>
                          </w:divBdr>
                          <w:divsChild>
                            <w:div w:id="102695213">
                              <w:marLeft w:val="0"/>
                              <w:marRight w:val="30"/>
                              <w:marTop w:val="0"/>
                              <w:marBottom w:val="0"/>
                              <w:divBdr>
                                <w:top w:val="none" w:sz="0" w:space="0" w:color="auto"/>
                                <w:left w:val="none" w:sz="0" w:space="0" w:color="auto"/>
                                <w:bottom w:val="none" w:sz="0" w:space="0" w:color="auto"/>
                                <w:right w:val="none" w:sz="0" w:space="0" w:color="auto"/>
                              </w:divBdr>
                              <w:divsChild>
                                <w:div w:id="219949336">
                                  <w:marLeft w:val="0"/>
                                  <w:marRight w:val="0"/>
                                  <w:marTop w:val="0"/>
                                  <w:marBottom w:val="0"/>
                                  <w:divBdr>
                                    <w:top w:val="none" w:sz="0" w:space="0" w:color="auto"/>
                                    <w:left w:val="none" w:sz="0" w:space="0" w:color="auto"/>
                                    <w:bottom w:val="none" w:sz="0" w:space="0" w:color="auto"/>
                                    <w:right w:val="none" w:sz="0" w:space="0" w:color="auto"/>
                                  </w:divBdr>
                                  <w:divsChild>
                                    <w:div w:id="1720857267">
                                      <w:marLeft w:val="0"/>
                                      <w:marRight w:val="0"/>
                                      <w:marTop w:val="0"/>
                                      <w:marBottom w:val="0"/>
                                      <w:divBdr>
                                        <w:top w:val="none" w:sz="0" w:space="0" w:color="auto"/>
                                        <w:left w:val="none" w:sz="0" w:space="0" w:color="auto"/>
                                        <w:bottom w:val="none" w:sz="0" w:space="0" w:color="auto"/>
                                        <w:right w:val="none" w:sz="0" w:space="0" w:color="auto"/>
                                      </w:divBdr>
                                      <w:divsChild>
                                        <w:div w:id="7213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62961">
                              <w:marLeft w:val="45"/>
                              <w:marRight w:val="0"/>
                              <w:marTop w:val="0"/>
                              <w:marBottom w:val="0"/>
                              <w:divBdr>
                                <w:top w:val="none" w:sz="0" w:space="0" w:color="auto"/>
                                <w:left w:val="none" w:sz="0" w:space="0" w:color="auto"/>
                                <w:bottom w:val="none" w:sz="0" w:space="0" w:color="auto"/>
                                <w:right w:val="none" w:sz="0" w:space="0" w:color="auto"/>
                              </w:divBdr>
                            </w:div>
                            <w:div w:id="1051268846">
                              <w:marLeft w:val="0"/>
                              <w:marRight w:val="0"/>
                              <w:marTop w:val="0"/>
                              <w:marBottom w:val="0"/>
                              <w:divBdr>
                                <w:top w:val="none" w:sz="0" w:space="0" w:color="auto"/>
                                <w:left w:val="none" w:sz="0" w:space="0" w:color="auto"/>
                                <w:bottom w:val="none" w:sz="0" w:space="0" w:color="auto"/>
                                <w:right w:val="none" w:sz="0" w:space="0" w:color="auto"/>
                              </w:divBdr>
                              <w:divsChild>
                                <w:div w:id="94819960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62664770">
                          <w:marLeft w:val="135"/>
                          <w:marRight w:val="45"/>
                          <w:marTop w:val="60"/>
                          <w:marBottom w:val="60"/>
                          <w:divBdr>
                            <w:top w:val="none" w:sz="0" w:space="0" w:color="auto"/>
                            <w:left w:val="none" w:sz="0" w:space="0" w:color="auto"/>
                            <w:bottom w:val="none" w:sz="0" w:space="0" w:color="auto"/>
                            <w:right w:val="none" w:sz="0" w:space="0" w:color="auto"/>
                          </w:divBdr>
                          <w:divsChild>
                            <w:div w:id="692465617">
                              <w:marLeft w:val="0"/>
                              <w:marRight w:val="0"/>
                              <w:marTop w:val="0"/>
                              <w:marBottom w:val="0"/>
                              <w:divBdr>
                                <w:top w:val="none" w:sz="0" w:space="0" w:color="auto"/>
                                <w:left w:val="none" w:sz="0" w:space="0" w:color="auto"/>
                                <w:bottom w:val="none" w:sz="0" w:space="0" w:color="auto"/>
                                <w:right w:val="none" w:sz="0" w:space="0" w:color="auto"/>
                              </w:divBdr>
                              <w:divsChild>
                                <w:div w:id="405229061">
                                  <w:marLeft w:val="0"/>
                                  <w:marRight w:val="150"/>
                                  <w:marTop w:val="0"/>
                                  <w:marBottom w:val="0"/>
                                  <w:divBdr>
                                    <w:top w:val="none" w:sz="0" w:space="0" w:color="auto"/>
                                    <w:left w:val="none" w:sz="0" w:space="0" w:color="auto"/>
                                    <w:bottom w:val="none" w:sz="0" w:space="0" w:color="auto"/>
                                    <w:right w:val="none" w:sz="0" w:space="0" w:color="auto"/>
                                  </w:divBdr>
                                </w:div>
                                <w:div w:id="641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8928">
                      <w:marLeft w:val="30"/>
                      <w:marRight w:val="30"/>
                      <w:marTop w:val="0"/>
                      <w:marBottom w:val="0"/>
                      <w:divBdr>
                        <w:top w:val="none" w:sz="0" w:space="0" w:color="auto"/>
                        <w:left w:val="none" w:sz="0" w:space="0" w:color="auto"/>
                        <w:bottom w:val="none" w:sz="0" w:space="0" w:color="auto"/>
                        <w:right w:val="none" w:sz="0" w:space="0" w:color="auto"/>
                      </w:divBdr>
                      <w:divsChild>
                        <w:div w:id="1556508262">
                          <w:marLeft w:val="180"/>
                          <w:marRight w:val="210"/>
                          <w:marTop w:val="0"/>
                          <w:marBottom w:val="30"/>
                          <w:divBdr>
                            <w:top w:val="none" w:sz="0" w:space="0" w:color="auto"/>
                            <w:left w:val="none" w:sz="0" w:space="0" w:color="auto"/>
                            <w:bottom w:val="none" w:sz="0" w:space="0" w:color="auto"/>
                            <w:right w:val="none" w:sz="0" w:space="0" w:color="auto"/>
                          </w:divBdr>
                          <w:divsChild>
                            <w:div w:id="1371565710">
                              <w:marLeft w:val="0"/>
                              <w:marRight w:val="30"/>
                              <w:marTop w:val="0"/>
                              <w:marBottom w:val="0"/>
                              <w:divBdr>
                                <w:top w:val="none" w:sz="0" w:space="0" w:color="auto"/>
                                <w:left w:val="none" w:sz="0" w:space="0" w:color="auto"/>
                                <w:bottom w:val="none" w:sz="0" w:space="0" w:color="auto"/>
                                <w:right w:val="none" w:sz="0" w:space="0" w:color="auto"/>
                              </w:divBdr>
                              <w:divsChild>
                                <w:div w:id="474759948">
                                  <w:marLeft w:val="0"/>
                                  <w:marRight w:val="0"/>
                                  <w:marTop w:val="0"/>
                                  <w:marBottom w:val="0"/>
                                  <w:divBdr>
                                    <w:top w:val="none" w:sz="0" w:space="0" w:color="auto"/>
                                    <w:left w:val="none" w:sz="0" w:space="0" w:color="auto"/>
                                    <w:bottom w:val="none" w:sz="0" w:space="0" w:color="auto"/>
                                    <w:right w:val="none" w:sz="0" w:space="0" w:color="auto"/>
                                  </w:divBdr>
                                  <w:divsChild>
                                    <w:div w:id="1799910489">
                                      <w:marLeft w:val="0"/>
                                      <w:marRight w:val="0"/>
                                      <w:marTop w:val="0"/>
                                      <w:marBottom w:val="0"/>
                                      <w:divBdr>
                                        <w:top w:val="none" w:sz="0" w:space="0" w:color="auto"/>
                                        <w:left w:val="none" w:sz="0" w:space="0" w:color="auto"/>
                                        <w:bottom w:val="none" w:sz="0" w:space="0" w:color="auto"/>
                                        <w:right w:val="none" w:sz="0" w:space="0" w:color="auto"/>
                                      </w:divBdr>
                                      <w:divsChild>
                                        <w:div w:id="20695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34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7218593">
                      <w:marLeft w:val="30"/>
                      <w:marRight w:val="30"/>
                      <w:marTop w:val="0"/>
                      <w:marBottom w:val="0"/>
                      <w:divBdr>
                        <w:top w:val="none" w:sz="0" w:space="0" w:color="auto"/>
                        <w:left w:val="none" w:sz="0" w:space="0" w:color="auto"/>
                        <w:bottom w:val="none" w:sz="0" w:space="0" w:color="auto"/>
                        <w:right w:val="none" w:sz="0" w:space="0" w:color="auto"/>
                      </w:divBdr>
                      <w:divsChild>
                        <w:div w:id="47152914">
                          <w:marLeft w:val="135"/>
                          <w:marRight w:val="45"/>
                          <w:marTop w:val="60"/>
                          <w:marBottom w:val="60"/>
                          <w:divBdr>
                            <w:top w:val="none" w:sz="0" w:space="0" w:color="auto"/>
                            <w:left w:val="none" w:sz="0" w:space="0" w:color="auto"/>
                            <w:bottom w:val="none" w:sz="0" w:space="0" w:color="auto"/>
                            <w:right w:val="none" w:sz="0" w:space="0" w:color="auto"/>
                          </w:divBdr>
                          <w:divsChild>
                            <w:div w:id="1650865773">
                              <w:marLeft w:val="0"/>
                              <w:marRight w:val="0"/>
                              <w:marTop w:val="0"/>
                              <w:marBottom w:val="0"/>
                              <w:divBdr>
                                <w:top w:val="none" w:sz="0" w:space="0" w:color="auto"/>
                                <w:left w:val="none" w:sz="0" w:space="0" w:color="auto"/>
                                <w:bottom w:val="none" w:sz="0" w:space="0" w:color="auto"/>
                                <w:right w:val="none" w:sz="0" w:space="0" w:color="auto"/>
                              </w:divBdr>
                              <w:divsChild>
                                <w:div w:id="1098790302">
                                  <w:marLeft w:val="0"/>
                                  <w:marRight w:val="0"/>
                                  <w:marTop w:val="0"/>
                                  <w:marBottom w:val="0"/>
                                  <w:divBdr>
                                    <w:top w:val="none" w:sz="0" w:space="0" w:color="auto"/>
                                    <w:left w:val="none" w:sz="0" w:space="0" w:color="auto"/>
                                    <w:bottom w:val="none" w:sz="0" w:space="0" w:color="auto"/>
                                    <w:right w:val="none" w:sz="0" w:space="0" w:color="auto"/>
                                  </w:divBdr>
                                </w:div>
                                <w:div w:id="2094203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68501006">
                          <w:marLeft w:val="0"/>
                          <w:marRight w:val="90"/>
                          <w:marTop w:val="90"/>
                          <w:marBottom w:val="30"/>
                          <w:divBdr>
                            <w:top w:val="none" w:sz="0" w:space="0" w:color="auto"/>
                            <w:left w:val="none" w:sz="0" w:space="0" w:color="auto"/>
                            <w:bottom w:val="none" w:sz="0" w:space="0" w:color="auto"/>
                            <w:right w:val="none" w:sz="0" w:space="0" w:color="auto"/>
                          </w:divBdr>
                          <w:divsChild>
                            <w:div w:id="849025133">
                              <w:marLeft w:val="0"/>
                              <w:marRight w:val="0"/>
                              <w:marTop w:val="0"/>
                              <w:marBottom w:val="0"/>
                              <w:divBdr>
                                <w:top w:val="none" w:sz="0" w:space="0" w:color="auto"/>
                                <w:left w:val="none" w:sz="0" w:space="0" w:color="auto"/>
                                <w:bottom w:val="none" w:sz="0" w:space="0" w:color="auto"/>
                                <w:right w:val="none" w:sz="0" w:space="0" w:color="auto"/>
                              </w:divBdr>
                              <w:divsChild>
                                <w:div w:id="2096784339">
                                  <w:marLeft w:val="45"/>
                                  <w:marRight w:val="0"/>
                                  <w:marTop w:val="0"/>
                                  <w:marBottom w:val="15"/>
                                  <w:divBdr>
                                    <w:top w:val="none" w:sz="0" w:space="0" w:color="auto"/>
                                    <w:left w:val="none" w:sz="0" w:space="0" w:color="auto"/>
                                    <w:bottom w:val="none" w:sz="0" w:space="0" w:color="auto"/>
                                    <w:right w:val="none" w:sz="0" w:space="0" w:color="auto"/>
                                  </w:divBdr>
                                </w:div>
                              </w:divsChild>
                            </w:div>
                            <w:div w:id="928318516">
                              <w:marLeft w:val="0"/>
                              <w:marRight w:val="30"/>
                              <w:marTop w:val="0"/>
                              <w:marBottom w:val="0"/>
                              <w:divBdr>
                                <w:top w:val="none" w:sz="0" w:space="0" w:color="auto"/>
                                <w:left w:val="none" w:sz="0" w:space="0" w:color="auto"/>
                                <w:bottom w:val="none" w:sz="0" w:space="0" w:color="auto"/>
                                <w:right w:val="none" w:sz="0" w:space="0" w:color="auto"/>
                              </w:divBdr>
                              <w:divsChild>
                                <w:div w:id="2027629783">
                                  <w:marLeft w:val="0"/>
                                  <w:marRight w:val="0"/>
                                  <w:marTop w:val="0"/>
                                  <w:marBottom w:val="0"/>
                                  <w:divBdr>
                                    <w:top w:val="none" w:sz="0" w:space="0" w:color="auto"/>
                                    <w:left w:val="none" w:sz="0" w:space="0" w:color="auto"/>
                                    <w:bottom w:val="none" w:sz="0" w:space="0" w:color="auto"/>
                                    <w:right w:val="none" w:sz="0" w:space="0" w:color="auto"/>
                                  </w:divBdr>
                                  <w:divsChild>
                                    <w:div w:id="1751732927">
                                      <w:marLeft w:val="0"/>
                                      <w:marRight w:val="0"/>
                                      <w:marTop w:val="0"/>
                                      <w:marBottom w:val="0"/>
                                      <w:divBdr>
                                        <w:top w:val="none" w:sz="0" w:space="0" w:color="auto"/>
                                        <w:left w:val="none" w:sz="0" w:space="0" w:color="auto"/>
                                        <w:bottom w:val="none" w:sz="0" w:space="0" w:color="auto"/>
                                        <w:right w:val="none" w:sz="0" w:space="0" w:color="auto"/>
                                      </w:divBdr>
                                      <w:divsChild>
                                        <w:div w:id="4730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599191">
          <w:marLeft w:val="0"/>
          <w:marRight w:val="0"/>
          <w:marTop w:val="0"/>
          <w:marBottom w:val="0"/>
          <w:divBdr>
            <w:top w:val="none" w:sz="0" w:space="0" w:color="auto"/>
            <w:left w:val="none" w:sz="0" w:space="0" w:color="auto"/>
            <w:bottom w:val="none" w:sz="0" w:space="0" w:color="auto"/>
            <w:right w:val="none" w:sz="0" w:space="0" w:color="auto"/>
          </w:divBdr>
          <w:divsChild>
            <w:div w:id="1077752169">
              <w:marLeft w:val="210"/>
              <w:marRight w:val="0"/>
              <w:marTop w:val="120"/>
              <w:marBottom w:val="0"/>
              <w:divBdr>
                <w:top w:val="none" w:sz="0" w:space="0" w:color="auto"/>
                <w:left w:val="none" w:sz="0" w:space="0" w:color="auto"/>
                <w:bottom w:val="none" w:sz="0" w:space="0" w:color="auto"/>
                <w:right w:val="none" w:sz="0" w:space="0" w:color="auto"/>
              </w:divBdr>
              <w:divsChild>
                <w:div w:id="490174214">
                  <w:marLeft w:val="0"/>
                  <w:marRight w:val="0"/>
                  <w:marTop w:val="0"/>
                  <w:marBottom w:val="0"/>
                  <w:divBdr>
                    <w:top w:val="none" w:sz="0" w:space="0" w:color="auto"/>
                    <w:left w:val="none" w:sz="0" w:space="0" w:color="auto"/>
                    <w:bottom w:val="none" w:sz="0" w:space="0" w:color="auto"/>
                    <w:right w:val="none" w:sz="0" w:space="0" w:color="auto"/>
                  </w:divBdr>
                  <w:divsChild>
                    <w:div w:id="168304525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122454857">
      <w:bodyDiv w:val="1"/>
      <w:marLeft w:val="0"/>
      <w:marRight w:val="0"/>
      <w:marTop w:val="0"/>
      <w:marBottom w:val="0"/>
      <w:divBdr>
        <w:top w:val="none" w:sz="0" w:space="0" w:color="auto"/>
        <w:left w:val="none" w:sz="0" w:space="0" w:color="auto"/>
        <w:bottom w:val="none" w:sz="0" w:space="0" w:color="auto"/>
        <w:right w:val="none" w:sz="0" w:space="0" w:color="auto"/>
      </w:divBdr>
      <w:divsChild>
        <w:div w:id="1412392610">
          <w:marLeft w:val="0"/>
          <w:marRight w:val="0"/>
          <w:marTop w:val="0"/>
          <w:marBottom w:val="0"/>
          <w:divBdr>
            <w:top w:val="none" w:sz="0" w:space="0" w:color="auto"/>
            <w:left w:val="none" w:sz="0" w:space="0" w:color="auto"/>
            <w:bottom w:val="none" w:sz="0" w:space="0" w:color="auto"/>
            <w:right w:val="none" w:sz="0" w:space="0" w:color="auto"/>
          </w:divBdr>
        </w:div>
        <w:div w:id="1531264446">
          <w:marLeft w:val="0"/>
          <w:marRight w:val="0"/>
          <w:marTop w:val="0"/>
          <w:marBottom w:val="0"/>
          <w:divBdr>
            <w:top w:val="single" w:sz="2" w:space="0" w:color="D9D9E3"/>
            <w:left w:val="single" w:sz="2" w:space="0" w:color="D9D9E3"/>
            <w:bottom w:val="single" w:sz="2" w:space="0" w:color="D9D9E3"/>
            <w:right w:val="single" w:sz="2" w:space="0" w:color="D9D9E3"/>
          </w:divBdr>
          <w:divsChild>
            <w:div w:id="900793774">
              <w:marLeft w:val="0"/>
              <w:marRight w:val="0"/>
              <w:marTop w:val="0"/>
              <w:marBottom w:val="0"/>
              <w:divBdr>
                <w:top w:val="single" w:sz="2" w:space="0" w:color="D9D9E3"/>
                <w:left w:val="single" w:sz="2" w:space="0" w:color="D9D9E3"/>
                <w:bottom w:val="single" w:sz="2" w:space="0" w:color="D9D9E3"/>
                <w:right w:val="single" w:sz="2" w:space="0" w:color="D9D9E3"/>
              </w:divBdr>
              <w:divsChild>
                <w:div w:id="1254391538">
                  <w:marLeft w:val="0"/>
                  <w:marRight w:val="0"/>
                  <w:marTop w:val="0"/>
                  <w:marBottom w:val="0"/>
                  <w:divBdr>
                    <w:top w:val="single" w:sz="2" w:space="0" w:color="D9D9E3"/>
                    <w:left w:val="single" w:sz="2" w:space="0" w:color="D9D9E3"/>
                    <w:bottom w:val="single" w:sz="2" w:space="0" w:color="D9D9E3"/>
                    <w:right w:val="single" w:sz="2" w:space="0" w:color="D9D9E3"/>
                  </w:divBdr>
                  <w:divsChild>
                    <w:div w:id="1053963553">
                      <w:marLeft w:val="0"/>
                      <w:marRight w:val="0"/>
                      <w:marTop w:val="0"/>
                      <w:marBottom w:val="0"/>
                      <w:divBdr>
                        <w:top w:val="single" w:sz="2" w:space="0" w:color="D9D9E3"/>
                        <w:left w:val="single" w:sz="2" w:space="0" w:color="D9D9E3"/>
                        <w:bottom w:val="single" w:sz="2" w:space="0" w:color="D9D9E3"/>
                        <w:right w:val="single" w:sz="2" w:space="0" w:color="D9D9E3"/>
                      </w:divBdr>
                      <w:divsChild>
                        <w:div w:id="1693604742">
                          <w:marLeft w:val="0"/>
                          <w:marRight w:val="0"/>
                          <w:marTop w:val="0"/>
                          <w:marBottom w:val="0"/>
                          <w:divBdr>
                            <w:top w:val="single" w:sz="2" w:space="0" w:color="D9D9E3"/>
                            <w:left w:val="single" w:sz="2" w:space="0" w:color="D9D9E3"/>
                            <w:bottom w:val="single" w:sz="2" w:space="0" w:color="D9D9E3"/>
                            <w:right w:val="single" w:sz="2" w:space="0" w:color="D9D9E3"/>
                          </w:divBdr>
                          <w:divsChild>
                            <w:div w:id="2125878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364985">
                                  <w:marLeft w:val="0"/>
                                  <w:marRight w:val="0"/>
                                  <w:marTop w:val="0"/>
                                  <w:marBottom w:val="0"/>
                                  <w:divBdr>
                                    <w:top w:val="single" w:sz="2" w:space="0" w:color="D9D9E3"/>
                                    <w:left w:val="single" w:sz="2" w:space="0" w:color="D9D9E3"/>
                                    <w:bottom w:val="single" w:sz="2" w:space="0" w:color="D9D9E3"/>
                                    <w:right w:val="single" w:sz="2" w:space="0" w:color="D9D9E3"/>
                                  </w:divBdr>
                                  <w:divsChild>
                                    <w:div w:id="70396577">
                                      <w:marLeft w:val="0"/>
                                      <w:marRight w:val="0"/>
                                      <w:marTop w:val="0"/>
                                      <w:marBottom w:val="0"/>
                                      <w:divBdr>
                                        <w:top w:val="single" w:sz="2" w:space="0" w:color="D9D9E3"/>
                                        <w:left w:val="single" w:sz="2" w:space="0" w:color="D9D9E3"/>
                                        <w:bottom w:val="single" w:sz="2" w:space="0" w:color="D9D9E3"/>
                                        <w:right w:val="single" w:sz="2" w:space="0" w:color="D9D9E3"/>
                                      </w:divBdr>
                                      <w:divsChild>
                                        <w:div w:id="2115974758">
                                          <w:marLeft w:val="0"/>
                                          <w:marRight w:val="0"/>
                                          <w:marTop w:val="0"/>
                                          <w:marBottom w:val="0"/>
                                          <w:divBdr>
                                            <w:top w:val="single" w:sz="2" w:space="0" w:color="D9D9E3"/>
                                            <w:left w:val="single" w:sz="2" w:space="0" w:color="D9D9E3"/>
                                            <w:bottom w:val="single" w:sz="2" w:space="0" w:color="D9D9E3"/>
                                            <w:right w:val="single" w:sz="2" w:space="0" w:color="D9D9E3"/>
                                          </w:divBdr>
                                          <w:divsChild>
                                            <w:div w:id="280067234">
                                              <w:marLeft w:val="0"/>
                                              <w:marRight w:val="0"/>
                                              <w:marTop w:val="0"/>
                                              <w:marBottom w:val="0"/>
                                              <w:divBdr>
                                                <w:top w:val="single" w:sz="2" w:space="0" w:color="D9D9E3"/>
                                                <w:left w:val="single" w:sz="2" w:space="0" w:color="D9D9E3"/>
                                                <w:bottom w:val="single" w:sz="2" w:space="0" w:color="D9D9E3"/>
                                                <w:right w:val="single" w:sz="2" w:space="0" w:color="D9D9E3"/>
                                              </w:divBdr>
                                              <w:divsChild>
                                                <w:div w:id="1293942944">
                                                  <w:marLeft w:val="0"/>
                                                  <w:marRight w:val="0"/>
                                                  <w:marTop w:val="0"/>
                                                  <w:marBottom w:val="0"/>
                                                  <w:divBdr>
                                                    <w:top w:val="single" w:sz="2" w:space="0" w:color="D9D9E3"/>
                                                    <w:left w:val="single" w:sz="2" w:space="0" w:color="D9D9E3"/>
                                                    <w:bottom w:val="single" w:sz="2" w:space="0" w:color="D9D9E3"/>
                                                    <w:right w:val="single" w:sz="2" w:space="0" w:color="D9D9E3"/>
                                                  </w:divBdr>
                                                  <w:divsChild>
                                                    <w:div w:id="1492329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127383118">
      <w:bodyDiv w:val="1"/>
      <w:marLeft w:val="0"/>
      <w:marRight w:val="0"/>
      <w:marTop w:val="0"/>
      <w:marBottom w:val="0"/>
      <w:divBdr>
        <w:top w:val="none" w:sz="0" w:space="0" w:color="auto"/>
        <w:left w:val="none" w:sz="0" w:space="0" w:color="auto"/>
        <w:bottom w:val="none" w:sz="0" w:space="0" w:color="auto"/>
        <w:right w:val="none" w:sz="0" w:space="0" w:color="auto"/>
      </w:divBdr>
    </w:div>
    <w:div w:id="2130931357">
      <w:bodyDiv w:val="1"/>
      <w:marLeft w:val="0"/>
      <w:marRight w:val="0"/>
      <w:marTop w:val="0"/>
      <w:marBottom w:val="0"/>
      <w:divBdr>
        <w:top w:val="none" w:sz="0" w:space="0" w:color="auto"/>
        <w:left w:val="none" w:sz="0" w:space="0" w:color="auto"/>
        <w:bottom w:val="none" w:sz="0" w:space="0" w:color="auto"/>
        <w:right w:val="none" w:sz="0" w:space="0" w:color="auto"/>
      </w:divBdr>
    </w:div>
    <w:div w:id="2132238858">
      <w:bodyDiv w:val="1"/>
      <w:marLeft w:val="0"/>
      <w:marRight w:val="0"/>
      <w:marTop w:val="0"/>
      <w:marBottom w:val="0"/>
      <w:divBdr>
        <w:top w:val="none" w:sz="0" w:space="0" w:color="auto"/>
        <w:left w:val="none" w:sz="0" w:space="0" w:color="auto"/>
        <w:bottom w:val="none" w:sz="0" w:space="0" w:color="auto"/>
        <w:right w:val="none" w:sz="0" w:space="0" w:color="auto"/>
      </w:divBdr>
    </w:div>
    <w:div w:id="2133859276">
      <w:bodyDiv w:val="1"/>
      <w:marLeft w:val="0"/>
      <w:marRight w:val="0"/>
      <w:marTop w:val="0"/>
      <w:marBottom w:val="0"/>
      <w:divBdr>
        <w:top w:val="none" w:sz="0" w:space="0" w:color="auto"/>
        <w:left w:val="none" w:sz="0" w:space="0" w:color="auto"/>
        <w:bottom w:val="none" w:sz="0" w:space="0" w:color="auto"/>
        <w:right w:val="none" w:sz="0" w:space="0" w:color="auto"/>
      </w:divBdr>
      <w:divsChild>
        <w:div w:id="598802662">
          <w:marLeft w:val="0"/>
          <w:marRight w:val="0"/>
          <w:marTop w:val="0"/>
          <w:marBottom w:val="0"/>
          <w:divBdr>
            <w:top w:val="none" w:sz="0" w:space="0" w:color="auto"/>
            <w:left w:val="none" w:sz="0" w:space="0" w:color="auto"/>
            <w:bottom w:val="none" w:sz="0" w:space="0" w:color="auto"/>
            <w:right w:val="none" w:sz="0" w:space="0" w:color="auto"/>
          </w:divBdr>
          <w:divsChild>
            <w:div w:id="1393653836">
              <w:marLeft w:val="0"/>
              <w:marRight w:val="0"/>
              <w:marTop w:val="0"/>
              <w:marBottom w:val="0"/>
              <w:divBdr>
                <w:top w:val="none" w:sz="0" w:space="0" w:color="auto"/>
                <w:left w:val="none" w:sz="0" w:space="0" w:color="auto"/>
                <w:bottom w:val="none" w:sz="0" w:space="0" w:color="auto"/>
                <w:right w:val="none" w:sz="0" w:space="0" w:color="auto"/>
              </w:divBdr>
              <w:divsChild>
                <w:div w:id="1156798889">
                  <w:marLeft w:val="0"/>
                  <w:marRight w:val="0"/>
                  <w:marTop w:val="0"/>
                  <w:marBottom w:val="0"/>
                  <w:divBdr>
                    <w:top w:val="none" w:sz="0" w:space="0" w:color="auto"/>
                    <w:left w:val="none" w:sz="0" w:space="0" w:color="auto"/>
                    <w:bottom w:val="none" w:sz="0" w:space="0" w:color="auto"/>
                    <w:right w:val="none" w:sz="0" w:space="0" w:color="auto"/>
                  </w:divBdr>
                  <w:divsChild>
                    <w:div w:id="78530655">
                      <w:marLeft w:val="30"/>
                      <w:marRight w:val="30"/>
                      <w:marTop w:val="0"/>
                      <w:marBottom w:val="0"/>
                      <w:divBdr>
                        <w:top w:val="none" w:sz="0" w:space="0" w:color="auto"/>
                        <w:left w:val="none" w:sz="0" w:space="0" w:color="auto"/>
                        <w:bottom w:val="none" w:sz="0" w:space="0" w:color="auto"/>
                        <w:right w:val="none" w:sz="0" w:space="0" w:color="auto"/>
                      </w:divBdr>
                      <w:divsChild>
                        <w:div w:id="1736200074">
                          <w:marLeft w:val="180"/>
                          <w:marRight w:val="210"/>
                          <w:marTop w:val="0"/>
                          <w:marBottom w:val="30"/>
                          <w:divBdr>
                            <w:top w:val="none" w:sz="0" w:space="0" w:color="auto"/>
                            <w:left w:val="none" w:sz="0" w:space="0" w:color="auto"/>
                            <w:bottom w:val="none" w:sz="0" w:space="0" w:color="auto"/>
                            <w:right w:val="none" w:sz="0" w:space="0" w:color="auto"/>
                          </w:divBdr>
                          <w:divsChild>
                            <w:div w:id="527643216">
                              <w:marLeft w:val="0"/>
                              <w:marRight w:val="30"/>
                              <w:marTop w:val="0"/>
                              <w:marBottom w:val="0"/>
                              <w:divBdr>
                                <w:top w:val="none" w:sz="0" w:space="0" w:color="auto"/>
                                <w:left w:val="none" w:sz="0" w:space="0" w:color="auto"/>
                                <w:bottom w:val="none" w:sz="0" w:space="0" w:color="auto"/>
                                <w:right w:val="none" w:sz="0" w:space="0" w:color="auto"/>
                              </w:divBdr>
                              <w:divsChild>
                                <w:div w:id="1004476318">
                                  <w:marLeft w:val="0"/>
                                  <w:marRight w:val="0"/>
                                  <w:marTop w:val="0"/>
                                  <w:marBottom w:val="0"/>
                                  <w:divBdr>
                                    <w:top w:val="none" w:sz="0" w:space="0" w:color="auto"/>
                                    <w:left w:val="none" w:sz="0" w:space="0" w:color="auto"/>
                                    <w:bottom w:val="none" w:sz="0" w:space="0" w:color="auto"/>
                                    <w:right w:val="none" w:sz="0" w:space="0" w:color="auto"/>
                                  </w:divBdr>
                                  <w:divsChild>
                                    <w:div w:id="731540976">
                                      <w:marLeft w:val="0"/>
                                      <w:marRight w:val="0"/>
                                      <w:marTop w:val="0"/>
                                      <w:marBottom w:val="0"/>
                                      <w:divBdr>
                                        <w:top w:val="none" w:sz="0" w:space="0" w:color="auto"/>
                                        <w:left w:val="none" w:sz="0" w:space="0" w:color="auto"/>
                                        <w:bottom w:val="none" w:sz="0" w:space="0" w:color="auto"/>
                                        <w:right w:val="none" w:sz="0" w:space="0" w:color="auto"/>
                                      </w:divBdr>
                                      <w:divsChild>
                                        <w:div w:id="5264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79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973152">
                      <w:marLeft w:val="30"/>
                      <w:marRight w:val="30"/>
                      <w:marTop w:val="0"/>
                      <w:marBottom w:val="0"/>
                      <w:divBdr>
                        <w:top w:val="none" w:sz="0" w:space="0" w:color="auto"/>
                        <w:left w:val="none" w:sz="0" w:space="0" w:color="auto"/>
                        <w:bottom w:val="none" w:sz="0" w:space="0" w:color="auto"/>
                        <w:right w:val="none" w:sz="0" w:space="0" w:color="auto"/>
                      </w:divBdr>
                      <w:divsChild>
                        <w:div w:id="868757047">
                          <w:marLeft w:val="0"/>
                          <w:marRight w:val="90"/>
                          <w:marTop w:val="90"/>
                          <w:marBottom w:val="30"/>
                          <w:divBdr>
                            <w:top w:val="none" w:sz="0" w:space="0" w:color="auto"/>
                            <w:left w:val="none" w:sz="0" w:space="0" w:color="auto"/>
                            <w:bottom w:val="none" w:sz="0" w:space="0" w:color="auto"/>
                            <w:right w:val="none" w:sz="0" w:space="0" w:color="auto"/>
                          </w:divBdr>
                          <w:divsChild>
                            <w:div w:id="755592073">
                              <w:marLeft w:val="0"/>
                              <w:marRight w:val="0"/>
                              <w:marTop w:val="0"/>
                              <w:marBottom w:val="0"/>
                              <w:divBdr>
                                <w:top w:val="none" w:sz="0" w:space="0" w:color="auto"/>
                                <w:left w:val="none" w:sz="0" w:space="0" w:color="auto"/>
                                <w:bottom w:val="none" w:sz="0" w:space="0" w:color="auto"/>
                                <w:right w:val="none" w:sz="0" w:space="0" w:color="auto"/>
                              </w:divBdr>
                              <w:divsChild>
                                <w:div w:id="551577628">
                                  <w:marLeft w:val="45"/>
                                  <w:marRight w:val="0"/>
                                  <w:marTop w:val="0"/>
                                  <w:marBottom w:val="15"/>
                                  <w:divBdr>
                                    <w:top w:val="none" w:sz="0" w:space="0" w:color="auto"/>
                                    <w:left w:val="none" w:sz="0" w:space="0" w:color="auto"/>
                                    <w:bottom w:val="none" w:sz="0" w:space="0" w:color="auto"/>
                                    <w:right w:val="none" w:sz="0" w:space="0" w:color="auto"/>
                                  </w:divBdr>
                                </w:div>
                              </w:divsChild>
                            </w:div>
                            <w:div w:id="820733919">
                              <w:marLeft w:val="0"/>
                              <w:marRight w:val="30"/>
                              <w:marTop w:val="0"/>
                              <w:marBottom w:val="0"/>
                              <w:divBdr>
                                <w:top w:val="none" w:sz="0" w:space="0" w:color="auto"/>
                                <w:left w:val="none" w:sz="0" w:space="0" w:color="auto"/>
                                <w:bottom w:val="none" w:sz="0" w:space="0" w:color="auto"/>
                                <w:right w:val="none" w:sz="0" w:space="0" w:color="auto"/>
                              </w:divBdr>
                              <w:divsChild>
                                <w:div w:id="438257276">
                                  <w:marLeft w:val="0"/>
                                  <w:marRight w:val="0"/>
                                  <w:marTop w:val="0"/>
                                  <w:marBottom w:val="0"/>
                                  <w:divBdr>
                                    <w:top w:val="none" w:sz="0" w:space="0" w:color="auto"/>
                                    <w:left w:val="none" w:sz="0" w:space="0" w:color="auto"/>
                                    <w:bottom w:val="none" w:sz="0" w:space="0" w:color="auto"/>
                                    <w:right w:val="none" w:sz="0" w:space="0" w:color="auto"/>
                                  </w:divBdr>
                                  <w:divsChild>
                                    <w:div w:id="1088767245">
                                      <w:marLeft w:val="0"/>
                                      <w:marRight w:val="0"/>
                                      <w:marTop w:val="0"/>
                                      <w:marBottom w:val="0"/>
                                      <w:divBdr>
                                        <w:top w:val="none" w:sz="0" w:space="0" w:color="auto"/>
                                        <w:left w:val="none" w:sz="0" w:space="0" w:color="auto"/>
                                        <w:bottom w:val="none" w:sz="0" w:space="0" w:color="auto"/>
                                        <w:right w:val="none" w:sz="0" w:space="0" w:color="auto"/>
                                      </w:divBdr>
                                      <w:divsChild>
                                        <w:div w:id="858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9716">
                              <w:marLeft w:val="45"/>
                              <w:marRight w:val="0"/>
                              <w:marTop w:val="0"/>
                              <w:marBottom w:val="0"/>
                              <w:divBdr>
                                <w:top w:val="none" w:sz="0" w:space="0" w:color="auto"/>
                                <w:left w:val="none" w:sz="0" w:space="0" w:color="auto"/>
                                <w:bottom w:val="none" w:sz="0" w:space="0" w:color="auto"/>
                                <w:right w:val="none" w:sz="0" w:space="0" w:color="auto"/>
                              </w:divBdr>
                            </w:div>
                          </w:divsChild>
                        </w:div>
                        <w:div w:id="1798833884">
                          <w:marLeft w:val="135"/>
                          <w:marRight w:val="45"/>
                          <w:marTop w:val="60"/>
                          <w:marBottom w:val="60"/>
                          <w:divBdr>
                            <w:top w:val="none" w:sz="0" w:space="0" w:color="auto"/>
                            <w:left w:val="none" w:sz="0" w:space="0" w:color="auto"/>
                            <w:bottom w:val="none" w:sz="0" w:space="0" w:color="auto"/>
                            <w:right w:val="none" w:sz="0" w:space="0" w:color="auto"/>
                          </w:divBdr>
                          <w:divsChild>
                            <w:div w:id="44836029">
                              <w:marLeft w:val="0"/>
                              <w:marRight w:val="0"/>
                              <w:marTop w:val="0"/>
                              <w:marBottom w:val="0"/>
                              <w:divBdr>
                                <w:top w:val="none" w:sz="0" w:space="0" w:color="auto"/>
                                <w:left w:val="none" w:sz="0" w:space="0" w:color="auto"/>
                                <w:bottom w:val="none" w:sz="0" w:space="0" w:color="auto"/>
                                <w:right w:val="none" w:sz="0" w:space="0" w:color="auto"/>
                              </w:divBdr>
                              <w:divsChild>
                                <w:div w:id="1968582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0786177">
                      <w:marLeft w:val="30"/>
                      <w:marRight w:val="30"/>
                      <w:marTop w:val="0"/>
                      <w:marBottom w:val="0"/>
                      <w:divBdr>
                        <w:top w:val="none" w:sz="0" w:space="0" w:color="auto"/>
                        <w:left w:val="none" w:sz="0" w:space="0" w:color="auto"/>
                        <w:bottom w:val="none" w:sz="0" w:space="0" w:color="auto"/>
                        <w:right w:val="none" w:sz="0" w:space="0" w:color="auto"/>
                      </w:divBdr>
                      <w:divsChild>
                        <w:div w:id="25185613">
                          <w:marLeft w:val="0"/>
                          <w:marRight w:val="90"/>
                          <w:marTop w:val="90"/>
                          <w:marBottom w:val="30"/>
                          <w:divBdr>
                            <w:top w:val="none" w:sz="0" w:space="0" w:color="auto"/>
                            <w:left w:val="none" w:sz="0" w:space="0" w:color="auto"/>
                            <w:bottom w:val="none" w:sz="0" w:space="0" w:color="auto"/>
                            <w:right w:val="none" w:sz="0" w:space="0" w:color="auto"/>
                          </w:divBdr>
                          <w:divsChild>
                            <w:div w:id="420493375">
                              <w:marLeft w:val="0"/>
                              <w:marRight w:val="30"/>
                              <w:marTop w:val="0"/>
                              <w:marBottom w:val="0"/>
                              <w:divBdr>
                                <w:top w:val="none" w:sz="0" w:space="0" w:color="auto"/>
                                <w:left w:val="none" w:sz="0" w:space="0" w:color="auto"/>
                                <w:bottom w:val="none" w:sz="0" w:space="0" w:color="auto"/>
                                <w:right w:val="none" w:sz="0" w:space="0" w:color="auto"/>
                              </w:divBdr>
                              <w:divsChild>
                                <w:div w:id="1094284240">
                                  <w:marLeft w:val="0"/>
                                  <w:marRight w:val="0"/>
                                  <w:marTop w:val="0"/>
                                  <w:marBottom w:val="0"/>
                                  <w:divBdr>
                                    <w:top w:val="none" w:sz="0" w:space="0" w:color="auto"/>
                                    <w:left w:val="none" w:sz="0" w:space="0" w:color="auto"/>
                                    <w:bottom w:val="none" w:sz="0" w:space="0" w:color="auto"/>
                                    <w:right w:val="none" w:sz="0" w:space="0" w:color="auto"/>
                                  </w:divBdr>
                                  <w:divsChild>
                                    <w:div w:id="9961640">
                                      <w:marLeft w:val="0"/>
                                      <w:marRight w:val="0"/>
                                      <w:marTop w:val="0"/>
                                      <w:marBottom w:val="0"/>
                                      <w:divBdr>
                                        <w:top w:val="none" w:sz="0" w:space="0" w:color="auto"/>
                                        <w:left w:val="none" w:sz="0" w:space="0" w:color="auto"/>
                                        <w:bottom w:val="none" w:sz="0" w:space="0" w:color="auto"/>
                                        <w:right w:val="none" w:sz="0" w:space="0" w:color="auto"/>
                                      </w:divBdr>
                                      <w:divsChild>
                                        <w:div w:id="5342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9534">
                              <w:marLeft w:val="45"/>
                              <w:marRight w:val="0"/>
                              <w:marTop w:val="0"/>
                              <w:marBottom w:val="0"/>
                              <w:divBdr>
                                <w:top w:val="none" w:sz="0" w:space="0" w:color="auto"/>
                                <w:left w:val="none" w:sz="0" w:space="0" w:color="auto"/>
                                <w:bottom w:val="none" w:sz="0" w:space="0" w:color="auto"/>
                                <w:right w:val="none" w:sz="0" w:space="0" w:color="auto"/>
                              </w:divBdr>
                            </w:div>
                            <w:div w:id="1684162773">
                              <w:marLeft w:val="0"/>
                              <w:marRight w:val="0"/>
                              <w:marTop w:val="0"/>
                              <w:marBottom w:val="0"/>
                              <w:divBdr>
                                <w:top w:val="none" w:sz="0" w:space="0" w:color="auto"/>
                                <w:left w:val="none" w:sz="0" w:space="0" w:color="auto"/>
                                <w:bottom w:val="none" w:sz="0" w:space="0" w:color="auto"/>
                                <w:right w:val="none" w:sz="0" w:space="0" w:color="auto"/>
                              </w:divBdr>
                              <w:divsChild>
                                <w:div w:id="76410833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135174611">
                          <w:marLeft w:val="135"/>
                          <w:marRight w:val="45"/>
                          <w:marTop w:val="60"/>
                          <w:marBottom w:val="60"/>
                          <w:divBdr>
                            <w:top w:val="none" w:sz="0" w:space="0" w:color="auto"/>
                            <w:left w:val="none" w:sz="0" w:space="0" w:color="auto"/>
                            <w:bottom w:val="none" w:sz="0" w:space="0" w:color="auto"/>
                            <w:right w:val="none" w:sz="0" w:space="0" w:color="auto"/>
                          </w:divBdr>
                          <w:divsChild>
                            <w:div w:id="1570653317">
                              <w:marLeft w:val="0"/>
                              <w:marRight w:val="0"/>
                              <w:marTop w:val="0"/>
                              <w:marBottom w:val="0"/>
                              <w:divBdr>
                                <w:top w:val="none" w:sz="0" w:space="0" w:color="auto"/>
                                <w:left w:val="none" w:sz="0" w:space="0" w:color="auto"/>
                                <w:bottom w:val="none" w:sz="0" w:space="0" w:color="auto"/>
                                <w:right w:val="none" w:sz="0" w:space="0" w:color="auto"/>
                              </w:divBdr>
                              <w:divsChild>
                                <w:div w:id="20597369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1943">
          <w:marLeft w:val="0"/>
          <w:marRight w:val="0"/>
          <w:marTop w:val="0"/>
          <w:marBottom w:val="0"/>
          <w:divBdr>
            <w:top w:val="none" w:sz="0" w:space="0" w:color="auto"/>
            <w:left w:val="none" w:sz="0" w:space="0" w:color="auto"/>
            <w:bottom w:val="none" w:sz="0" w:space="0" w:color="auto"/>
            <w:right w:val="none" w:sz="0" w:space="0" w:color="auto"/>
          </w:divBdr>
          <w:divsChild>
            <w:div w:id="1626543845">
              <w:marLeft w:val="210"/>
              <w:marRight w:val="0"/>
              <w:marTop w:val="120"/>
              <w:marBottom w:val="0"/>
              <w:divBdr>
                <w:top w:val="none" w:sz="0" w:space="0" w:color="auto"/>
                <w:left w:val="none" w:sz="0" w:space="0" w:color="auto"/>
                <w:bottom w:val="none" w:sz="0" w:space="0" w:color="auto"/>
                <w:right w:val="none" w:sz="0" w:space="0" w:color="auto"/>
              </w:divBdr>
              <w:divsChild>
                <w:div w:id="1781146962">
                  <w:marLeft w:val="0"/>
                  <w:marRight w:val="0"/>
                  <w:marTop w:val="0"/>
                  <w:marBottom w:val="0"/>
                  <w:divBdr>
                    <w:top w:val="none" w:sz="0" w:space="0" w:color="auto"/>
                    <w:left w:val="none" w:sz="0" w:space="0" w:color="auto"/>
                    <w:bottom w:val="none" w:sz="0" w:space="0" w:color="auto"/>
                    <w:right w:val="none" w:sz="0" w:space="0" w:color="auto"/>
                  </w:divBdr>
                  <w:divsChild>
                    <w:div w:id="161428477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141878034">
      <w:bodyDiv w:val="1"/>
      <w:marLeft w:val="0"/>
      <w:marRight w:val="0"/>
      <w:marTop w:val="0"/>
      <w:marBottom w:val="0"/>
      <w:divBdr>
        <w:top w:val="none" w:sz="0" w:space="0" w:color="auto"/>
        <w:left w:val="none" w:sz="0" w:space="0" w:color="auto"/>
        <w:bottom w:val="none" w:sz="0" w:space="0" w:color="auto"/>
        <w:right w:val="none" w:sz="0" w:space="0" w:color="auto"/>
      </w:divBdr>
    </w:div>
    <w:div w:id="2146190336">
      <w:bodyDiv w:val="1"/>
      <w:marLeft w:val="0"/>
      <w:marRight w:val="0"/>
      <w:marTop w:val="0"/>
      <w:marBottom w:val="0"/>
      <w:divBdr>
        <w:top w:val="none" w:sz="0" w:space="0" w:color="auto"/>
        <w:left w:val="none" w:sz="0" w:space="0" w:color="auto"/>
        <w:bottom w:val="none" w:sz="0" w:space="0" w:color="auto"/>
        <w:right w:val="none" w:sz="0" w:space="0" w:color="auto"/>
      </w:divBdr>
      <w:divsChild>
        <w:div w:id="1074819867">
          <w:marLeft w:val="0"/>
          <w:marRight w:val="0"/>
          <w:marTop w:val="0"/>
          <w:marBottom w:val="0"/>
          <w:divBdr>
            <w:top w:val="none" w:sz="0" w:space="0" w:color="auto"/>
            <w:left w:val="none" w:sz="0" w:space="0" w:color="auto"/>
            <w:bottom w:val="none" w:sz="0" w:space="0" w:color="auto"/>
            <w:right w:val="none" w:sz="0" w:space="0" w:color="auto"/>
          </w:divBdr>
          <w:divsChild>
            <w:div w:id="1123886137">
              <w:marLeft w:val="0"/>
              <w:marRight w:val="0"/>
              <w:marTop w:val="0"/>
              <w:marBottom w:val="0"/>
              <w:divBdr>
                <w:top w:val="none" w:sz="0" w:space="0" w:color="auto"/>
                <w:left w:val="none" w:sz="0" w:space="0" w:color="auto"/>
                <w:bottom w:val="none" w:sz="0" w:space="0" w:color="auto"/>
                <w:right w:val="none" w:sz="0" w:space="0" w:color="auto"/>
              </w:divBdr>
              <w:divsChild>
                <w:div w:id="1088114045">
                  <w:marLeft w:val="0"/>
                  <w:marRight w:val="0"/>
                  <w:marTop w:val="0"/>
                  <w:marBottom w:val="0"/>
                  <w:divBdr>
                    <w:top w:val="none" w:sz="0" w:space="0" w:color="auto"/>
                    <w:left w:val="none" w:sz="0" w:space="0" w:color="auto"/>
                    <w:bottom w:val="none" w:sz="0" w:space="0" w:color="auto"/>
                    <w:right w:val="none" w:sz="0" w:space="0" w:color="auto"/>
                  </w:divBdr>
                  <w:divsChild>
                    <w:div w:id="441146387">
                      <w:marLeft w:val="30"/>
                      <w:marRight w:val="30"/>
                      <w:marTop w:val="0"/>
                      <w:marBottom w:val="0"/>
                      <w:divBdr>
                        <w:top w:val="none" w:sz="0" w:space="0" w:color="auto"/>
                        <w:left w:val="none" w:sz="0" w:space="0" w:color="auto"/>
                        <w:bottom w:val="none" w:sz="0" w:space="0" w:color="auto"/>
                        <w:right w:val="none" w:sz="0" w:space="0" w:color="auto"/>
                      </w:divBdr>
                      <w:divsChild>
                        <w:div w:id="717629030">
                          <w:marLeft w:val="180"/>
                          <w:marRight w:val="210"/>
                          <w:marTop w:val="0"/>
                          <w:marBottom w:val="30"/>
                          <w:divBdr>
                            <w:top w:val="none" w:sz="0" w:space="0" w:color="auto"/>
                            <w:left w:val="none" w:sz="0" w:space="0" w:color="auto"/>
                            <w:bottom w:val="none" w:sz="0" w:space="0" w:color="auto"/>
                            <w:right w:val="none" w:sz="0" w:space="0" w:color="auto"/>
                          </w:divBdr>
                          <w:divsChild>
                            <w:div w:id="59863185">
                              <w:marLeft w:val="0"/>
                              <w:marRight w:val="30"/>
                              <w:marTop w:val="0"/>
                              <w:marBottom w:val="0"/>
                              <w:divBdr>
                                <w:top w:val="none" w:sz="0" w:space="0" w:color="auto"/>
                                <w:left w:val="none" w:sz="0" w:space="0" w:color="auto"/>
                                <w:bottom w:val="none" w:sz="0" w:space="0" w:color="auto"/>
                                <w:right w:val="none" w:sz="0" w:space="0" w:color="auto"/>
                              </w:divBdr>
                              <w:divsChild>
                                <w:div w:id="49111270">
                                  <w:marLeft w:val="0"/>
                                  <w:marRight w:val="0"/>
                                  <w:marTop w:val="0"/>
                                  <w:marBottom w:val="0"/>
                                  <w:divBdr>
                                    <w:top w:val="none" w:sz="0" w:space="0" w:color="auto"/>
                                    <w:left w:val="none" w:sz="0" w:space="0" w:color="auto"/>
                                    <w:bottom w:val="none" w:sz="0" w:space="0" w:color="auto"/>
                                    <w:right w:val="none" w:sz="0" w:space="0" w:color="auto"/>
                                  </w:divBdr>
                                  <w:divsChild>
                                    <w:div w:id="1007293782">
                                      <w:marLeft w:val="0"/>
                                      <w:marRight w:val="0"/>
                                      <w:marTop w:val="0"/>
                                      <w:marBottom w:val="0"/>
                                      <w:divBdr>
                                        <w:top w:val="none" w:sz="0" w:space="0" w:color="auto"/>
                                        <w:left w:val="none" w:sz="0" w:space="0" w:color="auto"/>
                                        <w:bottom w:val="none" w:sz="0" w:space="0" w:color="auto"/>
                                        <w:right w:val="none" w:sz="0" w:space="0" w:color="auto"/>
                                      </w:divBdr>
                                      <w:divsChild>
                                        <w:div w:id="12324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91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78477020">
                      <w:marLeft w:val="30"/>
                      <w:marRight w:val="30"/>
                      <w:marTop w:val="0"/>
                      <w:marBottom w:val="0"/>
                      <w:divBdr>
                        <w:top w:val="none" w:sz="0" w:space="0" w:color="auto"/>
                        <w:left w:val="none" w:sz="0" w:space="0" w:color="auto"/>
                        <w:bottom w:val="none" w:sz="0" w:space="0" w:color="auto"/>
                        <w:right w:val="none" w:sz="0" w:space="0" w:color="auto"/>
                      </w:divBdr>
                      <w:divsChild>
                        <w:div w:id="222956186">
                          <w:marLeft w:val="0"/>
                          <w:marRight w:val="90"/>
                          <w:marTop w:val="90"/>
                          <w:marBottom w:val="30"/>
                          <w:divBdr>
                            <w:top w:val="none" w:sz="0" w:space="0" w:color="auto"/>
                            <w:left w:val="none" w:sz="0" w:space="0" w:color="auto"/>
                            <w:bottom w:val="none" w:sz="0" w:space="0" w:color="auto"/>
                            <w:right w:val="none" w:sz="0" w:space="0" w:color="auto"/>
                          </w:divBdr>
                          <w:divsChild>
                            <w:div w:id="190263712">
                              <w:marLeft w:val="0"/>
                              <w:marRight w:val="30"/>
                              <w:marTop w:val="0"/>
                              <w:marBottom w:val="0"/>
                              <w:divBdr>
                                <w:top w:val="none" w:sz="0" w:space="0" w:color="auto"/>
                                <w:left w:val="none" w:sz="0" w:space="0" w:color="auto"/>
                                <w:bottom w:val="none" w:sz="0" w:space="0" w:color="auto"/>
                                <w:right w:val="none" w:sz="0" w:space="0" w:color="auto"/>
                              </w:divBdr>
                              <w:divsChild>
                                <w:div w:id="445587462">
                                  <w:marLeft w:val="0"/>
                                  <w:marRight w:val="0"/>
                                  <w:marTop w:val="0"/>
                                  <w:marBottom w:val="0"/>
                                  <w:divBdr>
                                    <w:top w:val="none" w:sz="0" w:space="0" w:color="auto"/>
                                    <w:left w:val="none" w:sz="0" w:space="0" w:color="auto"/>
                                    <w:bottom w:val="none" w:sz="0" w:space="0" w:color="auto"/>
                                    <w:right w:val="none" w:sz="0" w:space="0" w:color="auto"/>
                                  </w:divBdr>
                                  <w:divsChild>
                                    <w:div w:id="894395900">
                                      <w:marLeft w:val="0"/>
                                      <w:marRight w:val="0"/>
                                      <w:marTop w:val="0"/>
                                      <w:marBottom w:val="0"/>
                                      <w:divBdr>
                                        <w:top w:val="none" w:sz="0" w:space="0" w:color="auto"/>
                                        <w:left w:val="none" w:sz="0" w:space="0" w:color="auto"/>
                                        <w:bottom w:val="none" w:sz="0" w:space="0" w:color="auto"/>
                                        <w:right w:val="none" w:sz="0" w:space="0" w:color="auto"/>
                                      </w:divBdr>
                                      <w:divsChild>
                                        <w:div w:id="2337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4919">
                              <w:marLeft w:val="0"/>
                              <w:marRight w:val="0"/>
                              <w:marTop w:val="0"/>
                              <w:marBottom w:val="0"/>
                              <w:divBdr>
                                <w:top w:val="none" w:sz="0" w:space="0" w:color="auto"/>
                                <w:left w:val="none" w:sz="0" w:space="0" w:color="auto"/>
                                <w:bottom w:val="none" w:sz="0" w:space="0" w:color="auto"/>
                                <w:right w:val="none" w:sz="0" w:space="0" w:color="auto"/>
                              </w:divBdr>
                              <w:divsChild>
                                <w:div w:id="862019852">
                                  <w:marLeft w:val="45"/>
                                  <w:marRight w:val="0"/>
                                  <w:marTop w:val="0"/>
                                  <w:marBottom w:val="15"/>
                                  <w:divBdr>
                                    <w:top w:val="none" w:sz="0" w:space="0" w:color="auto"/>
                                    <w:left w:val="none" w:sz="0" w:space="0" w:color="auto"/>
                                    <w:bottom w:val="none" w:sz="0" w:space="0" w:color="auto"/>
                                    <w:right w:val="none" w:sz="0" w:space="0" w:color="auto"/>
                                  </w:divBdr>
                                </w:div>
                              </w:divsChild>
                            </w:div>
                            <w:div w:id="1542282627">
                              <w:marLeft w:val="45"/>
                              <w:marRight w:val="0"/>
                              <w:marTop w:val="0"/>
                              <w:marBottom w:val="0"/>
                              <w:divBdr>
                                <w:top w:val="none" w:sz="0" w:space="0" w:color="auto"/>
                                <w:left w:val="none" w:sz="0" w:space="0" w:color="auto"/>
                                <w:bottom w:val="none" w:sz="0" w:space="0" w:color="auto"/>
                                <w:right w:val="none" w:sz="0" w:space="0" w:color="auto"/>
                              </w:divBdr>
                            </w:div>
                          </w:divsChild>
                        </w:div>
                        <w:div w:id="933781225">
                          <w:marLeft w:val="135"/>
                          <w:marRight w:val="45"/>
                          <w:marTop w:val="60"/>
                          <w:marBottom w:val="60"/>
                          <w:divBdr>
                            <w:top w:val="none" w:sz="0" w:space="0" w:color="auto"/>
                            <w:left w:val="none" w:sz="0" w:space="0" w:color="auto"/>
                            <w:bottom w:val="none" w:sz="0" w:space="0" w:color="auto"/>
                            <w:right w:val="none" w:sz="0" w:space="0" w:color="auto"/>
                          </w:divBdr>
                          <w:divsChild>
                            <w:div w:id="1974554044">
                              <w:marLeft w:val="0"/>
                              <w:marRight w:val="0"/>
                              <w:marTop w:val="0"/>
                              <w:marBottom w:val="0"/>
                              <w:divBdr>
                                <w:top w:val="none" w:sz="0" w:space="0" w:color="auto"/>
                                <w:left w:val="none" w:sz="0" w:space="0" w:color="auto"/>
                                <w:bottom w:val="none" w:sz="0" w:space="0" w:color="auto"/>
                                <w:right w:val="none" w:sz="0" w:space="0" w:color="auto"/>
                              </w:divBdr>
                              <w:divsChild>
                                <w:div w:id="279649535">
                                  <w:marLeft w:val="0"/>
                                  <w:marRight w:val="150"/>
                                  <w:marTop w:val="0"/>
                                  <w:marBottom w:val="0"/>
                                  <w:divBdr>
                                    <w:top w:val="none" w:sz="0" w:space="0" w:color="auto"/>
                                    <w:left w:val="none" w:sz="0" w:space="0" w:color="auto"/>
                                    <w:bottom w:val="none" w:sz="0" w:space="0" w:color="auto"/>
                                    <w:right w:val="none" w:sz="0" w:space="0" w:color="auto"/>
                                  </w:divBdr>
                                </w:div>
                                <w:div w:id="18385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362809">
          <w:marLeft w:val="0"/>
          <w:marRight w:val="0"/>
          <w:marTop w:val="0"/>
          <w:marBottom w:val="0"/>
          <w:divBdr>
            <w:top w:val="none" w:sz="0" w:space="0" w:color="auto"/>
            <w:left w:val="none" w:sz="0" w:space="0" w:color="auto"/>
            <w:bottom w:val="none" w:sz="0" w:space="0" w:color="auto"/>
            <w:right w:val="none" w:sz="0" w:space="0" w:color="auto"/>
          </w:divBdr>
          <w:divsChild>
            <w:div w:id="1986277603">
              <w:marLeft w:val="210"/>
              <w:marRight w:val="0"/>
              <w:marTop w:val="120"/>
              <w:marBottom w:val="0"/>
              <w:divBdr>
                <w:top w:val="none" w:sz="0" w:space="0" w:color="auto"/>
                <w:left w:val="none" w:sz="0" w:space="0" w:color="auto"/>
                <w:bottom w:val="none" w:sz="0" w:space="0" w:color="auto"/>
                <w:right w:val="none" w:sz="0" w:space="0" w:color="auto"/>
              </w:divBdr>
              <w:divsChild>
                <w:div w:id="1755741359">
                  <w:marLeft w:val="0"/>
                  <w:marRight w:val="0"/>
                  <w:marTop w:val="0"/>
                  <w:marBottom w:val="0"/>
                  <w:divBdr>
                    <w:top w:val="none" w:sz="0" w:space="0" w:color="auto"/>
                    <w:left w:val="none" w:sz="0" w:space="0" w:color="auto"/>
                    <w:bottom w:val="none" w:sz="0" w:space="0" w:color="auto"/>
                    <w:right w:val="none" w:sz="0" w:space="0" w:color="auto"/>
                  </w:divBdr>
                  <w:divsChild>
                    <w:div w:id="174537018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34" Type="http://schemas.microsoft.com/office/2018/08/relationships/commentsExtensible" Target="commentsExtensible.xm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4.svg"/><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header" Target="header17.xm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32.svg"/><Relationship Id="rId92"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hyperlink" Target="http://www.british-business-bank.co.uk" TargetMode="Externa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header" Target="header7.xml"/><Relationship Id="rId32" Type="http://schemas.microsoft.com/office/2011/relationships/commentsExtended" Target="commentsExtended.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chart" Target="charts/chart3.xml"/><Relationship Id="rId53" Type="http://schemas.openxmlformats.org/officeDocument/2006/relationships/image" Target="media/image18.png"/><Relationship Id="rId58" Type="http://schemas.openxmlformats.org/officeDocument/2006/relationships/hyperlink" Target="https://www.bbinv.co.uk/wp-content/uploads/2022/11/BBI_RFP_Regional-Angels-Programme-1.pdf" TargetMode="External"/><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header" Target="header16.xml"/><Relationship Id="rId82" Type="http://schemas.openxmlformats.org/officeDocument/2006/relationships/image" Target="media/image43.png"/><Relationship Id="rId90" Type="http://schemas.openxmlformats.org/officeDocument/2006/relationships/header" Target="header18.xml"/><Relationship Id="rId95" Type="http://schemas.openxmlformats.org/officeDocument/2006/relationships/header" Target="header21.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5.png"/><Relationship Id="rId43" Type="http://schemas.openxmlformats.org/officeDocument/2006/relationships/chart" Target="charts/chart1.xm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image" Target="media/image30.svg"/><Relationship Id="rId77" Type="http://schemas.openxmlformats.org/officeDocument/2006/relationships/image" Target="media/image38.svg"/><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0.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8.xml"/><Relationship Id="rId33" Type="http://schemas.microsoft.com/office/2016/09/relationships/commentsIds" Target="commentsIds.xml"/><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header" Target="header14.xml"/><Relationship Id="rId67" Type="http://schemas.openxmlformats.org/officeDocument/2006/relationships/image" Target="media/image28.svg"/><Relationship Id="rId20" Type="http://schemas.openxmlformats.org/officeDocument/2006/relationships/header" Target="header4.xml"/><Relationship Id="rId41" Type="http://schemas.openxmlformats.org/officeDocument/2006/relationships/image" Target="media/image9.pn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sv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footer" Target="footer4.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hyperlink" Target="https://www.british-business-bank.co.uk/wp-content/uploads/2018/06/Business-Angel-Reportweb.pdf"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comments" Target="comments.xml"/><Relationship Id="rId44" Type="http://schemas.openxmlformats.org/officeDocument/2006/relationships/chart" Target="charts/chart2.xml"/><Relationship Id="rId52" Type="http://schemas.openxmlformats.org/officeDocument/2006/relationships/image" Target="media/image17.png"/><Relationship Id="rId60" Type="http://schemas.openxmlformats.org/officeDocument/2006/relationships/header" Target="header15.xml"/><Relationship Id="rId65" Type="http://schemas.openxmlformats.org/officeDocument/2006/relationships/image" Target="media/image26.svg"/><Relationship Id="rId73" Type="http://schemas.openxmlformats.org/officeDocument/2006/relationships/image" Target="media/image34.sv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header" Target="header20.xml"/><Relationship Id="rId99" Type="http://schemas.microsoft.com/office/2011/relationships/people" Target="peop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3.xml"/><Relationship Id="rId39" Type="http://schemas.openxmlformats.org/officeDocument/2006/relationships/hyperlink" Target="https://www.british-business-bank.co.uk/wp-content/uploads/2018/06/Business-Angel-Reportweb.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british-business-bank.co.uk/wp-content/uploads/2020/10/20201008-BBB-Business-Angels-Report-Final.pdf" TargetMode="External"/><Relationship Id="rId13" Type="http://schemas.openxmlformats.org/officeDocument/2006/relationships/hyperlink" Target="https://www.british-business-bank.co.uk/ourpartners/coronavirus-business-interruption-loan-scheme-cbils-2/" TargetMode="External"/><Relationship Id="rId18" Type="http://schemas.openxmlformats.org/officeDocument/2006/relationships/hyperlink" Target="https://www.gov.uk/guidance/venture-capital-schemes-raise-money-by-offering-tax-reliefs-to-investors" TargetMode="External"/><Relationship Id="rId26" Type="http://schemas.openxmlformats.org/officeDocument/2006/relationships/hyperlink" Target="https://www.ons.gov.uk/economy/grossdomesticproductgdp/bulletins/gdpfirstquarterlyestimateuk/januarytomarch2021" TargetMode="External"/><Relationship Id="rId3" Type="http://schemas.openxmlformats.org/officeDocument/2006/relationships/hyperlink" Target="https://www.british-business-bank.co.uk/wp-content/uploads/2020/10/20201008-BBB-Business-Angels-Report-Final.pdf" TargetMode="External"/><Relationship Id="rId21" Type="http://schemas.openxmlformats.org/officeDocument/2006/relationships/hyperlink" Target="https://www.bbinv.co.uk/wp-content/uploads/2022/11/BBI_RFP_Regional-Angels-Programme-1.pdf" TargetMode="External"/><Relationship Id="rId7" Type="http://schemas.openxmlformats.org/officeDocument/2006/relationships/hyperlink" Target="https://www.british-business-bank.co.uk/wp-content/uploads/2018/06/Business-Angel-Reportweb.pdf" TargetMode="External"/><Relationship Id="rId12" Type="http://schemas.openxmlformats.org/officeDocument/2006/relationships/hyperlink" Target="https://protect-eu.mimecast.com/s/bad7CE88nsLlEx3iN0LzU?domain=doi.org" TargetMode="External"/><Relationship Id="rId17" Type="http://schemas.openxmlformats.org/officeDocument/2006/relationships/hyperlink" Target="https://www.beauhurst.com/blog/top-angel-networks-uk/" TargetMode="External"/><Relationship Id="rId25" Type="http://schemas.openxmlformats.org/officeDocument/2006/relationships/hyperlink" Target="https://www.bvdinfo.com/en-gb/our-products/data/international/orbis" TargetMode="External"/><Relationship Id="rId2" Type="http://schemas.openxmlformats.org/officeDocument/2006/relationships/hyperlink" Target="https://www.gov.uk/guidance/venture-capital-schemes-raise-money-by-offering-tax-reliefs-to-investors" TargetMode="External"/><Relationship Id="rId16" Type="http://schemas.openxmlformats.org/officeDocument/2006/relationships/hyperlink" Target="https://www.bbinv.co.uk/wp-content/uploads/2022/11/BBI_RFP_Regional-Angels-Programme-1.pdf" TargetMode="External"/><Relationship Id="rId20" Type="http://schemas.openxmlformats.org/officeDocument/2006/relationships/hyperlink" Target="https://www.ons.gov.uk/employmentandlabourmarket/peopleinwork/labourproductivity/articles/ukproductivityintroduction/januarytomarch2022" TargetMode="External"/><Relationship Id="rId29" Type="http://schemas.openxmlformats.org/officeDocument/2006/relationships/hyperlink" Target="https://www.statology.org/how-to-identify-influential-data-points-using-cooks-distance/" TargetMode="External"/><Relationship Id="rId1" Type="http://schemas.openxmlformats.org/officeDocument/2006/relationships/hyperlink" Target="https://www.british-business-bank.co.uk/wp-content/uploads/2023/02/BBB-Interim-Evaluation-of-BPC-Final.pdf" TargetMode="External"/><Relationship Id="rId6" Type="http://schemas.openxmlformats.org/officeDocument/2006/relationships/hyperlink" Target="https://view.officeapps.live.com/op/view.aspx?src=https%3A%2F%2Fwww.bbinv.co.uk%2Fwp-content%2Fuploads%2F2022%2F11%2FBBI_RFP_Regional-Angels-Programme-Sep-2022_v3.docx&amp;wdOrigin=BROWSELINK" TargetMode="External"/><Relationship Id="rId11" Type="http://schemas.openxmlformats.org/officeDocument/2006/relationships/hyperlink" Target="https://www.tandfonline.com/doi/full/10.1080/00343404.2022.2159021" TargetMode="External"/><Relationship Id="rId24" Type="http://schemas.openxmlformats.org/officeDocument/2006/relationships/hyperlink" Target="https://platform.beauhurst.com/" TargetMode="External"/><Relationship Id="rId5" Type="http://schemas.openxmlformats.org/officeDocument/2006/relationships/hyperlink" Target="https://www.british-business-bank.co.uk/press-release/final-future-fund-final-data-shows-scheme-completed-1-14bn-of-convertible-loan-agreements/" TargetMode="External"/><Relationship Id="rId15" Type="http://schemas.openxmlformats.org/officeDocument/2006/relationships/hyperlink" Target="https://view.officeapps.live.com/op/view.aspx?src=https%3A%2F%2Fwww.bbinv.co.uk%2Fwp-content%2Fuploads%2F2022%2F11%2FBBI_RFP_Regional-Angels-Programme-Sep-2022_v3.docx&amp;wdOrigin=BROWSELINK" TargetMode="External"/><Relationship Id="rId23" Type="http://schemas.openxmlformats.org/officeDocument/2006/relationships/hyperlink" Target="https://www.ons.gov.uk/aboutus/whatwedo/paidservices/interdepartmentalbusinessregisteridbr" TargetMode="External"/><Relationship Id="rId28" Type="http://schemas.openxmlformats.org/officeDocument/2006/relationships/hyperlink" Target="https://academic.oup.com/ectj/article/25/3/531/6545797" TargetMode="External"/><Relationship Id="rId10" Type="http://schemas.openxmlformats.org/officeDocument/2006/relationships/hyperlink" Target="https://www.gov.uk/government/publications/venture-capital-schemes-expansion-of-the-seed-enterprise-investment-scheme-seis/increasing-the-limits-of-the-seed-enterprise-investment-scheme" TargetMode="External"/><Relationship Id="rId19" Type="http://schemas.openxmlformats.org/officeDocument/2006/relationships/hyperlink" Target="https://www.british-business-bank.co.uk/wp-content/uploads/2020/10/20201008-BBB-Business-Angels-Report-Final.pdf" TargetMode="External"/><Relationship Id="rId4" Type="http://schemas.openxmlformats.org/officeDocument/2006/relationships/hyperlink" Target="https://www.british-business-bank.co.uk/press-release/final-future-fund-final-data-shows-scheme-completed-1-14bn-of-convertible-loan-agreements/" TargetMode="External"/><Relationship Id="rId9" Type="http://schemas.openxmlformats.org/officeDocument/2006/relationships/hyperlink" Target="https://www.gov.uk/government/statistics/enterprise-investment-scheme-seed-enterprise-investment-scheme-and-social-investment-tax-relief-may-2023/enterprise-investment-scheme-seed-enterprise-investment-scheme-and-social-investment-tax-relief-statistics-2023" TargetMode="External"/><Relationship Id="rId14" Type="http://schemas.openxmlformats.org/officeDocument/2006/relationships/hyperlink" Target="https://view.officeapps.live.com/op/view.aspx?src=https%3A%2F%2Fwww.bbinv.co.uk%2Fwp-content%2Fuploads%2F2022%2F11%2FBBI_RFP_Regional-Angels-Programme-Sep-2022_v3.docx&amp;wdOrigin=BROWSELINK" TargetMode="External"/><Relationship Id="rId22" Type="http://schemas.openxmlformats.org/officeDocument/2006/relationships/hyperlink" Target="https://www.bbinv.co.uk/wp-content/uploads/2022/11/BBI_RFP_Regional-Angels-Programme-1.pdf" TargetMode="External"/><Relationship Id="rId27" Type="http://schemas.openxmlformats.org/officeDocument/2006/relationships/hyperlink" Target="https://assets.publishing.service.gov.uk/government/uploads/system/uploads/attachment_data/file/821902/sme-equity-finance-regions-research-2019-012.pdf" TargetMode="External"/></Relationships>
</file>

<file path=word/_rels/header2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btuk.local\National\Belfast\Clients\PACEC%20Clients\British%20Business%20Bank%20998630\ENG%20603%20-Early%20Assessment%20of%20Regional%20Angels%20Programme\4.%20Working%20Files\Draft%20Report\1.%20Marketing\09.10\Figure%207%20-%208%20-%209%20%2009.10_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btuk.local\National\Belfast\Clients\PACEC%20Clients\British%20Business%20Bank%20998630\ENG%20603%20-Early%20Assessment%20of%20Regional%20Angels%20Programme\4.%20Working%20Files\Draft%20Report\1.%20Marketing\09.10\Figure%207%20-%208%20-%209%20%2009.10_v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tuk.local\National\Belfast\Clients\PACEC%20Clients\British%20Business%20Bank%20998630\ENG%20603%20-Early%20Assessment%20of%20Regional%20Angels%20Programme\4.%20Working%20Files\Draft%20Report\1.%20Marketing\09.10\Figure%207%20-%208%20-%209%20%2009.10_v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142855"/>
            </a:solidFill>
            <a:ln w="25400">
              <a:noFill/>
            </a:ln>
            <a:effectLst/>
          </c:spPr>
          <c:invertIfNegative val="0"/>
          <c:dLbls>
            <c:dLbl>
              <c:idx val="0"/>
              <c:tx>
                <c:rich>
                  <a:bodyPr/>
                  <a:lstStyle/>
                  <a:p>
                    <a:fld id="{8F5827BA-BD75-4B0F-8E78-B444029928F9}"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{8F5827BA-BD75-4B0F-8E78-B444029928F9}</c15:txfldGUID>
                      <c15:f>'Fig 7'!$B$3</c15:f>
                      <c15:dlblFieldTableCache>
                        <c:ptCount val="1"/>
                        <c:pt idx="0">
                          <c:v>33.1%</c:v>
                        </c:pt>
                      </c15:dlblFieldTableCache>
                    </c15:dlblFTEntry>
                  </c15:dlblFieldTable>
                  <c15:showDataLabelsRange val="0"/>
                </c:ext>
                <c:ext xmlns:c16="http://schemas.microsoft.com/office/drawing/2014/chart" uri="{C3380CC4-5D6E-409C-BE32-E72D297353CC}">
                  <c16:uniqueId val="{00000000-8DD9-4C9A-9011-18EC2CEF0139}"/>
                </c:ext>
              </c:extLst>
            </c:dLbl>
            <c:dLbl>
              <c:idx val="1"/>
              <c:tx>
                <c:rich>
                  <a:bodyPr/>
                  <a:lstStyle/>
                  <a:p>
                    <a:fld id="{00566AE1-8689-4DBF-9C39-C06C280B1B4C}"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{00566AE1-8689-4DBF-9C39-C06C280B1B4C}</c15:txfldGUID>
                      <c15:f>'Fig 7'!$B$4</c15:f>
                      <c15:dlblFieldTableCache>
                        <c:ptCount val="1"/>
                        <c:pt idx="0">
                          <c:v>12.4%</c:v>
                        </c:pt>
                      </c15:dlblFieldTableCache>
                    </c15:dlblFTEntry>
                  </c15:dlblFieldTable>
                  <c15:showDataLabelsRange val="0"/>
                </c:ext>
                <c:ext xmlns:c16="http://schemas.microsoft.com/office/drawing/2014/chart" uri="{C3380CC4-5D6E-409C-BE32-E72D297353CC}">
                  <c16:uniqueId val="{00000001-8DD9-4C9A-9011-18EC2CEF0139}"/>
                </c:ext>
              </c:extLst>
            </c:dLbl>
            <c:dLbl>
              <c:idx val="2"/>
              <c:tx>
                <c:rich>
                  <a:bodyPr/>
                  <a:lstStyle/>
                  <a:p>
                    <a:fld id="{D0783D36-D768-407C-8765-A28E55B0BE9C}"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{D0783D36-D768-407C-8765-A28E55B0BE9C}</c15:txfldGUID>
                      <c15:f>'Fig 7'!$B$5</c15:f>
                      <c15:dlblFieldTableCache>
                        <c:ptCount val="1"/>
                        <c:pt idx="0">
                          <c:v>10.2%</c:v>
                        </c:pt>
                      </c15:dlblFieldTableCache>
                    </c15:dlblFTEntry>
                  </c15:dlblFieldTable>
                  <c15:showDataLabelsRange val="0"/>
                </c:ext>
                <c:ext xmlns:c16="http://schemas.microsoft.com/office/drawing/2014/chart" uri="{C3380CC4-5D6E-409C-BE32-E72D297353CC}">
                  <c16:uniqueId val="{00000002-8DD9-4C9A-9011-18EC2CEF0139}"/>
                </c:ext>
              </c:extLst>
            </c:dLbl>
            <c:dLbl>
              <c:idx val="3"/>
              <c:tx>
                <c:rich>
                  <a:bodyPr/>
                  <a:lstStyle/>
                  <a:p>
                    <a:fld id="{FE5DF8D9-EC34-4662-8644-76717F55875A}"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{FE5DF8D9-EC34-4662-8644-76717F55875A}</c15:txfldGUID>
                      <c15:f>'Fig 7'!$B$6</c15:f>
                      <c15:dlblFieldTableCache>
                        <c:ptCount val="1"/>
                        <c:pt idx="0">
                          <c:v>7.8%</c:v>
                        </c:pt>
                      </c15:dlblFieldTableCache>
                    </c15:dlblFTEntry>
                  </c15:dlblFieldTable>
                  <c15:showDataLabelsRange val="0"/>
                </c:ext>
                <c:ext xmlns:c16="http://schemas.microsoft.com/office/drawing/2014/chart" uri="{C3380CC4-5D6E-409C-BE32-E72D297353CC}">
                  <c16:uniqueId val="{00000003-8DD9-4C9A-9011-18EC2CEF0139}"/>
                </c:ext>
              </c:extLst>
            </c:dLbl>
            <c:dLbl>
              <c:idx val="4"/>
              <c:tx>
                <c:rich>
                  <a:bodyPr/>
                  <a:lstStyle/>
                  <a:p>
                    <a:fld id="{D01E5416-420C-4634-8CCF-E55748C6CEDA}"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{D01E5416-420C-4634-8CCF-E55748C6CEDA}</c15:txfldGUID>
                      <c15:f>'Fig 7'!$B$7</c15:f>
                      <c15:dlblFieldTableCache>
                        <c:ptCount val="1"/>
                        <c:pt idx="0">
                          <c:v>7.8%</c:v>
                        </c:pt>
                      </c15:dlblFieldTableCache>
                    </c15:dlblFTEntry>
                  </c15:dlblFieldTable>
                  <c15:showDataLabelsRange val="0"/>
                </c:ext>
                <c:ext xmlns:c16="http://schemas.microsoft.com/office/drawing/2014/chart" uri="{C3380CC4-5D6E-409C-BE32-E72D297353CC}">
                  <c16:uniqueId val="{00000004-8DD9-4C9A-9011-18EC2CEF0139}"/>
                </c:ext>
              </c:extLst>
            </c:dLbl>
            <c:dLbl>
              <c:idx val="5"/>
              <c:tx>
                <c:rich>
                  <a:bodyPr/>
                  <a:lstStyle/>
                  <a:p>
                    <a:fld id="{A0C67139-C085-4D1E-8894-78C10D365F40}"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{A0C67139-C085-4D1E-8894-78C10D365F40}</c15:txfldGUID>
                      <c15:f>'Fig 7'!$B$8</c15:f>
                      <c15:dlblFieldTableCache>
                        <c:ptCount val="1"/>
                        <c:pt idx="0">
                          <c:v>7.3%</c:v>
                        </c:pt>
                      </c15:dlblFieldTableCache>
                    </c15:dlblFTEntry>
                  </c15:dlblFieldTable>
                  <c15:showDataLabelsRange val="0"/>
                </c:ext>
                <c:ext xmlns:c16="http://schemas.microsoft.com/office/drawing/2014/chart" uri="{C3380CC4-5D6E-409C-BE32-E72D297353CC}">
                  <c16:uniqueId val="{00000005-8DD9-4C9A-9011-18EC2CEF0139}"/>
                </c:ext>
              </c:extLst>
            </c:dLbl>
            <c:dLbl>
              <c:idx val="6"/>
              <c:tx>
                <c:rich>
                  <a:bodyPr/>
                  <a:lstStyle/>
                  <a:p>
                    <a:fld id="{E6AF410C-2F9E-4B3E-94E0-084BA96EDE5A}"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{E6AF410C-2F9E-4B3E-94E0-084BA96EDE5A}</c15:txfldGUID>
                      <c15:f>'Fig 7'!$B$9</c15:f>
                      <c15:dlblFieldTableCache>
                        <c:ptCount val="1"/>
                        <c:pt idx="0">
                          <c:v>5.7%</c:v>
                        </c:pt>
                      </c15:dlblFieldTableCache>
                    </c15:dlblFTEntry>
                  </c15:dlblFieldTable>
                  <c15:showDataLabelsRange val="0"/>
                </c:ext>
                <c:ext xmlns:c16="http://schemas.microsoft.com/office/drawing/2014/chart" uri="{C3380CC4-5D6E-409C-BE32-E72D297353CC}">
                  <c16:uniqueId val="{00000006-8DD9-4C9A-9011-18EC2CEF0139}"/>
                </c:ext>
              </c:extLst>
            </c:dLbl>
            <c:dLbl>
              <c:idx val="7"/>
              <c:tx>
                <c:rich>
                  <a:bodyPr/>
                  <a:lstStyle/>
                  <a:p>
                    <a:fld id="{C8274FAB-54ED-4A72-A946-6CDF2136E4C2}"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{C8274FAB-54ED-4A72-A946-6CDF2136E4C2}</c15:txfldGUID>
                      <c15:f>'Fig 7'!$B$10</c15:f>
                      <c15:dlblFieldTableCache>
                        <c:ptCount val="1"/>
                        <c:pt idx="0">
                          <c:v>4.3%</c:v>
                        </c:pt>
                      </c15:dlblFieldTableCache>
                    </c15:dlblFTEntry>
                  </c15:dlblFieldTable>
                  <c15:showDataLabelsRange val="0"/>
                </c:ext>
                <c:ext xmlns:c16="http://schemas.microsoft.com/office/drawing/2014/chart" uri="{C3380CC4-5D6E-409C-BE32-E72D297353CC}">
                  <c16:uniqueId val="{00000007-8DD9-4C9A-9011-18EC2CEF0139}"/>
                </c:ext>
              </c:extLst>
            </c:dLbl>
            <c:dLbl>
              <c:idx val="8"/>
              <c:tx>
                <c:rich>
                  <a:bodyPr/>
                  <a:lstStyle/>
                  <a:p>
                    <a:fld id="{1B746FA9-B8C9-4266-8E7C-C934D5E5E673}"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{1B746FA9-B8C9-4266-8E7C-C934D5E5E673}</c15:txfldGUID>
                      <c15:f>'Fig 7'!$B$11</c15:f>
                      <c15:dlblFieldTableCache>
                        <c:ptCount val="1"/>
                        <c:pt idx="0">
                          <c:v>3.8%</c:v>
                        </c:pt>
                      </c15:dlblFieldTableCache>
                    </c15:dlblFTEntry>
                  </c15:dlblFieldTable>
                  <c15:showDataLabelsRange val="0"/>
                </c:ext>
                <c:ext xmlns:c16="http://schemas.microsoft.com/office/drawing/2014/chart" uri="{C3380CC4-5D6E-409C-BE32-E72D297353CC}">
                  <c16:uniqueId val="{00000008-8DD9-4C9A-9011-18EC2CEF0139}"/>
                </c:ext>
              </c:extLst>
            </c:dLbl>
            <c:dLbl>
              <c:idx val="9"/>
              <c:tx>
                <c:rich>
                  <a:bodyPr/>
                  <a:lstStyle/>
                  <a:p>
                    <a:fld id="{0035972D-15CD-4CA7-9ACB-62D9E98CADBD}"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{0035972D-15CD-4CA7-9ACB-62D9E98CADBD}</c15:txfldGUID>
                      <c15:f>'Fig 7'!$B$12</c15:f>
                      <c15:dlblFieldTableCache>
                        <c:ptCount val="1"/>
                        <c:pt idx="0">
                          <c:v>3.5%</c:v>
                        </c:pt>
                      </c15:dlblFieldTableCache>
                    </c15:dlblFTEntry>
                  </c15:dlblFieldTable>
                  <c15:showDataLabelsRange val="0"/>
                </c:ext>
                <c:ext xmlns:c16="http://schemas.microsoft.com/office/drawing/2014/chart" uri="{C3380CC4-5D6E-409C-BE32-E72D297353CC}">
                  <c16:uniqueId val="{00000009-8DD9-4C9A-9011-18EC2CEF0139}"/>
                </c:ext>
              </c:extLst>
            </c:dLbl>
            <c:dLbl>
              <c:idx val="10"/>
              <c:tx>
                <c:rich>
                  <a:bodyPr/>
                  <a:lstStyle/>
                  <a:p>
                    <a:fld id="{AF7AD85C-461C-400A-B240-9C22BC68E69C}"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{AF7AD85C-461C-400A-B240-9C22BC68E69C}</c15:txfldGUID>
                      <c15:f>'Fig 7'!$B$13</c15:f>
                      <c15:dlblFieldTableCache>
                        <c:ptCount val="1"/>
                        <c:pt idx="0">
                          <c:v>2.4%</c:v>
                        </c:pt>
                      </c15:dlblFieldTableCache>
                    </c15:dlblFTEntry>
                  </c15:dlblFieldTable>
                  <c15:showDataLabelsRange val="0"/>
                </c:ext>
                <c:ext xmlns:c16="http://schemas.microsoft.com/office/drawing/2014/chart" uri="{C3380CC4-5D6E-409C-BE32-E72D297353CC}">
                  <c16:uniqueId val="{0000000A-8DD9-4C9A-9011-18EC2CEF0139}"/>
                </c:ext>
              </c:extLst>
            </c:dLbl>
            <c:dLbl>
              <c:idx val="11"/>
              <c:tx>
                <c:rich>
                  <a:bodyPr/>
                  <a:lstStyle/>
                  <a:p>
                    <a:fld id="{5BEF36FD-C3C4-4650-988A-F481811CDDDB}"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{5BEF36FD-C3C4-4650-988A-F481811CDDDB}</c15:txfldGUID>
                      <c15:f>'Fig 7'!$B$14</c15:f>
                      <c15:dlblFieldTableCache>
                        <c:ptCount val="1"/>
                        <c:pt idx="0">
                          <c:v>1.9%</c:v>
                        </c:pt>
                      </c15:dlblFieldTableCache>
                    </c15:dlblFTEntry>
                  </c15:dlblFieldTable>
                  <c15:showDataLabelsRange val="0"/>
                </c:ext>
                <c:ext xmlns:c16="http://schemas.microsoft.com/office/drawing/2014/chart" uri="{C3380CC4-5D6E-409C-BE32-E72D297353CC}">
                  <c16:uniqueId val="{0000000B-8DD9-4C9A-9011-18EC2CEF0139}"/>
                </c:ext>
              </c:extLst>
            </c:dLbl>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'[1]05.10 fig 7'!$A$1:$A$12</c:f>
              <c:strCache>
                <c:ptCount val="12"/>
                <c:pt idx="0">
                  <c:v>London</c:v>
                </c:pt>
                <c:pt idx="1">
                  <c:v>Northern Ireland</c:v>
                </c:pt>
                <c:pt idx="2">
                  <c:v>North West</c:v>
                </c:pt>
                <c:pt idx="3">
                  <c:v>Scotland</c:v>
                </c:pt>
                <c:pt idx="4">
                  <c:v>South East</c:v>
                </c:pt>
                <c:pt idx="5">
                  <c:v>South West</c:v>
                </c:pt>
                <c:pt idx="6">
                  <c:v>East of England</c:v>
                </c:pt>
                <c:pt idx="7">
                  <c:v>Wales</c:v>
                </c:pt>
                <c:pt idx="8">
                  <c:v>West Midlands</c:v>
                </c:pt>
                <c:pt idx="9">
                  <c:v>Yorkshire and the Humber</c:v>
                </c:pt>
                <c:pt idx="10">
                  <c:v>North East</c:v>
                </c:pt>
                <c:pt idx="11">
                  <c:v>East Midlands</c:v>
                </c:pt>
              </c:strCache>
            </c:strRef>
          </c:cat>
          <c:val>
            <c:numRef>
              <c:f>'[1]05.10 fig 7'!$B$1:$B$12</c:f>
              <c:numCache>
                <c:formatCode>0.00%</c:formatCode>
                <c:ptCount val="12"/>
                <c:pt idx="0">
                  <c:v>0.33064516129032256</c:v>
                </c:pt>
                <c:pt idx="1">
                  <c:v>0.12365591397849462</c:v>
                </c:pt>
                <c:pt idx="2">
                  <c:v>0.10215053763440861</c:v>
                </c:pt>
                <c:pt idx="3">
                  <c:v>7.7956989247311828E-2</c:v>
                </c:pt>
                <c:pt idx="4">
                  <c:v>7.7956989247311828E-2</c:v>
                </c:pt>
                <c:pt idx="5">
                  <c:v>7.2580645161290328E-2</c:v>
                </c:pt>
                <c:pt idx="6">
                  <c:v>5.6500000000000002E-2</c:v>
                </c:pt>
                <c:pt idx="7">
                  <c:v>4.3010752688172046E-2</c:v>
                </c:pt>
                <c:pt idx="8">
                  <c:v>3.7634408602150539E-2</c:v>
                </c:pt>
                <c:pt idx="9">
                  <c:v>3.4946236559139782E-2</c:v>
                </c:pt>
                <c:pt idx="10">
                  <c:v>2.4193548387096774E-2</c:v>
                </c:pt>
                <c:pt idx="11">
                  <c:v>1.8817204301075269E-2</c:v>
                </c:pt>
              </c:numCache>
            </c:numRef>
          </c:val>
          <c:extLst>
            <c:ext xmlns:c16="http://schemas.microsoft.com/office/drawing/2014/chart" uri="{C3380CC4-5D6E-409C-BE32-E72D297353CC}">
              <c16:uniqueId val="{0000000C-8DD9-4C9A-9011-18EC2CEF0139}"/>
            </c:ext>
          </c:extLst>
        </c:ser>
        <c:dLbls>
          <c:showLegendKey val="0"/>
          <c:showVal val="1"/>
          <c:showCatName val="0"/>
          <c:showSerName val="0"/>
          <c:showPercent val="0"/>
          <c:showBubbleSize val="0"/>
        </c:dLbls>
        <c:gapWidth val="80"/>
        <c:axId val="1127596512"/>
        <c:axId val="1127596872"/>
      </c:barChart>
      <c:catAx>
        <c:axId val="1127596512"/>
        <c:scaling>
          <c:orientation val="minMax"/>
        </c:scaling>
        <c:delete val="0"/>
        <c:axPos val="b"/>
        <c:numFmt formatCode="General" sourceLinked="1"/>
        <c:majorTickMark val="none"/>
        <c:minorTickMark val="none"/>
        <c:tickLblPos val="low"/>
        <c:spPr>
          <a:ln w="6350" cmpd="sng">
            <a:solidFill>
              <a:srgbClr val="888B8D"/>
            </a:solidFill>
          </a:ln>
        </c:spPr>
        <c:txPr>
          <a:bodyPr/>
          <a:lstStyle/>
          <a:p>
            <a:pPr>
              <a:defRPr sz="800" b="0" i="0" u="none">
                <a:solidFill>
                  <a:srgbClr val="63666A"/>
                </a:solidFill>
                <a:latin typeface="Arial"/>
                <a:ea typeface="Arial"/>
                <a:cs typeface="Arial"/>
              </a:defRPr>
            </a:pPr>
            <a:endParaRPr lang="en-US"/>
          </a:p>
        </c:txPr>
        <c:crossAx val="1127596872"/>
        <c:crosses val="autoZero"/>
        <c:auto val="1"/>
        <c:lblAlgn val="ctr"/>
        <c:lblOffset val="100"/>
        <c:noMultiLvlLbl val="0"/>
      </c:catAx>
      <c:valAx>
        <c:axId val="1127596872"/>
        <c:scaling>
          <c:orientation val="minMax"/>
        </c:scaling>
        <c:delete val="0"/>
        <c:axPos val="l"/>
        <c:majorGridlines>
          <c:spPr>
            <a:ln w="6350">
              <a:solidFill>
                <a:srgbClr val="B7B9BA"/>
              </a:solidFill>
            </a:ln>
          </c:spPr>
        </c:majorGridlines>
        <c:numFmt formatCode="0%" sourceLinked="0"/>
        <c:majorTickMark val="none"/>
        <c:minorTickMark val="none"/>
        <c:tickLblPos val="nextTo"/>
        <c:spPr>
          <a:ln w="25400">
            <a:noFill/>
          </a:ln>
        </c:spPr>
        <c:txPr>
          <a:bodyPr/>
          <a:lstStyle/>
          <a:p>
            <a:pPr>
              <a:defRPr sz="800" b="0" i="0" u="none">
                <a:solidFill>
                  <a:srgbClr val="63666A"/>
                </a:solidFill>
                <a:latin typeface="Arial"/>
                <a:ea typeface="Arial"/>
                <a:cs typeface="Arial"/>
              </a:defRPr>
            </a:pPr>
            <a:endParaRPr lang="en-US"/>
          </a:p>
        </c:txPr>
        <c:crossAx val="1127596512"/>
        <c:crosses val="autoZero"/>
        <c:crossBetween val="between"/>
      </c:valAx>
      <c:spPr>
        <a:noFill/>
        <a:ln w="25400">
          <a:noFill/>
        </a:ln>
      </c:spPr>
    </c:plotArea>
    <c:plotVisOnly val="1"/>
    <c:dispBlanksAs val="gap"/>
    <c:showDLblsOverMax val="0"/>
    <c:extLst/>
  </c:chart>
  <c:spPr>
    <a:solidFill>
      <a:srgbClr val="FFFFFF"/>
    </a:solidFill>
    <a:ln w="25400">
      <a:noFill/>
    </a:ln>
    <a:effectLst/>
  </c:spPr>
  <c:txPr>
    <a:bodyPr/>
    <a:lstStyle/>
    <a:p>
      <a:pPr>
        <a:defRPr sz="800" b="0" i="0" u="none">
          <a:solidFill>
            <a:srgbClr val="63666A"/>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142855"/>
            </a:solidFill>
            <a:ln w="25400">
              <a:noFill/>
            </a:ln>
            <a:effectLst/>
          </c:spPr>
          <c:invertIfNegative val="0"/>
          <c:dLbls>
            <c:dLbl>
              <c:idx val="0"/>
              <c:tx>
                <c:rich>
                  <a:bodyPr/>
                  <a:lstStyle/>
                  <a:p>
                    <a:fld id="{00091307-A41F-48FA-B4DD-6CBE44BBC9E3}"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{00091307-A41F-48FA-B4DD-6CBE44BBC9E3}</c15:txfldGUID>
                      <c15:f>'Fig 8'!$E$6</c15:f>
                      <c15:dlblFieldTableCache>
                        <c:ptCount val="1"/>
                        <c:pt idx="0">
                          <c:v>25.3%</c:v>
                        </c:pt>
                      </c15:dlblFieldTableCache>
                    </c15:dlblFTEntry>
                  </c15:dlblFieldTable>
                  <c15:showDataLabelsRange val="0"/>
                </c:ext>
                <c:ext xmlns:c16="http://schemas.microsoft.com/office/drawing/2014/chart" uri="{C3380CC4-5D6E-409C-BE32-E72D297353CC}">
                  <c16:uniqueId val="{00000000-B013-4AD0-84D2-2785F4E91616}"/>
                </c:ext>
              </c:extLst>
            </c:dLbl>
            <c:dLbl>
              <c:idx val="1"/>
              <c:tx>
                <c:rich>
                  <a:bodyPr/>
                  <a:lstStyle/>
                  <a:p>
                    <a:fld id="{C0ED6CE3-F34D-4F0A-8597-8E0C1E7DA90F}"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{C0ED6CE3-F34D-4F0A-8597-8E0C1E7DA90F}</c15:txfldGUID>
                      <c15:f>'Fig 8'!$E$7</c15:f>
                      <c15:dlblFieldTableCache>
                        <c:ptCount val="1"/>
                        <c:pt idx="0">
                          <c:v>17.8%</c:v>
                        </c:pt>
                      </c15:dlblFieldTableCache>
                    </c15:dlblFTEntry>
                  </c15:dlblFieldTable>
                  <c15:showDataLabelsRange val="0"/>
                </c:ext>
                <c:ext xmlns:c16="http://schemas.microsoft.com/office/drawing/2014/chart" uri="{C3380CC4-5D6E-409C-BE32-E72D297353CC}">
                  <c16:uniqueId val="{00000001-B013-4AD0-84D2-2785F4E91616}"/>
                </c:ext>
              </c:extLst>
            </c:dLbl>
            <c:dLbl>
              <c:idx val="2"/>
              <c:tx>
                <c:rich>
                  <a:bodyPr/>
                  <a:lstStyle/>
                  <a:p>
                    <a:fld id="{3DE0EE2C-ED2F-446B-B3DF-6B88712A3E72}"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{3DE0EE2C-ED2F-446B-B3DF-6B88712A3E72}</c15:txfldGUID>
                      <c15:f>'Fig 8'!$E$8</c15:f>
                      <c15:dlblFieldTableCache>
                        <c:ptCount val="1"/>
                        <c:pt idx="0">
                          <c:v>16.5%</c:v>
                        </c:pt>
                      </c15:dlblFieldTableCache>
                    </c15:dlblFTEntry>
                  </c15:dlblFieldTable>
                  <c15:showDataLabelsRange val="0"/>
                </c:ext>
                <c:ext xmlns:c16="http://schemas.microsoft.com/office/drawing/2014/chart" uri="{C3380CC4-5D6E-409C-BE32-E72D297353CC}">
                  <c16:uniqueId val="{00000002-B013-4AD0-84D2-2785F4E91616}"/>
                </c:ext>
              </c:extLst>
            </c:dLbl>
            <c:dLbl>
              <c:idx val="3"/>
              <c:tx>
                <c:rich>
                  <a:bodyPr/>
                  <a:lstStyle/>
                  <a:p>
                    <a:fld id="{4BBE7080-CA78-487D-ABAB-1EFD774C854F}"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{4BBE7080-CA78-487D-ABAB-1EFD774C854F}</c15:txfldGUID>
                      <c15:f>'Fig 8'!$E$9</c15:f>
                      <c15:dlblFieldTableCache>
                        <c:ptCount val="1"/>
                        <c:pt idx="0">
                          <c:v>7.8%</c:v>
                        </c:pt>
                      </c15:dlblFieldTableCache>
                    </c15:dlblFTEntry>
                  </c15:dlblFieldTable>
                  <c15:showDataLabelsRange val="0"/>
                </c:ext>
                <c:ext xmlns:c16="http://schemas.microsoft.com/office/drawing/2014/chart" uri="{C3380CC4-5D6E-409C-BE32-E72D297353CC}">
                  <c16:uniqueId val="{00000003-B013-4AD0-84D2-2785F4E91616}"/>
                </c:ext>
              </c:extLst>
            </c:dLbl>
            <c:dLbl>
              <c:idx val="4"/>
              <c:tx>
                <c:rich>
                  <a:bodyPr/>
                  <a:lstStyle/>
                  <a:p>
                    <a:fld id="{C9CE238E-2662-40C5-93A0-761D34FF84BC}"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{C9CE238E-2662-40C5-93A0-761D34FF84BC}</c15:txfldGUID>
                      <c15:f>'Fig 8'!$E$10</c15:f>
                      <c15:dlblFieldTableCache>
                        <c:ptCount val="1"/>
                        <c:pt idx="0">
                          <c:v>7.3%</c:v>
                        </c:pt>
                      </c15:dlblFieldTableCache>
                    </c15:dlblFTEntry>
                  </c15:dlblFieldTable>
                  <c15:showDataLabelsRange val="0"/>
                </c:ext>
                <c:ext xmlns:c16="http://schemas.microsoft.com/office/drawing/2014/chart" uri="{C3380CC4-5D6E-409C-BE32-E72D297353CC}">
                  <c16:uniqueId val="{00000004-B013-4AD0-84D2-2785F4E91616}"/>
                </c:ext>
              </c:extLst>
            </c:dLbl>
            <c:dLbl>
              <c:idx val="5"/>
              <c:tx>
                <c:rich>
                  <a:bodyPr/>
                  <a:lstStyle/>
                  <a:p>
                    <a:fld id="{3B4F3A3D-6DDC-43E8-B11D-A725D494A232}"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{3B4F3A3D-6DDC-43E8-B11D-A725D494A232}</c15:txfldGUID>
                      <c15:f>'Fig 8'!$E$11</c15:f>
                      <c15:dlblFieldTableCache>
                        <c:ptCount val="1"/>
                        <c:pt idx="0">
                          <c:v>5.8%</c:v>
                        </c:pt>
                      </c15:dlblFieldTableCache>
                    </c15:dlblFTEntry>
                  </c15:dlblFieldTable>
                  <c15:showDataLabelsRange val="0"/>
                </c:ext>
                <c:ext xmlns:c16="http://schemas.microsoft.com/office/drawing/2014/chart" uri="{C3380CC4-5D6E-409C-BE32-E72D297353CC}">
                  <c16:uniqueId val="{00000005-B013-4AD0-84D2-2785F4E91616}"/>
                </c:ext>
              </c:extLst>
            </c:dLbl>
            <c:dLbl>
              <c:idx val="6"/>
              <c:tx>
                <c:rich>
                  <a:bodyPr/>
                  <a:lstStyle/>
                  <a:p>
                    <a:fld id="{1B18FDE9-4B86-4498-9CC4-5A1F8A7D4596}"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{1B18FDE9-4B86-4498-9CC4-5A1F8A7D4596}</c15:txfldGUID>
                      <c15:f>'Fig 8'!$E$12</c15:f>
                      <c15:dlblFieldTableCache>
                        <c:ptCount val="1"/>
                        <c:pt idx="0">
                          <c:v>5.2%</c:v>
                        </c:pt>
                      </c15:dlblFieldTableCache>
                    </c15:dlblFTEntry>
                  </c15:dlblFieldTable>
                  <c15:showDataLabelsRange val="0"/>
                </c:ext>
                <c:ext xmlns:c16="http://schemas.microsoft.com/office/drawing/2014/chart" uri="{C3380CC4-5D6E-409C-BE32-E72D297353CC}">
                  <c16:uniqueId val="{00000006-B013-4AD0-84D2-2785F4E91616}"/>
                </c:ext>
              </c:extLst>
            </c:dLbl>
            <c:dLbl>
              <c:idx val="7"/>
              <c:tx>
                <c:rich>
                  <a:bodyPr/>
                  <a:lstStyle/>
                  <a:p>
                    <a:fld id="{9061A640-AC60-47BA-841E-67237FD2FE6C}"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{9061A640-AC60-47BA-841E-67237FD2FE6C}</c15:txfldGUID>
                      <c15:f>'Fig 8'!$E$13</c15:f>
                      <c15:dlblFieldTableCache>
                        <c:ptCount val="1"/>
                        <c:pt idx="0">
                          <c:v>3.4%</c:v>
                        </c:pt>
                      </c15:dlblFieldTableCache>
                    </c15:dlblFTEntry>
                  </c15:dlblFieldTable>
                  <c15:showDataLabelsRange val="0"/>
                </c:ext>
                <c:ext xmlns:c16="http://schemas.microsoft.com/office/drawing/2014/chart" uri="{C3380CC4-5D6E-409C-BE32-E72D297353CC}">
                  <c16:uniqueId val="{00000007-B013-4AD0-84D2-2785F4E91616}"/>
                </c:ext>
              </c:extLst>
            </c:dLbl>
            <c:dLbl>
              <c:idx val="8"/>
              <c:tx>
                <c:rich>
                  <a:bodyPr/>
                  <a:lstStyle/>
                  <a:p>
                    <a:fld id="{1ED55B90-5B47-4A81-BAB4-B76DCD0E5B4A}"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{1ED55B90-5B47-4A81-BAB4-B76DCD0E5B4A}</c15:txfldGUID>
                      <c15:f>'Fig 8'!$E$14</c15:f>
                      <c15:dlblFieldTableCache>
                        <c:ptCount val="1"/>
                        <c:pt idx="0">
                          <c:v>3.2%</c:v>
                        </c:pt>
                      </c15:dlblFieldTableCache>
                    </c15:dlblFTEntry>
                  </c15:dlblFieldTable>
                  <c15:showDataLabelsRange val="0"/>
                </c:ext>
                <c:ext xmlns:c16="http://schemas.microsoft.com/office/drawing/2014/chart" uri="{C3380CC4-5D6E-409C-BE32-E72D297353CC}">
                  <c16:uniqueId val="{00000008-B013-4AD0-84D2-2785F4E91616}"/>
                </c:ext>
              </c:extLst>
            </c:dLbl>
            <c:dLbl>
              <c:idx val="9"/>
              <c:tx>
                <c:rich>
                  <a:bodyPr/>
                  <a:lstStyle/>
                  <a:p>
                    <a:fld id="{5A27AB58-61B4-44D7-BD88-FA279BE86F2B}"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{5A27AB58-61B4-44D7-BD88-FA279BE86F2B}</c15:txfldGUID>
                      <c15:f>'Fig 8'!$E$15</c15:f>
                      <c15:dlblFieldTableCache>
                        <c:ptCount val="1"/>
                        <c:pt idx="0">
                          <c:v>2.9%</c:v>
                        </c:pt>
                      </c15:dlblFieldTableCache>
                    </c15:dlblFTEntry>
                  </c15:dlblFieldTable>
                  <c15:showDataLabelsRange val="0"/>
                </c:ext>
                <c:ext xmlns:c16="http://schemas.microsoft.com/office/drawing/2014/chart" uri="{C3380CC4-5D6E-409C-BE32-E72D297353CC}">
                  <c16:uniqueId val="{00000009-B013-4AD0-84D2-2785F4E91616}"/>
                </c:ext>
              </c:extLst>
            </c:dLbl>
            <c:dLbl>
              <c:idx val="10"/>
              <c:tx>
                <c:rich>
                  <a:bodyPr/>
                  <a:lstStyle/>
                  <a:p>
                    <a:fld id="{4CA07F13-9AC7-44C4-90AA-704050DD23D3}"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{4CA07F13-9AC7-44C4-90AA-704050DD23D3}</c15:txfldGUID>
                      <c15:f>'Fig 8'!$E$16</c15:f>
                      <c15:dlblFieldTableCache>
                        <c:ptCount val="1"/>
                        <c:pt idx="0">
                          <c:v>2.8%</c:v>
                        </c:pt>
                      </c15:dlblFieldTableCache>
                    </c15:dlblFTEntry>
                  </c15:dlblFieldTable>
                  <c15:showDataLabelsRange val="0"/>
                </c:ext>
                <c:ext xmlns:c16="http://schemas.microsoft.com/office/drawing/2014/chart" uri="{C3380CC4-5D6E-409C-BE32-E72D297353CC}">
                  <c16:uniqueId val="{0000000A-B013-4AD0-84D2-2785F4E91616}"/>
                </c:ext>
              </c:extLst>
            </c:dLbl>
            <c:dLbl>
              <c:idx val="11"/>
              <c:tx>
                <c:rich>
                  <a:bodyPr/>
                  <a:lstStyle/>
                  <a:p>
                    <a:fld id="{4A9C207D-5BF2-4560-A3AB-7872BF00B083}"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{4A9C207D-5BF2-4560-A3AB-7872BF00B083}</c15:txfldGUID>
                      <c15:f>'Fig 8'!$E$17</c15:f>
                      <c15:dlblFieldTableCache>
                        <c:ptCount val="1"/>
                        <c:pt idx="0">
                          <c:v>2.1%</c:v>
                        </c:pt>
                      </c15:dlblFieldTableCache>
                    </c15:dlblFTEntry>
                  </c15:dlblFieldTable>
                  <c15:showDataLabelsRange val="0"/>
                </c:ext>
                <c:ext xmlns:c16="http://schemas.microsoft.com/office/drawing/2014/chart" uri="{C3380CC4-5D6E-409C-BE32-E72D297353CC}">
                  <c16:uniqueId val="{0000000B-B013-4AD0-84D2-2785F4E91616}"/>
                </c:ext>
              </c:extLst>
            </c:dLbl>
            <c:numFmt formatCode="General"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'[1]5.10 fig 8'!$A$1:$A$12</c:f>
              <c:strCache>
                <c:ptCount val="12"/>
                <c:pt idx="0">
                  <c:v>London</c:v>
                </c:pt>
                <c:pt idx="1">
                  <c:v>Scotland</c:v>
                </c:pt>
                <c:pt idx="2">
                  <c:v>North West</c:v>
                </c:pt>
                <c:pt idx="3">
                  <c:v>Northern Ireland</c:v>
                </c:pt>
                <c:pt idx="4">
                  <c:v>South East</c:v>
                </c:pt>
                <c:pt idx="5">
                  <c:v>Wales</c:v>
                </c:pt>
                <c:pt idx="6">
                  <c:v>South West</c:v>
                </c:pt>
                <c:pt idx="7">
                  <c:v>Yorkshire and the Humber</c:v>
                </c:pt>
                <c:pt idx="8">
                  <c:v>East of England</c:v>
                </c:pt>
                <c:pt idx="9">
                  <c:v>North East</c:v>
                </c:pt>
                <c:pt idx="10">
                  <c:v>West Midlands</c:v>
                </c:pt>
                <c:pt idx="11">
                  <c:v>East Midlands</c:v>
                </c:pt>
              </c:strCache>
            </c:strRef>
          </c:cat>
          <c:val>
            <c:numRef>
              <c:f>'[1]5.10 fig 8'!$B$1:$B$12</c:f>
              <c:numCache>
                <c:formatCode>0.00%</c:formatCode>
                <c:ptCount val="12"/>
                <c:pt idx="0">
                  <c:v>0.25296472872699532</c:v>
                </c:pt>
                <c:pt idx="1">
                  <c:v>0.17779566797971941</c:v>
                </c:pt>
                <c:pt idx="2">
                  <c:v>0.16522386866754779</c:v>
                </c:pt>
                <c:pt idx="3">
                  <c:v>7.7872175441473013E-2</c:v>
                </c:pt>
                <c:pt idx="4">
                  <c:v>7.2814212115958316E-2</c:v>
                </c:pt>
                <c:pt idx="5">
                  <c:v>5.7763436282626902E-2</c:v>
                </c:pt>
                <c:pt idx="6">
                  <c:v>5.2157080443807832E-2</c:v>
                </c:pt>
                <c:pt idx="7">
                  <c:v>3.3537009383450889E-2</c:v>
                </c:pt>
                <c:pt idx="8">
                  <c:v>3.2399999999999998E-2</c:v>
                </c:pt>
                <c:pt idx="9">
                  <c:v>2.8639419903689112E-2</c:v>
                </c:pt>
                <c:pt idx="10">
                  <c:v>2.7690229100562593E-2</c:v>
                </c:pt>
                <c:pt idx="11">
                  <c:v>2.1095214706495287E-2</c:v>
                </c:pt>
              </c:numCache>
            </c:numRef>
          </c:val>
          <c:extLst>
            <c:ext xmlns:c16="http://schemas.microsoft.com/office/drawing/2014/chart" uri="{C3380CC4-5D6E-409C-BE32-E72D297353CC}">
              <c16:uniqueId val="{0000000C-B013-4AD0-84D2-2785F4E91616}"/>
            </c:ext>
          </c:extLst>
        </c:ser>
        <c:dLbls>
          <c:showLegendKey val="0"/>
          <c:showVal val="1"/>
          <c:showCatName val="0"/>
          <c:showSerName val="0"/>
          <c:showPercent val="0"/>
          <c:showBubbleSize val="0"/>
        </c:dLbls>
        <c:gapWidth val="80"/>
        <c:axId val="756704584"/>
        <c:axId val="756704944"/>
      </c:barChart>
      <c:catAx>
        <c:axId val="756704584"/>
        <c:scaling>
          <c:orientation val="minMax"/>
        </c:scaling>
        <c:delete val="0"/>
        <c:axPos val="b"/>
        <c:numFmt formatCode="General" sourceLinked="1"/>
        <c:majorTickMark val="none"/>
        <c:minorTickMark val="none"/>
        <c:tickLblPos val="low"/>
        <c:spPr>
          <a:ln w="6350" cmpd="sng">
            <a:solidFill>
              <a:srgbClr val="888B8D"/>
            </a:solidFill>
          </a:ln>
        </c:spPr>
        <c:txPr>
          <a:bodyPr/>
          <a:lstStyle/>
          <a:p>
            <a:pPr>
              <a:defRPr sz="800" b="0" i="0" u="none">
                <a:solidFill>
                  <a:srgbClr val="63666A"/>
                </a:solidFill>
                <a:latin typeface="Arial"/>
                <a:ea typeface="Arial"/>
                <a:cs typeface="Arial"/>
              </a:defRPr>
            </a:pPr>
            <a:endParaRPr lang="en-US"/>
          </a:p>
        </c:txPr>
        <c:crossAx val="756704944"/>
        <c:crosses val="autoZero"/>
        <c:auto val="1"/>
        <c:lblAlgn val="ctr"/>
        <c:lblOffset val="100"/>
        <c:noMultiLvlLbl val="0"/>
      </c:catAx>
      <c:valAx>
        <c:axId val="756704944"/>
        <c:scaling>
          <c:orientation val="minMax"/>
        </c:scaling>
        <c:delete val="0"/>
        <c:axPos val="l"/>
        <c:majorGridlines>
          <c:spPr>
            <a:ln w="6350">
              <a:solidFill>
                <a:srgbClr val="B7B9BA"/>
              </a:solidFill>
            </a:ln>
          </c:spPr>
        </c:majorGridlines>
        <c:numFmt formatCode="0%" sourceLinked="0"/>
        <c:majorTickMark val="none"/>
        <c:minorTickMark val="none"/>
        <c:tickLblPos val="nextTo"/>
        <c:spPr>
          <a:ln w="25400">
            <a:noFill/>
          </a:ln>
        </c:spPr>
        <c:txPr>
          <a:bodyPr/>
          <a:lstStyle/>
          <a:p>
            <a:pPr>
              <a:defRPr sz="800" b="0" i="0" u="none">
                <a:solidFill>
                  <a:srgbClr val="63666A"/>
                </a:solidFill>
                <a:latin typeface="Arial"/>
                <a:ea typeface="Arial"/>
                <a:cs typeface="Arial"/>
              </a:defRPr>
            </a:pPr>
            <a:endParaRPr lang="en-US"/>
          </a:p>
        </c:txPr>
        <c:crossAx val="756704584"/>
        <c:crosses val="autoZero"/>
        <c:crossBetween val="between"/>
      </c:valAx>
      <c:spPr>
        <a:noFill/>
        <a:ln w="25400">
          <a:noFill/>
        </a:ln>
      </c:spPr>
    </c:plotArea>
    <c:plotVisOnly val="1"/>
    <c:dispBlanksAs val="gap"/>
    <c:showDLblsOverMax val="0"/>
    <c:extLst/>
  </c:chart>
  <c:spPr>
    <a:solidFill>
      <a:srgbClr val="FFFFFF"/>
    </a:solidFill>
    <a:ln w="25400">
      <a:noFill/>
    </a:ln>
    <a:effectLst/>
  </c:spPr>
  <c:txPr>
    <a:bodyPr/>
    <a:lstStyle/>
    <a:p>
      <a:pPr>
        <a:defRPr sz="800" b="0" i="0" u="none">
          <a:solidFill>
            <a:srgbClr val="63666A"/>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142855"/>
            </a:solidFill>
            <a:ln w="25400">
              <a:noFill/>
            </a:ln>
            <a:effectLst/>
          </c:spPr>
          <c:invertIfNegative val="0"/>
          <c:dLbls>
            <c:dLbl>
              <c:idx val="0"/>
              <c:tx>
                <c:rich>
                  <a:bodyPr/>
                  <a:lstStyle/>
                  <a:p>
                    <a:fld id="{18248672-3F1B-4E04-82EA-B12BA19EB1B0}"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{18248672-3F1B-4E04-82EA-B12BA19EB1B0}</c15:txfldGUID>
                      <c15:f>'Fig 9'!$B$1</c15:f>
                      <c15:dlblFieldTableCache>
                        <c:ptCount val="1"/>
                        <c:pt idx="0">
                          <c:v>21.3%</c:v>
                        </c:pt>
                      </c15:dlblFieldTableCache>
                    </c15:dlblFTEntry>
                  </c15:dlblFieldTable>
                  <c15:showDataLabelsRange val="0"/>
                </c:ext>
                <c:ext xmlns:c16="http://schemas.microsoft.com/office/drawing/2014/chart" uri="{C3380CC4-5D6E-409C-BE32-E72D297353CC}">
                  <c16:uniqueId val="{00000000-138A-468D-9056-D9DF6F1FC06F}"/>
                </c:ext>
              </c:extLst>
            </c:dLbl>
            <c:dLbl>
              <c:idx val="1"/>
              <c:tx>
                <c:rich>
                  <a:bodyPr/>
                  <a:lstStyle/>
                  <a:p>
                    <a:fld id="{401A5111-45B5-4354-8813-9F292833A8CB}"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{401A5111-45B5-4354-8813-9F292833A8CB}</c15:txfldGUID>
                      <c15:f>'Fig 9'!$B$2</c15:f>
                      <c15:dlblFieldTableCache>
                        <c:ptCount val="1"/>
                        <c:pt idx="0">
                          <c:v>17.0%</c:v>
                        </c:pt>
                      </c15:dlblFieldTableCache>
                    </c15:dlblFTEntry>
                  </c15:dlblFieldTable>
                  <c15:showDataLabelsRange val="0"/>
                </c:ext>
                <c:ext xmlns:c16="http://schemas.microsoft.com/office/drawing/2014/chart" uri="{C3380CC4-5D6E-409C-BE32-E72D297353CC}">
                  <c16:uniqueId val="{00000001-138A-468D-9056-D9DF6F1FC06F}"/>
                </c:ext>
              </c:extLst>
            </c:dLbl>
            <c:dLbl>
              <c:idx val="2"/>
              <c:tx>
                <c:rich>
                  <a:bodyPr/>
                  <a:lstStyle/>
                  <a:p>
                    <a:fld id="{997263F7-1D0F-41EC-B8F2-F6E358CA1041}"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{997263F7-1D0F-41EC-B8F2-F6E358CA1041}</c15:txfldGUID>
                      <c15:f>'Fig 9'!$B$3</c15:f>
                      <c15:dlblFieldTableCache>
                        <c:ptCount val="1"/>
                        <c:pt idx="0">
                          <c:v>15.6%</c:v>
                        </c:pt>
                      </c15:dlblFieldTableCache>
                    </c15:dlblFTEntry>
                  </c15:dlblFieldTable>
                  <c15:showDataLabelsRange val="0"/>
                </c:ext>
                <c:ext xmlns:c16="http://schemas.microsoft.com/office/drawing/2014/chart" uri="{C3380CC4-5D6E-409C-BE32-E72D297353CC}">
                  <c16:uniqueId val="{00000002-138A-468D-9056-D9DF6F1FC06F}"/>
                </c:ext>
              </c:extLst>
            </c:dLbl>
            <c:dLbl>
              <c:idx val="3"/>
              <c:tx>
                <c:rich>
                  <a:bodyPr/>
                  <a:lstStyle/>
                  <a:p>
                    <a:fld id="{1D609575-E133-4937-B18C-39D43BE33765}"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{1D609575-E133-4937-B18C-39D43BE33765}</c15:txfldGUID>
                      <c15:f>'Fig 9'!$B$4</c15:f>
                      <c15:dlblFieldTableCache>
                        <c:ptCount val="1"/>
                        <c:pt idx="0">
                          <c:v>12.4%</c:v>
                        </c:pt>
                      </c15:dlblFieldTableCache>
                    </c15:dlblFTEntry>
                  </c15:dlblFieldTable>
                  <c15:showDataLabelsRange val="0"/>
                </c:ext>
                <c:ext xmlns:c16="http://schemas.microsoft.com/office/drawing/2014/chart" uri="{C3380CC4-5D6E-409C-BE32-E72D297353CC}">
                  <c16:uniqueId val="{00000003-138A-468D-9056-D9DF6F1FC06F}"/>
                </c:ext>
              </c:extLst>
            </c:dLbl>
            <c:dLbl>
              <c:idx val="4"/>
              <c:tx>
                <c:rich>
                  <a:bodyPr/>
                  <a:lstStyle/>
                  <a:p>
                    <a:fld id="{1612C038-80CD-47E4-AE10-EA8A9B22A2D4}"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{1612C038-80CD-47E4-AE10-EA8A9B22A2D4}</c15:txfldGUID>
                      <c15:f>'Fig 9'!$B$5</c15:f>
                      <c15:dlblFieldTableCache>
                        <c:ptCount val="1"/>
                        <c:pt idx="0">
                          <c:v>6.5%</c:v>
                        </c:pt>
                      </c15:dlblFieldTableCache>
                    </c15:dlblFTEntry>
                  </c15:dlblFieldTable>
                  <c15:showDataLabelsRange val="0"/>
                </c:ext>
                <c:ext xmlns:c16="http://schemas.microsoft.com/office/drawing/2014/chart" uri="{C3380CC4-5D6E-409C-BE32-E72D297353CC}">
                  <c16:uniqueId val="{00000004-138A-468D-9056-D9DF6F1FC06F}"/>
                </c:ext>
              </c:extLst>
            </c:dLbl>
            <c:dLbl>
              <c:idx val="5"/>
              <c:tx>
                <c:rich>
                  <a:bodyPr/>
                  <a:lstStyle/>
                  <a:p>
                    <a:fld id="{1F005112-EC3E-43E2-A2C1-625EEB167325}"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{1F005112-EC3E-43E2-A2C1-625EEB167325}</c15:txfldGUID>
                      <c15:f>'Fig 9'!$B$6</c15:f>
                      <c15:dlblFieldTableCache>
                        <c:ptCount val="1"/>
                        <c:pt idx="0">
                          <c:v>6.2%</c:v>
                        </c:pt>
                      </c15:dlblFieldTableCache>
                    </c15:dlblFTEntry>
                  </c15:dlblFieldTable>
                  <c15:showDataLabelsRange val="0"/>
                </c:ext>
                <c:ext xmlns:c16="http://schemas.microsoft.com/office/drawing/2014/chart" uri="{C3380CC4-5D6E-409C-BE32-E72D297353CC}">
                  <c16:uniqueId val="{00000005-138A-468D-9056-D9DF6F1FC06F}"/>
                </c:ext>
              </c:extLst>
            </c:dLbl>
            <c:dLbl>
              <c:idx val="6"/>
              <c:tx>
                <c:rich>
                  <a:bodyPr/>
                  <a:lstStyle/>
                  <a:p>
                    <a:fld id="{2A24DE29-F47D-4A07-8FAA-54545F776B47}"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{2A24DE29-F47D-4A07-8FAA-54545F776B47}</c15:txfldGUID>
                      <c15:f>'Fig 9'!$B$7</c15:f>
                      <c15:dlblFieldTableCache>
                        <c:ptCount val="1"/>
                        <c:pt idx="0">
                          <c:v>4.7%</c:v>
                        </c:pt>
                      </c15:dlblFieldTableCache>
                    </c15:dlblFTEntry>
                  </c15:dlblFieldTable>
                  <c15:showDataLabelsRange val="0"/>
                </c:ext>
                <c:ext xmlns:c16="http://schemas.microsoft.com/office/drawing/2014/chart" uri="{C3380CC4-5D6E-409C-BE32-E72D297353CC}">
                  <c16:uniqueId val="{00000006-138A-468D-9056-D9DF6F1FC06F}"/>
                </c:ext>
              </c:extLst>
            </c:dLbl>
            <c:dLbl>
              <c:idx val="7"/>
              <c:tx>
                <c:rich>
                  <a:bodyPr/>
                  <a:lstStyle/>
                  <a:p>
                    <a:fld id="{8DE89164-3008-43ED-80BD-64F0496CAC97}"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{8DE89164-3008-43ED-80BD-64F0496CAC97}</c15:txfldGUID>
                      <c15:f>'Fig 9'!$B$8</c15:f>
                      <c15:dlblFieldTableCache>
                        <c:ptCount val="1"/>
                        <c:pt idx="0">
                          <c:v>4.6%</c:v>
                        </c:pt>
                      </c15:dlblFieldTableCache>
                    </c15:dlblFTEntry>
                  </c15:dlblFieldTable>
                  <c15:showDataLabelsRange val="0"/>
                </c:ext>
                <c:ext xmlns:c16="http://schemas.microsoft.com/office/drawing/2014/chart" uri="{C3380CC4-5D6E-409C-BE32-E72D297353CC}">
                  <c16:uniqueId val="{00000007-138A-468D-9056-D9DF6F1FC06F}"/>
                </c:ext>
              </c:extLst>
            </c:dLbl>
            <c:dLbl>
              <c:idx val="8"/>
              <c:tx>
                <c:rich>
                  <a:bodyPr/>
                  <a:lstStyle/>
                  <a:p>
                    <a:fld id="{4772B90A-01BF-4D9A-BDDA-79CA3065CA4F}"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{4772B90A-01BF-4D9A-BDDA-79CA3065CA4F}</c15:txfldGUID>
                      <c15:f>'Fig 9'!$B$9</c15:f>
                      <c15:dlblFieldTableCache>
                        <c:ptCount val="1"/>
                        <c:pt idx="0">
                          <c:v>3.4%</c:v>
                        </c:pt>
                      </c15:dlblFieldTableCache>
                    </c15:dlblFTEntry>
                  </c15:dlblFieldTable>
                  <c15:showDataLabelsRange val="0"/>
                </c:ext>
                <c:ext xmlns:c16="http://schemas.microsoft.com/office/drawing/2014/chart" uri="{C3380CC4-5D6E-409C-BE32-E72D297353CC}">
                  <c16:uniqueId val="{00000008-138A-468D-9056-D9DF6F1FC06F}"/>
                </c:ext>
              </c:extLst>
            </c:dLbl>
            <c:dLbl>
              <c:idx val="9"/>
              <c:tx>
                <c:rich>
                  <a:bodyPr/>
                  <a:lstStyle/>
                  <a:p>
                    <a:fld id="{C58CF805-9214-447C-BEE0-F019423638C5}"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{C58CF805-9214-447C-BEE0-F019423638C5}</c15:txfldGUID>
                      <c15:f>'Fig 9'!$B$10</c15:f>
                      <c15:dlblFieldTableCache>
                        <c:ptCount val="1"/>
                        <c:pt idx="0">
                          <c:v>3.0%</c:v>
                        </c:pt>
                      </c15:dlblFieldTableCache>
                    </c15:dlblFTEntry>
                  </c15:dlblFieldTable>
                  <c15:showDataLabelsRange val="0"/>
                </c:ext>
                <c:ext xmlns:c16="http://schemas.microsoft.com/office/drawing/2014/chart" uri="{C3380CC4-5D6E-409C-BE32-E72D297353CC}">
                  <c16:uniqueId val="{00000009-138A-468D-9056-D9DF6F1FC06F}"/>
                </c:ext>
              </c:extLst>
            </c:dLbl>
            <c:dLbl>
              <c:idx val="10"/>
              <c:tx>
                <c:rich>
                  <a:bodyPr/>
                  <a:lstStyle/>
                  <a:p>
                    <a:fld id="{0E37BEAC-A14A-451D-B95A-19E1CDF72443}"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{0E37BEAC-A14A-451D-B95A-19E1CDF72443}</c15:txfldGUID>
                      <c15:f>'Fig 9'!$B$11</c15:f>
                      <c15:dlblFieldTableCache>
                        <c:ptCount val="1"/>
                        <c:pt idx="0">
                          <c:v>2.8%</c:v>
                        </c:pt>
                      </c15:dlblFieldTableCache>
                    </c15:dlblFTEntry>
                  </c15:dlblFieldTable>
                  <c15:showDataLabelsRange val="0"/>
                </c:ext>
                <c:ext xmlns:c16="http://schemas.microsoft.com/office/drawing/2014/chart" uri="{C3380CC4-5D6E-409C-BE32-E72D297353CC}">
                  <c16:uniqueId val="{0000000A-138A-468D-9056-D9DF6F1FC06F}"/>
                </c:ext>
              </c:extLst>
            </c:dLbl>
            <c:dLbl>
              <c:idx val="11"/>
              <c:tx>
                <c:rich>
                  <a:bodyPr/>
                  <a:lstStyle/>
                  <a:p>
                    <a:fld id="{796B115E-D96C-46E1-8577-F7672B1A54B1}" type="CELLREF">
                      <a:rPr lang="en-US"/>
                      <a:pPr/>
                      <a:t>[CELLREF]</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{796B115E-D96C-46E1-8577-F7672B1A54B1}</c15:txfldGUID>
                      <c15:f>'Fig 9'!$B$12</c15:f>
                      <c15:dlblFieldTableCache>
                        <c:ptCount val="1"/>
                        <c:pt idx="0">
                          <c:v>2.5%</c:v>
                        </c:pt>
                      </c15:dlblFieldTableCache>
                    </c15:dlblFTEntry>
                  </c15:dlblFieldTable>
                  <c15:showDataLabelsRange val="0"/>
                </c:ext>
                <c:ext xmlns:c16="http://schemas.microsoft.com/office/drawing/2014/chart" uri="{C3380CC4-5D6E-409C-BE32-E72D297353CC}">
                  <c16:uniqueId val="{0000000B-138A-468D-9056-D9DF6F1FC06F}"/>
                </c:ext>
              </c:extLst>
            </c:dLbl>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'[1]05.10 fig 9 in order'!$A$1:$A$12</c:f>
              <c:strCache>
                <c:ptCount val="12"/>
                <c:pt idx="0">
                  <c:v>London</c:v>
                </c:pt>
                <c:pt idx="1">
                  <c:v>Scotland</c:v>
                </c:pt>
                <c:pt idx="2">
                  <c:v>North West</c:v>
                </c:pt>
                <c:pt idx="3">
                  <c:v>Northern Ireland</c:v>
                </c:pt>
                <c:pt idx="4">
                  <c:v>South East</c:v>
                </c:pt>
                <c:pt idx="5">
                  <c:v>South West</c:v>
                </c:pt>
                <c:pt idx="6">
                  <c:v>Wales</c:v>
                </c:pt>
                <c:pt idx="7">
                  <c:v>Yorkshire and the Humber</c:v>
                </c:pt>
                <c:pt idx="8">
                  <c:v>East of England</c:v>
                </c:pt>
                <c:pt idx="9">
                  <c:v>North East</c:v>
                </c:pt>
                <c:pt idx="10">
                  <c:v>West Midlands</c:v>
                </c:pt>
                <c:pt idx="11">
                  <c:v>East Midlands</c:v>
                </c:pt>
              </c:strCache>
            </c:strRef>
          </c:cat>
          <c:val>
            <c:numRef>
              <c:f>'[1]05.10 fig 9 in order'!$B$1:$B$12</c:f>
              <c:numCache>
                <c:formatCode>0.00%</c:formatCode>
                <c:ptCount val="12"/>
                <c:pt idx="0">
                  <c:v>0.21343165783259663</c:v>
                </c:pt>
                <c:pt idx="1">
                  <c:v>0.17014642319988491</c:v>
                </c:pt>
                <c:pt idx="2">
                  <c:v>0.15555302766966503</c:v>
                </c:pt>
                <c:pt idx="3">
                  <c:v>0.12369777582566156</c:v>
                </c:pt>
                <c:pt idx="4">
                  <c:v>6.4919233086872516E-2</c:v>
                </c:pt>
                <c:pt idx="5">
                  <c:v>6.2423339023492973E-2</c:v>
                </c:pt>
                <c:pt idx="6">
                  <c:v>4.6747074333696299E-2</c:v>
                </c:pt>
                <c:pt idx="7">
                  <c:v>4.5748836429651149E-2</c:v>
                </c:pt>
                <c:pt idx="8">
                  <c:v>3.4299999999999997E-2</c:v>
                </c:pt>
                <c:pt idx="9">
                  <c:v>2.9705627913783981E-2</c:v>
                </c:pt>
                <c:pt idx="10">
                  <c:v>2.799743919818919E-2</c:v>
                </c:pt>
                <c:pt idx="11">
                  <c:v>2.5313082195510532E-2</c:v>
                </c:pt>
              </c:numCache>
            </c:numRef>
          </c:val>
          <c:extLst>
            <c:ext xmlns:c16="http://schemas.microsoft.com/office/drawing/2014/chart" uri="{C3380CC4-5D6E-409C-BE32-E72D297353CC}">
              <c16:uniqueId val="{0000000C-138A-468D-9056-D9DF6F1FC06F}"/>
            </c:ext>
          </c:extLst>
        </c:ser>
        <c:dLbls>
          <c:dLblPos val="outEnd"/>
          <c:showLegendKey val="0"/>
          <c:showVal val="1"/>
          <c:showCatName val="0"/>
          <c:showSerName val="0"/>
          <c:showPercent val="0"/>
          <c:showBubbleSize val="0"/>
        </c:dLbls>
        <c:gapWidth val="80"/>
        <c:axId val="432917872"/>
        <c:axId val="432914272"/>
      </c:barChart>
      <c:catAx>
        <c:axId val="432917872"/>
        <c:scaling>
          <c:orientation val="minMax"/>
        </c:scaling>
        <c:delete val="0"/>
        <c:axPos val="b"/>
        <c:numFmt formatCode="General" sourceLinked="1"/>
        <c:majorTickMark val="none"/>
        <c:minorTickMark val="none"/>
        <c:tickLblPos val="low"/>
        <c:spPr>
          <a:ln w="6350" cmpd="sng">
            <a:solidFill>
              <a:srgbClr val="888B8D"/>
            </a:solidFill>
          </a:ln>
        </c:spPr>
        <c:txPr>
          <a:bodyPr/>
          <a:lstStyle/>
          <a:p>
            <a:pPr>
              <a:defRPr sz="800" b="0" i="0" u="none">
                <a:solidFill>
                  <a:srgbClr val="63666A"/>
                </a:solidFill>
                <a:latin typeface="Arial"/>
                <a:ea typeface="Arial"/>
                <a:cs typeface="Arial"/>
              </a:defRPr>
            </a:pPr>
            <a:endParaRPr lang="en-US"/>
          </a:p>
        </c:txPr>
        <c:crossAx val="432914272"/>
        <c:crosses val="autoZero"/>
        <c:auto val="1"/>
        <c:lblAlgn val="ctr"/>
        <c:lblOffset val="100"/>
        <c:noMultiLvlLbl val="0"/>
      </c:catAx>
      <c:valAx>
        <c:axId val="432914272"/>
        <c:scaling>
          <c:orientation val="minMax"/>
        </c:scaling>
        <c:delete val="0"/>
        <c:axPos val="l"/>
        <c:majorGridlines>
          <c:spPr>
            <a:ln w="6350">
              <a:solidFill>
                <a:srgbClr val="B7B9BA"/>
              </a:solidFill>
            </a:ln>
          </c:spPr>
        </c:majorGridlines>
        <c:numFmt formatCode="0%" sourceLinked="0"/>
        <c:majorTickMark val="none"/>
        <c:minorTickMark val="none"/>
        <c:tickLblPos val="nextTo"/>
        <c:spPr>
          <a:ln w="25400">
            <a:noFill/>
          </a:ln>
        </c:spPr>
        <c:txPr>
          <a:bodyPr/>
          <a:lstStyle/>
          <a:p>
            <a:pPr>
              <a:defRPr sz="800" b="0" i="0" u="none">
                <a:solidFill>
                  <a:srgbClr val="63666A"/>
                </a:solidFill>
                <a:latin typeface="Arial"/>
                <a:ea typeface="Arial"/>
                <a:cs typeface="Arial"/>
              </a:defRPr>
            </a:pPr>
            <a:endParaRPr lang="en-US"/>
          </a:p>
        </c:txPr>
        <c:crossAx val="432917872"/>
        <c:crosses val="autoZero"/>
        <c:crossBetween val="between"/>
      </c:valAx>
      <c:spPr>
        <a:noFill/>
        <a:ln w="25400">
          <a:noFill/>
        </a:ln>
      </c:spPr>
    </c:plotArea>
    <c:plotVisOnly val="1"/>
    <c:dispBlanksAs val="gap"/>
    <c:showDLblsOverMax val="0"/>
    <c:extLst/>
  </c:chart>
  <c:spPr>
    <a:solidFill>
      <a:srgbClr val="FFFFFF"/>
    </a:solidFill>
    <a:ln w="25400">
      <a:noFill/>
    </a:ln>
    <a:effectLst/>
  </c:spPr>
  <c:txPr>
    <a:bodyPr/>
    <a:lstStyle/>
    <a:p>
      <a:pPr>
        <a:defRPr sz="800" b="0" i="0" u="none">
          <a:solidFill>
            <a:srgbClr val="63666A"/>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926E7095BE4273A7C244539C20B13B"/>
        <w:category>
          <w:name w:val="General"/>
          <w:gallery w:val="placeholder"/>
        </w:category>
        <w:types>
          <w:type w:val="bbPlcHdr"/>
        </w:types>
        <w:behaviors>
          <w:behavior w:val="content"/>
        </w:behaviors>
        <w:guid w:val="{1D1A1833-A759-4C31-B847-41FDB08C007C}"/>
      </w:docPartPr>
      <w:docPartBody>
        <w:p w:rsidR="00F903E7" w:rsidRDefault="006A28B1" w:rsidP="006A28B1">
          <w:pPr>
            <w:pStyle w:val="22926E7095BE4273A7C244539C20B13B"/>
          </w:pPr>
          <w:r w:rsidRPr="005C0140">
            <w:t>+44 (0)114 206 2131</w:t>
          </w:r>
        </w:p>
      </w:docPartBody>
    </w:docPart>
    <w:docPart>
      <w:docPartPr>
        <w:name w:val="E6B05968C7074BEF88625A419415EFE9"/>
        <w:category>
          <w:name w:val="General"/>
          <w:gallery w:val="placeholder"/>
        </w:category>
        <w:types>
          <w:type w:val="bbPlcHdr"/>
        </w:types>
        <w:behaviors>
          <w:behavior w:val="content"/>
        </w:behaviors>
        <w:guid w:val="{AFCC1B59-DEED-49C5-B41E-71305980CA7C}"/>
      </w:docPartPr>
      <w:docPartBody>
        <w:p w:rsidR="00F903E7" w:rsidRDefault="006A28B1" w:rsidP="006A28B1">
          <w:pPr>
            <w:pStyle w:val="E6B05968C7074BEF88625A419415EFE9"/>
          </w:pPr>
          <w:r w:rsidRPr="005C0140">
            <w:t>info@british-business-bank.co.uk</w:t>
          </w:r>
        </w:p>
      </w:docPartBody>
    </w:docPart>
    <w:docPart>
      <w:docPartPr>
        <w:name w:val="DDA389174ACB45C1A3071001235975E9"/>
        <w:category>
          <w:name w:val="General"/>
          <w:gallery w:val="placeholder"/>
        </w:category>
        <w:types>
          <w:type w:val="bbPlcHdr"/>
        </w:types>
        <w:behaviors>
          <w:behavior w:val="content"/>
        </w:behaviors>
        <w:guid w:val="{09133127-106A-4425-B87E-B464ACC1E691}"/>
      </w:docPartPr>
      <w:docPartBody>
        <w:p w:rsidR="00F903E7" w:rsidRDefault="006A28B1" w:rsidP="006A28B1">
          <w:pPr>
            <w:pStyle w:val="DDA389174ACB45C1A3071001235975E9"/>
          </w:pPr>
          <w:r w:rsidRPr="005C0140">
            <w:t>Month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Body CS)">
    <w:altName w:val="Arial"/>
    <w:charset w:val="00"/>
    <w:family w:val="roman"/>
    <w:pitch w:val="default"/>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E8"/>
    <w:rsid w:val="00001E1F"/>
    <w:rsid w:val="00004733"/>
    <w:rsid w:val="000250C3"/>
    <w:rsid w:val="000323EF"/>
    <w:rsid w:val="0003522A"/>
    <w:rsid w:val="00037DC9"/>
    <w:rsid w:val="000443BC"/>
    <w:rsid w:val="00072C1E"/>
    <w:rsid w:val="00081FC8"/>
    <w:rsid w:val="00093D51"/>
    <w:rsid w:val="000B4171"/>
    <w:rsid w:val="000B7E3D"/>
    <w:rsid w:val="000D1E22"/>
    <w:rsid w:val="0010737D"/>
    <w:rsid w:val="00111590"/>
    <w:rsid w:val="00127D61"/>
    <w:rsid w:val="00140137"/>
    <w:rsid w:val="00155DE3"/>
    <w:rsid w:val="001570F3"/>
    <w:rsid w:val="00160FAD"/>
    <w:rsid w:val="00163E36"/>
    <w:rsid w:val="00166DC8"/>
    <w:rsid w:val="00167ED3"/>
    <w:rsid w:val="001A0D59"/>
    <w:rsid w:val="001C751D"/>
    <w:rsid w:val="00233768"/>
    <w:rsid w:val="002407F9"/>
    <w:rsid w:val="00242605"/>
    <w:rsid w:val="0024759F"/>
    <w:rsid w:val="0027385B"/>
    <w:rsid w:val="00276276"/>
    <w:rsid w:val="00276D85"/>
    <w:rsid w:val="00284847"/>
    <w:rsid w:val="00293107"/>
    <w:rsid w:val="002A4295"/>
    <w:rsid w:val="002A7CFB"/>
    <w:rsid w:val="002B5BFF"/>
    <w:rsid w:val="002B702A"/>
    <w:rsid w:val="00307376"/>
    <w:rsid w:val="0031110E"/>
    <w:rsid w:val="003372CE"/>
    <w:rsid w:val="00354EED"/>
    <w:rsid w:val="00397512"/>
    <w:rsid w:val="003D4FB6"/>
    <w:rsid w:val="003F40C8"/>
    <w:rsid w:val="0040009B"/>
    <w:rsid w:val="0040054A"/>
    <w:rsid w:val="00404921"/>
    <w:rsid w:val="00454E4E"/>
    <w:rsid w:val="00485F42"/>
    <w:rsid w:val="004E333C"/>
    <w:rsid w:val="004F5743"/>
    <w:rsid w:val="005015CD"/>
    <w:rsid w:val="00512C23"/>
    <w:rsid w:val="00516D12"/>
    <w:rsid w:val="00517141"/>
    <w:rsid w:val="00517564"/>
    <w:rsid w:val="00526826"/>
    <w:rsid w:val="005555D1"/>
    <w:rsid w:val="0056067C"/>
    <w:rsid w:val="00560F45"/>
    <w:rsid w:val="00572788"/>
    <w:rsid w:val="00582333"/>
    <w:rsid w:val="005851AA"/>
    <w:rsid w:val="005A2C31"/>
    <w:rsid w:val="005A626F"/>
    <w:rsid w:val="005B6144"/>
    <w:rsid w:val="005C16BC"/>
    <w:rsid w:val="005E2D95"/>
    <w:rsid w:val="005E4B24"/>
    <w:rsid w:val="005F7FA9"/>
    <w:rsid w:val="00600530"/>
    <w:rsid w:val="0066732F"/>
    <w:rsid w:val="00673AA3"/>
    <w:rsid w:val="006A28B1"/>
    <w:rsid w:val="006D05EC"/>
    <w:rsid w:val="006E3314"/>
    <w:rsid w:val="006E38F5"/>
    <w:rsid w:val="00701017"/>
    <w:rsid w:val="00701089"/>
    <w:rsid w:val="0071460C"/>
    <w:rsid w:val="007205CD"/>
    <w:rsid w:val="0072590E"/>
    <w:rsid w:val="007719C2"/>
    <w:rsid w:val="007737AA"/>
    <w:rsid w:val="00774F37"/>
    <w:rsid w:val="007D6964"/>
    <w:rsid w:val="00805753"/>
    <w:rsid w:val="008235A4"/>
    <w:rsid w:val="008373E4"/>
    <w:rsid w:val="00841CDB"/>
    <w:rsid w:val="0089473A"/>
    <w:rsid w:val="008A7A62"/>
    <w:rsid w:val="008E20AD"/>
    <w:rsid w:val="009055E8"/>
    <w:rsid w:val="00915095"/>
    <w:rsid w:val="0091691A"/>
    <w:rsid w:val="00921E54"/>
    <w:rsid w:val="00924B73"/>
    <w:rsid w:val="0093004E"/>
    <w:rsid w:val="0093262D"/>
    <w:rsid w:val="00981B37"/>
    <w:rsid w:val="00991909"/>
    <w:rsid w:val="009941EA"/>
    <w:rsid w:val="009960C3"/>
    <w:rsid w:val="00997C1D"/>
    <w:rsid w:val="009C0C03"/>
    <w:rsid w:val="009C5531"/>
    <w:rsid w:val="009D048E"/>
    <w:rsid w:val="009D73A3"/>
    <w:rsid w:val="009F4E8F"/>
    <w:rsid w:val="00A16F51"/>
    <w:rsid w:val="00A7323F"/>
    <w:rsid w:val="00AA5ABF"/>
    <w:rsid w:val="00AE5D73"/>
    <w:rsid w:val="00AF735B"/>
    <w:rsid w:val="00B14089"/>
    <w:rsid w:val="00B14102"/>
    <w:rsid w:val="00B24EEE"/>
    <w:rsid w:val="00B25CC6"/>
    <w:rsid w:val="00B51E24"/>
    <w:rsid w:val="00B5319A"/>
    <w:rsid w:val="00B53E1D"/>
    <w:rsid w:val="00B72E66"/>
    <w:rsid w:val="00BD2D8C"/>
    <w:rsid w:val="00BE076B"/>
    <w:rsid w:val="00BE3817"/>
    <w:rsid w:val="00C06FC3"/>
    <w:rsid w:val="00C15E36"/>
    <w:rsid w:val="00C30A6F"/>
    <w:rsid w:val="00C74E5D"/>
    <w:rsid w:val="00C813A5"/>
    <w:rsid w:val="00C819A5"/>
    <w:rsid w:val="00CA2F6E"/>
    <w:rsid w:val="00CA6BB6"/>
    <w:rsid w:val="00CC5B15"/>
    <w:rsid w:val="00CC609F"/>
    <w:rsid w:val="00CF2BC2"/>
    <w:rsid w:val="00D06F0A"/>
    <w:rsid w:val="00D1154F"/>
    <w:rsid w:val="00D11C02"/>
    <w:rsid w:val="00D43263"/>
    <w:rsid w:val="00D6522B"/>
    <w:rsid w:val="00D67051"/>
    <w:rsid w:val="00D673B4"/>
    <w:rsid w:val="00D71C07"/>
    <w:rsid w:val="00D73438"/>
    <w:rsid w:val="00D874D6"/>
    <w:rsid w:val="00DB0B2A"/>
    <w:rsid w:val="00DB3C32"/>
    <w:rsid w:val="00DD1D77"/>
    <w:rsid w:val="00DD2CEA"/>
    <w:rsid w:val="00DD65F7"/>
    <w:rsid w:val="00DE1AE2"/>
    <w:rsid w:val="00E01D4A"/>
    <w:rsid w:val="00E1391B"/>
    <w:rsid w:val="00E46E6C"/>
    <w:rsid w:val="00E53DC6"/>
    <w:rsid w:val="00E92EF3"/>
    <w:rsid w:val="00EA3D27"/>
    <w:rsid w:val="00EB726C"/>
    <w:rsid w:val="00ED05EA"/>
    <w:rsid w:val="00EE4562"/>
    <w:rsid w:val="00EF15D4"/>
    <w:rsid w:val="00EF48E0"/>
    <w:rsid w:val="00F07D1F"/>
    <w:rsid w:val="00F53674"/>
    <w:rsid w:val="00F54666"/>
    <w:rsid w:val="00F62598"/>
    <w:rsid w:val="00F67C52"/>
    <w:rsid w:val="00F72FF8"/>
    <w:rsid w:val="00F733F1"/>
    <w:rsid w:val="00F903E7"/>
    <w:rsid w:val="00FB3469"/>
    <w:rsid w:val="00FB6079"/>
    <w:rsid w:val="00FC38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0C3"/>
    <w:rPr>
      <w:color w:val="808080"/>
    </w:rPr>
  </w:style>
  <w:style w:type="paragraph" w:customStyle="1" w:styleId="22926E7095BE4273A7C244539C20B13B">
    <w:name w:val="22926E7095BE4273A7C244539C20B13B"/>
    <w:rsid w:val="006A28B1"/>
    <w:pPr>
      <w:spacing w:after="160" w:line="259" w:lineRule="auto"/>
    </w:pPr>
    <w:rPr>
      <w:sz w:val="22"/>
      <w:szCs w:val="22"/>
    </w:rPr>
  </w:style>
  <w:style w:type="paragraph" w:customStyle="1" w:styleId="E6B05968C7074BEF88625A419415EFE9">
    <w:name w:val="E6B05968C7074BEF88625A419415EFE9"/>
    <w:rsid w:val="006A28B1"/>
    <w:pPr>
      <w:spacing w:after="160" w:line="259" w:lineRule="auto"/>
    </w:pPr>
    <w:rPr>
      <w:sz w:val="22"/>
      <w:szCs w:val="22"/>
    </w:rPr>
  </w:style>
  <w:style w:type="paragraph" w:customStyle="1" w:styleId="DDA389174ACB45C1A3071001235975E9">
    <w:name w:val="DDA389174ACB45C1A3071001235975E9"/>
    <w:rsid w:val="006A28B1"/>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BB 1">
      <a:dk1>
        <a:srgbClr val="1D1D1B"/>
      </a:dk1>
      <a:lt1>
        <a:sysClr val="window" lastClr="FFFFFF"/>
      </a:lt1>
      <a:dk2>
        <a:srgbClr val="142855"/>
      </a:dk2>
      <a:lt2>
        <a:srgbClr val="FFFFFF"/>
      </a:lt2>
      <a:accent1>
        <a:srgbClr val="FF3246"/>
      </a:accent1>
      <a:accent2>
        <a:srgbClr val="0054BA"/>
      </a:accent2>
      <a:accent3>
        <a:srgbClr val="7E89C1"/>
      </a:accent3>
      <a:accent4>
        <a:srgbClr val="3C3786"/>
      </a:accent4>
      <a:accent5>
        <a:srgbClr val="025F71"/>
      </a:accent5>
      <a:accent6>
        <a:srgbClr val="F06603"/>
      </a:accent6>
      <a:hlink>
        <a:srgbClr val="FF3246"/>
      </a:hlink>
      <a:folHlink>
        <a:srgbClr val="1428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5D3BBA1AC03945B89399FF9B953F42" ma:contentTypeVersion="5" ma:contentTypeDescription="Create a new document." ma:contentTypeScope="" ma:versionID="bf2dd5ca023755e4f08b126dbb4c5a4f">
  <xsd:schema xmlns:xsd="http://www.w3.org/2001/XMLSchema" xmlns:xs="http://www.w3.org/2001/XMLSchema" xmlns:p="http://schemas.microsoft.com/office/2006/metadata/properties" xmlns:ns2="d2315f4b-861a-40e9-92d8-70efc6ceee6e" xmlns:ns3="f60e82ea-0dbf-4965-b2d7-876a4b41fe97" targetNamespace="http://schemas.microsoft.com/office/2006/metadata/properties" ma:root="true" ma:fieldsID="f9a97445fed207b69c10fd716f914e8e" ns2:_="" ns3:_="">
    <xsd:import namespace="d2315f4b-861a-40e9-92d8-70efc6ceee6e"/>
    <xsd:import namespace="f60e82ea-0dbf-4965-b2d7-876a4b41fe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15f4b-861a-40e9-92d8-70efc6cee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e82ea-0dbf-4965-b2d7-876a4b41fe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60e82ea-0dbf-4965-b2d7-876a4b41fe97">
      <UserInfo>
        <DisplayName>Inga Pronskeviciene</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BFBAA-8667-4E31-B53E-BD296EB90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15f4b-861a-40e9-92d8-70efc6ceee6e"/>
    <ds:schemaRef ds:uri="f60e82ea-0dbf-4965-b2d7-876a4b41f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AC8CA-CDDE-4975-9C84-0691A7206246}">
  <ds:schemaRefs>
    <ds:schemaRef ds:uri="http://schemas.microsoft.com/sharepoint/v3/contenttype/forms"/>
  </ds:schemaRefs>
</ds:datastoreItem>
</file>

<file path=customXml/itemProps3.xml><?xml version="1.0" encoding="utf-8"?>
<ds:datastoreItem xmlns:ds="http://schemas.openxmlformats.org/officeDocument/2006/customXml" ds:itemID="{F8F1C89E-1164-466B-8EC0-A0F65920CB79}">
  <ds:schemaRefs>
    <ds:schemaRef ds:uri="http://schemas.microsoft.com/office/2006/metadata/properties"/>
    <ds:schemaRef ds:uri="http://schemas.microsoft.com/office/infopath/2007/PartnerControls"/>
    <ds:schemaRef ds:uri="f60e82ea-0dbf-4965-b2d7-876a4b41fe97"/>
  </ds:schemaRefs>
</ds:datastoreItem>
</file>

<file path=customXml/itemProps4.xml><?xml version="1.0" encoding="utf-8"?>
<ds:datastoreItem xmlns:ds="http://schemas.openxmlformats.org/officeDocument/2006/customXml" ds:itemID="{BD28D692-4C0A-4AD8-8636-AE0DA459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166</Pages>
  <Words>33558</Words>
  <Characters>180544</Characters>
  <Application>Microsoft Office Word</Application>
  <DocSecurity>0</DocSecurity>
  <Lines>5642</Lines>
  <Paragraphs>2932</Paragraphs>
  <ScaleCrop>false</ScaleCrop>
  <HeadingPairs>
    <vt:vector size="2" baseType="variant">
      <vt:variant>
        <vt:lpstr>Title</vt:lpstr>
      </vt:variant>
      <vt:variant>
        <vt:i4>1</vt:i4>
      </vt:variant>
    </vt:vector>
  </HeadingPairs>
  <TitlesOfParts>
    <vt:vector size="1" baseType="lpstr">
      <vt:lpstr>Add title of document</vt:lpstr>
    </vt:vector>
  </TitlesOfParts>
  <Company/>
  <LinksUpToDate>false</LinksUpToDate>
  <CharactersWithSpaces>211170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title of document</dc:title>
  <dc:subject/>
  <dc:creator>Jo Harwood</dc:creator>
  <cp:keywords/>
  <dc:description/>
  <cp:lastModifiedBy>Leandro Baldelli</cp:lastModifiedBy>
  <cp:revision>113</cp:revision>
  <cp:lastPrinted>2024-05-01T09:09:00Z</cp:lastPrinted>
  <dcterms:created xsi:type="dcterms:W3CDTF">2024-03-25T12:02:00Z</dcterms:created>
  <dcterms:modified xsi:type="dcterms:W3CDTF">2024-05-02T13:41:00Z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vt:lpwstr>
  </property>
  <property fmtid="{D5CDD505-2E9C-101B-9397-08002B2CF9AE}" pid="3" name="ContentTypeId">
    <vt:lpwstr>0x0101009A5D3BBA1AC03945B89399FF9B953F42</vt:lpwstr>
  </property>
  <property fmtid="{D5CDD505-2E9C-101B-9397-08002B2CF9AE}" pid="4" name="MSIP_Label_ba62f585-b40f-4ab9-bafe-39150f03d124_Enabled">
    <vt:lpwstr>true</vt:lpwstr>
  </property>
  <property fmtid="{D5CDD505-2E9C-101B-9397-08002B2CF9AE}" pid="5" name="MSIP_Label_ba62f585-b40f-4ab9-bafe-39150f03d124_SetDate">
    <vt:lpwstr>2022-07-07T08:22:43Z</vt:lpwstr>
  </property>
  <property fmtid="{D5CDD505-2E9C-101B-9397-08002B2CF9AE}" pid="6" name="MSIP_Label_ba62f585-b40f-4ab9-bafe-39150f03d124_Method">
    <vt:lpwstr>Standard</vt:lpwstr>
  </property>
  <property fmtid="{D5CDD505-2E9C-101B-9397-08002B2CF9AE}" pid="7" name="MSIP_Label_ba62f585-b40f-4ab9-bafe-39150f03d124_Name">
    <vt:lpwstr>OFFICIAL</vt:lpwstr>
  </property>
  <property fmtid="{D5CDD505-2E9C-101B-9397-08002B2CF9AE}" pid="8" name="MSIP_Label_ba62f585-b40f-4ab9-bafe-39150f03d124_SiteId">
    <vt:lpwstr>cbac7005-02c1-43eb-b497-e6492d1b2dd8</vt:lpwstr>
  </property>
  <property fmtid="{D5CDD505-2E9C-101B-9397-08002B2CF9AE}" pid="9" name="MSIP_Label_ba62f585-b40f-4ab9-bafe-39150f03d124_ActionId">
    <vt:lpwstr>45963f89-fdde-498a-bcea-4f61e89d9ace</vt:lpwstr>
  </property>
  <property fmtid="{D5CDD505-2E9C-101B-9397-08002B2CF9AE}" pid="10" name="MSIP_Label_ba62f585-b40f-4ab9-bafe-39150f03d124_ContentBits">
    <vt:lpwstr>0</vt:lpwstr>
  </property>
  <property fmtid="{D5CDD505-2E9C-101B-9397-08002B2CF9AE}" pid="11" name="Business Unit">
    <vt:lpwstr>42;#BEIS:Science Innovation and Growth:Business Growth - SIG|ed7cbae0-e1d8-4ebe-a479-13f4258b6697</vt:lpwstr>
  </property>
  <property fmtid="{D5CDD505-2E9C-101B-9397-08002B2CF9AE}" pid="12" name="_dlc_DocIdItemGuid">
    <vt:lpwstr>dc1a2c94-43cf-4620-a35a-2afe1cf11c37</vt:lpwstr>
  </property>
</Properties>
</file>